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2020/0413</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14.4.2020</w:t>
      </w:r>
    </w:p>
    <w:p w:rsidR="009B4271" w:rsidRPr="00AF318E" w:rsidRDefault="00542798"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542798"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KASTO Tábor,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Chýnovská 178</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391 56</w:t>
                  </w:r>
                  <w:r w:rsidR="009B4271" w:rsidRPr="005E5B6B">
                    <w:rPr>
                      <w:rFonts w:ascii="Arial" w:hAnsi="Arial" w:cs="Arial"/>
                      <w:b/>
                      <w:sz w:val="18"/>
                      <w:szCs w:val="18"/>
                    </w:rPr>
                    <w:t xml:space="preserve"> </w:t>
                  </w:r>
                  <w:r>
                    <w:rPr>
                      <w:rFonts w:ascii="Arial" w:hAnsi="Arial" w:cs="Arial"/>
                      <w:b/>
                      <w:sz w:val="18"/>
                      <w:szCs w:val="18"/>
                    </w:rPr>
                    <w:t>Tábor Měšice</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46679022</w:t>
                  </w:r>
                  <w:r w:rsidRPr="005E5B6B">
                    <w:rPr>
                      <w:rFonts w:ascii="Arial" w:hAnsi="Arial" w:cs="Arial"/>
                      <w:b/>
                      <w:sz w:val="18"/>
                      <w:szCs w:val="18"/>
                    </w:rPr>
                    <w:tab/>
                    <w:t xml:space="preserve">DIČ: </w:t>
                  </w:r>
                  <w:r w:rsidR="005E5B6B">
                    <w:rPr>
                      <w:rFonts w:ascii="Arial" w:hAnsi="Arial" w:cs="Arial"/>
                      <w:b/>
                      <w:sz w:val="18"/>
                      <w:szCs w:val="18"/>
                    </w:rPr>
                    <w:t>CZ46679022</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350 000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14.4.2020</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stavební stroje CASE na rok 2020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2020.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7339E9" w:rsidRDefault="00542798">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7339E9">
        <w:br w:type="page"/>
      </w:r>
    </w:p>
    <w:p w:rsidR="007339E9" w:rsidRDefault="007339E9">
      <w:r>
        <w:lastRenderedPageBreak/>
        <w:t xml:space="preserve">Datum potvrzení objednávky dodavatelem:  </w:t>
      </w:r>
      <w:r w:rsidR="00542798">
        <w:t>17.4.2020</w:t>
      </w:r>
    </w:p>
    <w:p w:rsidR="007339E9" w:rsidRDefault="007339E9">
      <w:r>
        <w:t>Potvrzení objednávky:</w:t>
      </w:r>
    </w:p>
    <w:p w:rsidR="00542798" w:rsidRDefault="00542798">
      <w:r>
        <w:t xml:space="preserve">From: </w:t>
      </w:r>
    </w:p>
    <w:p w:rsidR="00542798" w:rsidRDefault="00542798">
      <w:r>
        <w:t>Sent: Friday, April 17, 2020 8:42 AM</w:t>
      </w:r>
    </w:p>
    <w:p w:rsidR="00542798" w:rsidRDefault="00542798">
      <w:r>
        <w:t xml:space="preserve">To: </w:t>
      </w:r>
    </w:p>
    <w:p w:rsidR="00542798" w:rsidRDefault="00542798">
      <w:r>
        <w:t>Cc:</w:t>
      </w:r>
    </w:p>
    <w:p w:rsidR="00542798" w:rsidRDefault="00542798">
      <w:r>
        <w:t>Subject: RE: Potvrzení roční objednávky 2020_0413 KASTO Tábor_RS</w:t>
      </w:r>
    </w:p>
    <w:p w:rsidR="00542798" w:rsidRDefault="00542798"/>
    <w:p w:rsidR="00542798" w:rsidRDefault="00542798">
      <w:r>
        <w:t>Dobrý den,</w:t>
      </w:r>
    </w:p>
    <w:p w:rsidR="00542798" w:rsidRDefault="00542798"/>
    <w:p w:rsidR="00542798" w:rsidRDefault="00542798">
      <w:r>
        <w:t>Potvrzujeme objednávku a souhlasíme s podmínkami.</w:t>
      </w:r>
    </w:p>
    <w:p w:rsidR="007339E9" w:rsidRDefault="007339E9">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E9" w:rsidRDefault="007339E9" w:rsidP="000071C6">
      <w:pPr>
        <w:spacing w:after="0" w:line="240" w:lineRule="auto"/>
      </w:pPr>
      <w:r>
        <w:separator/>
      </w:r>
    </w:p>
  </w:endnote>
  <w:endnote w:type="continuationSeparator" w:id="0">
    <w:p w:rsidR="007339E9" w:rsidRDefault="007339E9"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542798">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E9" w:rsidRDefault="007339E9" w:rsidP="000071C6">
      <w:pPr>
        <w:spacing w:after="0" w:line="240" w:lineRule="auto"/>
      </w:pPr>
      <w:r>
        <w:separator/>
      </w:r>
    </w:p>
  </w:footnote>
  <w:footnote w:type="continuationSeparator" w:id="0">
    <w:p w:rsidR="007339E9" w:rsidRDefault="007339E9"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2798"/>
    <w:rsid w:val="00543C31"/>
    <w:rsid w:val="00565F33"/>
    <w:rsid w:val="005A22D7"/>
    <w:rsid w:val="005B6D63"/>
    <w:rsid w:val="005C755F"/>
    <w:rsid w:val="005E5B6B"/>
    <w:rsid w:val="00603A70"/>
    <w:rsid w:val="006679AD"/>
    <w:rsid w:val="0070020F"/>
    <w:rsid w:val="00733935"/>
    <w:rsid w:val="007339E9"/>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3275BC4C-F2E7-4358-8F0A-72FC96CD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86F4D-9D32-4EF9-8A01-008EA63A4933}">
  <ds:schemaRefs>
    <ds:schemaRef ds:uri="http://schemas.openxmlformats.org/officeDocument/2006/bibliography"/>
  </ds:schemaRefs>
</ds:datastoreItem>
</file>

<file path=customXml/itemProps2.xml><?xml version="1.0" encoding="utf-8"?>
<ds:datastoreItem xmlns:ds="http://schemas.openxmlformats.org/officeDocument/2006/customXml" ds:itemID="{6EE15255-59E9-4F06-B264-37291E18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1537</Characters>
  <Application>Microsoft Office Word</Application>
  <DocSecurity>0</DocSecurity>
  <Lines>12</Lines>
  <Paragraphs>3</Paragraphs>
  <ScaleCrop>false</ScaleCrop>
  <Company>VODÁRNA PLZEŇ a.s.</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2017-04-21T08:32:00Z</cp:lastPrinted>
  <dcterms:created xsi:type="dcterms:W3CDTF">2020-04-17T06:44:00Z</dcterms:created>
  <dcterms:modified xsi:type="dcterms:W3CDTF">2020-04-17T06:44:00Z</dcterms:modified>
</cp:coreProperties>
</file>