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2AFC" w14:textId="77777777" w:rsidR="007A2D42" w:rsidRPr="00271BA2" w:rsidRDefault="007A2D42" w:rsidP="00271BA2">
      <w:pPr>
        <w:pStyle w:val="Prosttext"/>
        <w:ind w:left="567"/>
        <w:jc w:val="center"/>
        <w:outlineLvl w:val="0"/>
        <w:rPr>
          <w:rFonts w:ascii="Times New Roman" w:eastAsia="MS Mincho" w:hAnsi="Times New Roman" w:cs="Times New Roman"/>
          <w:b/>
          <w:bCs/>
          <w:sz w:val="36"/>
          <w:lang w:val="cs-CZ"/>
        </w:rPr>
      </w:pPr>
      <w:bookmarkStart w:id="0" w:name="_GoBack"/>
      <w:bookmarkEnd w:id="0"/>
      <w:r w:rsidRPr="00271BA2">
        <w:rPr>
          <w:rFonts w:ascii="Times New Roman" w:eastAsia="MS Mincho" w:hAnsi="Times New Roman" w:cs="Times New Roman"/>
          <w:b/>
          <w:bCs/>
          <w:sz w:val="36"/>
          <w:lang w:val="cs-CZ"/>
        </w:rPr>
        <w:t>SMLOUVA</w:t>
      </w:r>
    </w:p>
    <w:p w14:paraId="4F97D01A" w14:textId="77777777" w:rsidR="007A2D42" w:rsidRDefault="007A2D42">
      <w:pPr>
        <w:pStyle w:val="Prosttext"/>
        <w:rPr>
          <w:rFonts w:eastAsia="MS Mincho"/>
          <w:lang w:val="cs-CZ"/>
        </w:rPr>
      </w:pPr>
    </w:p>
    <w:p w14:paraId="0E174506" w14:textId="77777777" w:rsidR="007A2D42" w:rsidRDefault="007A2D42" w:rsidP="008F3F78">
      <w:pPr>
        <w:ind w:left="567"/>
        <w:jc w:val="center"/>
        <w:rPr>
          <w:rFonts w:eastAsia="MS Mincho"/>
          <w:lang w:val="cs-CZ"/>
        </w:rPr>
      </w:pPr>
      <w:r>
        <w:rPr>
          <w:rFonts w:eastAsia="MS Mincho"/>
          <w:lang w:val="cs-CZ"/>
        </w:rPr>
        <w:t>uzavřená mezi</w:t>
      </w:r>
    </w:p>
    <w:p w14:paraId="2DBFA6E9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2C73072C" w14:textId="77777777" w:rsidR="007A2D42" w:rsidRDefault="00B77FB9" w:rsidP="00B77FB9">
      <w:pPr>
        <w:numPr>
          <w:ilvl w:val="0"/>
          <w:numId w:val="1"/>
        </w:numPr>
        <w:ind w:left="567" w:hanging="283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  </w:t>
      </w:r>
      <w:r w:rsidR="009570D5">
        <w:rPr>
          <w:rFonts w:eastAsia="MS Mincho"/>
          <w:lang w:val="cs-CZ"/>
        </w:rPr>
        <w:t>s</w:t>
      </w:r>
      <w:r w:rsidR="00991FBD">
        <w:rPr>
          <w:rFonts w:eastAsia="MS Mincho"/>
          <w:lang w:val="cs-CZ"/>
        </w:rPr>
        <w:t>polečností</w:t>
      </w:r>
      <w:r w:rsidR="00BE3AC8">
        <w:rPr>
          <w:rFonts w:eastAsia="MS Mincho"/>
          <w:lang w:val="cs-CZ"/>
        </w:rPr>
        <w:t xml:space="preserve"> </w:t>
      </w:r>
      <w:r w:rsidR="00304EF3">
        <w:rPr>
          <w:rFonts w:eastAsia="MS Mincho"/>
          <w:lang w:val="cs-CZ"/>
        </w:rPr>
        <w:t>Audit</w:t>
      </w:r>
      <w:r w:rsidR="007A2D42">
        <w:rPr>
          <w:rFonts w:eastAsia="MS Mincho"/>
          <w:lang w:val="cs-CZ"/>
        </w:rPr>
        <w:t>Vogel</w:t>
      </w:r>
      <w:r w:rsidR="00304EF3">
        <w:rPr>
          <w:rFonts w:eastAsia="MS Mincho"/>
          <w:lang w:val="cs-CZ"/>
        </w:rPr>
        <w:t>, s.r.o.</w:t>
      </w:r>
      <w:r w:rsidR="007A2D42">
        <w:rPr>
          <w:rFonts w:eastAsia="MS Mincho"/>
          <w:lang w:val="cs-CZ"/>
        </w:rPr>
        <w:t>,</w:t>
      </w:r>
    </w:p>
    <w:p w14:paraId="53E6E43F" w14:textId="64A17189" w:rsidR="008D095F" w:rsidRDefault="007A2D42" w:rsidP="00B97EA3">
      <w:pPr>
        <w:ind w:left="567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  </w:t>
      </w:r>
      <w:r w:rsidR="00271BA2">
        <w:rPr>
          <w:rFonts w:eastAsia="MS Mincho"/>
          <w:lang w:val="cs-CZ"/>
        </w:rPr>
        <w:t>z</w:t>
      </w:r>
      <w:r w:rsidR="008D095F">
        <w:rPr>
          <w:rFonts w:eastAsia="MS Mincho"/>
          <w:lang w:val="cs-CZ"/>
        </w:rPr>
        <w:t xml:space="preserve">astoupenou </w:t>
      </w:r>
      <w:r w:rsidR="00DA7643">
        <w:rPr>
          <w:rFonts w:eastAsia="MS Mincho"/>
          <w:lang w:val="cs-CZ"/>
        </w:rPr>
        <w:t>jednatel</w:t>
      </w:r>
      <w:r w:rsidR="00383EF5">
        <w:rPr>
          <w:rFonts w:eastAsia="MS Mincho"/>
          <w:lang w:val="cs-CZ"/>
        </w:rPr>
        <w:t>em</w:t>
      </w:r>
      <w:r w:rsidR="00DA7643">
        <w:rPr>
          <w:rFonts w:eastAsia="MS Mincho"/>
          <w:lang w:val="cs-CZ"/>
        </w:rPr>
        <w:t xml:space="preserve"> Ing. </w:t>
      </w:r>
      <w:r w:rsidR="002B5E37">
        <w:rPr>
          <w:rFonts w:eastAsia="MS Mincho"/>
          <w:lang w:val="cs-CZ"/>
        </w:rPr>
        <w:t xml:space="preserve">Martinem </w:t>
      </w:r>
      <w:proofErr w:type="spellStart"/>
      <w:r w:rsidR="002B5E37">
        <w:rPr>
          <w:rFonts w:eastAsia="MS Mincho"/>
          <w:lang w:val="cs-CZ"/>
        </w:rPr>
        <w:t>Vogelem</w:t>
      </w:r>
      <w:proofErr w:type="spellEnd"/>
      <w:r w:rsidR="008D095F">
        <w:rPr>
          <w:rFonts w:eastAsia="MS Mincho"/>
          <w:lang w:val="cs-CZ"/>
        </w:rPr>
        <w:t xml:space="preserve">, </w:t>
      </w:r>
    </w:p>
    <w:p w14:paraId="5BCF26BE" w14:textId="77777777" w:rsidR="007A2D42" w:rsidRDefault="008D095F" w:rsidP="00E7694E">
      <w:pPr>
        <w:ind w:left="709"/>
        <w:rPr>
          <w:rFonts w:eastAsia="MS Mincho"/>
          <w:lang w:val="cs-CZ"/>
        </w:rPr>
      </w:pPr>
      <w:r>
        <w:rPr>
          <w:rFonts w:eastAsia="MS Mincho"/>
          <w:lang w:val="cs-CZ"/>
        </w:rPr>
        <w:tab/>
      </w:r>
      <w:r w:rsidR="007A2D42">
        <w:rPr>
          <w:rFonts w:eastAsia="MS Mincho"/>
          <w:lang w:val="cs-CZ"/>
        </w:rPr>
        <w:t>na adrese</w:t>
      </w:r>
      <w:r w:rsidR="00CE3D96">
        <w:rPr>
          <w:rFonts w:eastAsia="MS Mincho"/>
          <w:lang w:val="cs-CZ"/>
        </w:rPr>
        <w:t>:</w:t>
      </w:r>
      <w:r w:rsidR="007A2D42">
        <w:rPr>
          <w:rFonts w:eastAsia="MS Mincho"/>
          <w:lang w:val="cs-CZ"/>
        </w:rPr>
        <w:t xml:space="preserve"> </w:t>
      </w:r>
      <w:r w:rsidR="00E7694E">
        <w:rPr>
          <w:rFonts w:eastAsia="MS Mincho"/>
          <w:lang w:val="cs-CZ"/>
        </w:rPr>
        <w:t>Fügnerova 600/12</w:t>
      </w:r>
      <w:r w:rsidR="00304EF3">
        <w:rPr>
          <w:rFonts w:eastAsia="MS Mincho"/>
          <w:lang w:val="cs-CZ"/>
        </w:rPr>
        <w:t>, 405 02 Děčín</w:t>
      </w:r>
      <w:r w:rsidR="00A367CB">
        <w:rPr>
          <w:rFonts w:eastAsia="MS Mincho"/>
          <w:lang w:val="cs-CZ"/>
        </w:rPr>
        <w:t xml:space="preserve"> I,</w:t>
      </w:r>
      <w:r w:rsidR="007A2D42">
        <w:rPr>
          <w:rFonts w:eastAsia="MS Mincho"/>
          <w:lang w:val="cs-CZ"/>
        </w:rPr>
        <w:t xml:space="preserve"> </w:t>
      </w:r>
    </w:p>
    <w:p w14:paraId="350E2968" w14:textId="77777777" w:rsidR="007A2D42" w:rsidRDefault="007A2D42" w:rsidP="008F3F78">
      <w:pPr>
        <w:ind w:left="567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  DIČ:</w:t>
      </w:r>
      <w:r w:rsidR="008204E9">
        <w:rPr>
          <w:rFonts w:eastAsia="MS Mincho"/>
          <w:lang w:val="cs-CZ"/>
        </w:rPr>
        <w:t xml:space="preserve"> </w:t>
      </w:r>
      <w:r>
        <w:rPr>
          <w:rFonts w:eastAsia="MS Mincho"/>
          <w:lang w:val="cs-CZ"/>
        </w:rPr>
        <w:t xml:space="preserve">CZ </w:t>
      </w:r>
      <w:r w:rsidR="00304EF3" w:rsidRPr="00304EF3">
        <w:rPr>
          <w:rFonts w:eastAsia="MS Mincho"/>
          <w:lang w:val="cs-CZ"/>
        </w:rPr>
        <w:t>227 74 092</w:t>
      </w:r>
      <w:r>
        <w:rPr>
          <w:rFonts w:eastAsia="MS Mincho"/>
          <w:lang w:val="cs-CZ"/>
        </w:rPr>
        <w:t xml:space="preserve"> (dále jen </w:t>
      </w:r>
      <w:r w:rsidR="0005478E">
        <w:rPr>
          <w:rFonts w:eastAsia="MS Mincho"/>
          <w:b/>
          <w:lang w:val="cs-CZ"/>
        </w:rPr>
        <w:t>A</w:t>
      </w:r>
      <w:r w:rsidRPr="00DA7643">
        <w:rPr>
          <w:rFonts w:eastAsia="MS Mincho"/>
          <w:b/>
          <w:lang w:val="cs-CZ"/>
        </w:rPr>
        <w:t>udito</w:t>
      </w:r>
      <w:r>
        <w:rPr>
          <w:rFonts w:eastAsia="MS Mincho"/>
          <w:lang w:val="cs-CZ"/>
        </w:rPr>
        <w:t>r)</w:t>
      </w:r>
    </w:p>
    <w:p w14:paraId="7B574136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5D6DAAED" w14:textId="77777777" w:rsidR="007A2D42" w:rsidRDefault="007A2D42" w:rsidP="008F3F78">
      <w:pPr>
        <w:ind w:left="567"/>
        <w:jc w:val="center"/>
        <w:rPr>
          <w:rFonts w:eastAsia="MS Mincho"/>
          <w:lang w:val="cs-CZ"/>
        </w:rPr>
      </w:pPr>
      <w:r>
        <w:rPr>
          <w:rFonts w:eastAsia="MS Mincho"/>
          <w:lang w:val="cs-CZ"/>
        </w:rPr>
        <w:t>a</w:t>
      </w:r>
    </w:p>
    <w:p w14:paraId="53433F1B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55D8D60F" w14:textId="35DB28AF" w:rsidR="008B35D4" w:rsidRPr="00CD20F7" w:rsidRDefault="009570D5" w:rsidP="003C2EF7">
      <w:pPr>
        <w:pStyle w:val="Nzev"/>
        <w:numPr>
          <w:ilvl w:val="0"/>
          <w:numId w:val="1"/>
        </w:numPr>
        <w:jc w:val="left"/>
        <w:rPr>
          <w:sz w:val="24"/>
        </w:rPr>
      </w:pPr>
      <w:r w:rsidRPr="00CD20F7">
        <w:rPr>
          <w:rFonts w:eastAsia="MS Mincho"/>
          <w:sz w:val="24"/>
        </w:rPr>
        <w:t xml:space="preserve">společností </w:t>
      </w:r>
      <w:r w:rsidR="002B5E37">
        <w:rPr>
          <w:rFonts w:eastAsia="MS Mincho"/>
          <w:sz w:val="24"/>
        </w:rPr>
        <w:t>Technické služby města Liberce a.s.</w:t>
      </w:r>
      <w:r w:rsidR="00CD20F7" w:rsidRPr="00CD20F7">
        <w:rPr>
          <w:rFonts w:eastAsia="MS Mincho"/>
          <w:sz w:val="24"/>
        </w:rPr>
        <w:t>,</w:t>
      </w:r>
    </w:p>
    <w:p w14:paraId="7A98E2D3" w14:textId="01767114" w:rsidR="008B35D4" w:rsidRPr="00CD20F7" w:rsidRDefault="008B35D4" w:rsidP="00CD20F7">
      <w:pPr>
        <w:pStyle w:val="Nzev"/>
        <w:ind w:left="720"/>
        <w:jc w:val="left"/>
        <w:rPr>
          <w:sz w:val="24"/>
        </w:rPr>
      </w:pPr>
      <w:r w:rsidRPr="00CD20F7">
        <w:rPr>
          <w:rFonts w:eastAsia="MS Mincho"/>
          <w:sz w:val="24"/>
        </w:rPr>
        <w:t>zastoupenou</w:t>
      </w:r>
      <w:r w:rsidR="00CD20F7" w:rsidRPr="00CD20F7">
        <w:rPr>
          <w:rFonts w:eastAsia="MS Mincho"/>
          <w:sz w:val="24"/>
        </w:rPr>
        <w:t xml:space="preserve"> </w:t>
      </w:r>
      <w:r w:rsidR="002B5E37">
        <w:rPr>
          <w:rFonts w:eastAsia="MS Mincho"/>
          <w:sz w:val="24"/>
        </w:rPr>
        <w:t>předsedou představenstva</w:t>
      </w:r>
      <w:r w:rsidR="00CD20F7" w:rsidRPr="00CD20F7">
        <w:rPr>
          <w:rFonts w:eastAsia="MS Mincho"/>
          <w:sz w:val="24"/>
        </w:rPr>
        <w:t xml:space="preserve"> </w:t>
      </w:r>
      <w:r w:rsidR="002B5E37">
        <w:rPr>
          <w:rFonts w:eastAsia="MS Mincho"/>
          <w:sz w:val="24"/>
        </w:rPr>
        <w:t xml:space="preserve">Ing. Petrem Šimoníkem a </w:t>
      </w:r>
      <w:r w:rsidR="00DC7F32">
        <w:rPr>
          <w:rFonts w:eastAsia="MS Mincho"/>
          <w:sz w:val="24"/>
        </w:rPr>
        <w:t>členem</w:t>
      </w:r>
      <w:r w:rsidR="002B5E37">
        <w:rPr>
          <w:rFonts w:eastAsia="MS Mincho"/>
          <w:sz w:val="24"/>
        </w:rPr>
        <w:t xml:space="preserve"> předst</w:t>
      </w:r>
      <w:r w:rsidR="00DC7F32">
        <w:rPr>
          <w:rFonts w:eastAsia="MS Mincho"/>
          <w:sz w:val="24"/>
        </w:rPr>
        <w:t>avenstva Petrem Syrovým</w:t>
      </w:r>
      <w:r w:rsidR="00CA58FC">
        <w:rPr>
          <w:rFonts w:eastAsia="MS Mincho"/>
          <w:sz w:val="24"/>
        </w:rPr>
        <w:t>,</w:t>
      </w:r>
    </w:p>
    <w:p w14:paraId="5642AFA3" w14:textId="50713D27" w:rsidR="008B35D4" w:rsidRPr="00CD20F7" w:rsidRDefault="00C375BC" w:rsidP="00CD20F7">
      <w:pPr>
        <w:pStyle w:val="Nzev"/>
        <w:ind w:left="720"/>
        <w:jc w:val="left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3C608" wp14:editId="3B20FF9E">
                <wp:simplePos x="0" y="0"/>
                <wp:positionH relativeFrom="column">
                  <wp:posOffset>-1817053</wp:posOffset>
                </wp:positionH>
                <wp:positionV relativeFrom="paragraph">
                  <wp:posOffset>341949</wp:posOffset>
                </wp:positionV>
                <wp:extent cx="9391380" cy="3213687"/>
                <wp:effectExtent l="1584008" t="187642" r="1717992" b="193993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6025">
                          <a:off x="0" y="0"/>
                          <a:ext cx="9391380" cy="321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8893D" w14:textId="3D82680D" w:rsidR="00C375BC" w:rsidRPr="001B3428" w:rsidRDefault="00C375BC" w:rsidP="00C375BC">
                            <w:pPr>
                              <w:pStyle w:val="Prosttext"/>
                              <w:ind w:left="567"/>
                              <w:jc w:val="center"/>
                              <w:outlineLvl w:val="0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outline/>
                                <w:color w:val="5B9BD5" w:themeColor="accent5"/>
                                <w:sz w:val="400"/>
                                <w:szCs w:val="4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3C6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43.1pt;margin-top:26.95pt;width:739.5pt;height:253.05pt;rotation:-438433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dFOAIAAF0EAAAOAAAAZHJzL2Uyb0RvYy54bWysVM2O2jAQvlfqO1i+l5DwsxARVnRXVJXQ&#10;7kpQ7dk4DonkeFzbkNA36nP0xTp2AqXbnqperPHMp29mvhl7cd/WkpyEsRWojMaDISVCccgrdcjo&#10;l936w4wS65jKmQQlMnoWlt4v379bNDoVCZQgc2EIkiibNjqjpXM6jSLLS1EzOwAtFAYLMDVzeDWH&#10;KDesQfZaRslwOI0aMLk2wIW16H3sgnQZ+ItCcPdcFFY4IjOKtblwmnDu/RktFyw9GKbLivdlsH+o&#10;omaVwqRXqkfmGDma6g+quuIGLBRuwKGOoCgqLkIP2E08fNPNtmRahF5QHKuvMtn/R8ufTi+GVHlG&#10;E0oUq3FEO9E6OP34TjRIQRIvUaNtisitRqxrP0KLo774LTp9521hamIAFY7vJrPpMJkEQbBFgnDU&#10;/nzVGxMQjs75aB6PZhjiGBsl8Wg6u/O0UcfmWbWx7pOAmngjowYHGmjZaWNdB71APFzBupIyDFWq&#10;3xzI6T2Rb6Ur2Vuu3bd9f3vIz9he6ABLspqvK8y5Yda9MINLgU5cdPeMRyGhySj0FiUlmG9/83s8&#10;zgqjlDS4ZBm1X4/MCErkZ4VTnMfjMdK6cBlP7hK8mNvI/jaijvUD4B7HobpgeryTF7MwUL/ie1j5&#10;rBhiimPujLqL+eC61cf3xMVqFUC4h5q5jdpq7qkvou/aV2Z0L7vDiT3BZR1Z+kb9DtvJvTo6KKow&#10;Gi9wp2qvO+5wGG7/3vwjub0H1K9fYfkTAAD//wMAUEsDBBQABgAIAAAAIQDsJDOh3wAAAA0BAAAP&#10;AAAAZHJzL2Rvd25yZXYueG1sTI/LboMwEADvlfoP1lbqLbFLAq0IJqKP3FMS5exgB6z4QbEJ9O+7&#10;PbXH1Y5mZ4vtbA25qSFo7zg8LRkQ5RovtWs5HA+7xQuQEIWTwninOHyrANvy/q4QufST+1S3OrYE&#10;JS7kgkMXY59TGppOWRGWvlcOdxc/WBFxHFoqBzGh3BqaMJZRK7TDC53o1Vunmms9Wg7Vu9b9aVe/&#10;fpnL6bAf9x9pNR05f3yYqw2QqOb4B8NvPqZDiU1nPzoZiOGA9gRRDov1KkmBIPLMshWQM7JsnaVA&#10;y4L+/6L8AQAA//8DAFBLAQItABQABgAIAAAAIQC2gziS/gAAAOEBAAATAAAAAAAAAAAAAAAAAAAA&#10;AABbQ29udGVudF9UeXBlc10ueG1sUEsBAi0AFAAGAAgAAAAhADj9If/WAAAAlAEAAAsAAAAAAAAA&#10;AAAAAAAALwEAAF9yZWxzLy5yZWxzUEsBAi0AFAAGAAgAAAAhAH7NZ0U4AgAAXQQAAA4AAAAAAAAA&#10;AAAAAAAALgIAAGRycy9lMm9Eb2MueG1sUEsBAi0AFAAGAAgAAAAhAOwkM6HfAAAADQEAAA8AAAAA&#10;AAAAAAAAAAAAkgQAAGRycy9kb3ducmV2LnhtbFBLBQYAAAAABAAEAPMAAACeBQAAAAA=&#10;" filled="f" stroked="f">
                <v:textbox>
                  <w:txbxContent>
                    <w:p w14:paraId="1958893D" w14:textId="3D82680D" w:rsidR="00C375BC" w:rsidRPr="001B3428" w:rsidRDefault="00C375BC" w:rsidP="00C375BC">
                      <w:pPr>
                        <w:pStyle w:val="Prosttext"/>
                        <w:ind w:left="567"/>
                        <w:jc w:val="center"/>
                        <w:outlineLvl w:val="0"/>
                        <w:rPr>
                          <w:rFonts w:ascii="Times New Roman" w:eastAsia="MS Mincho" w:hAnsi="Times New Roman" w:cs="Times New Roman"/>
                          <w:b/>
                          <w:bCs/>
                          <w:outline/>
                          <w:color w:val="5B9BD5" w:themeColor="accent5"/>
                          <w:sz w:val="400"/>
                          <w:szCs w:val="4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5D4" w:rsidRPr="00CD20F7">
        <w:rPr>
          <w:rFonts w:eastAsia="MS Mincho"/>
          <w:sz w:val="24"/>
        </w:rPr>
        <w:t>na adrese</w:t>
      </w:r>
      <w:r w:rsidR="009570D5" w:rsidRPr="00CD20F7">
        <w:rPr>
          <w:rFonts w:eastAsia="MS Mincho"/>
          <w:sz w:val="24"/>
        </w:rPr>
        <w:t>:</w:t>
      </w:r>
      <w:r w:rsidR="008B35D4" w:rsidRPr="00CD20F7">
        <w:rPr>
          <w:sz w:val="24"/>
        </w:rPr>
        <w:t xml:space="preserve"> </w:t>
      </w:r>
      <w:r w:rsidR="002B5E37">
        <w:rPr>
          <w:sz w:val="24"/>
        </w:rPr>
        <w:t>Erbenova 376/2</w:t>
      </w:r>
      <w:r w:rsidR="004F462F">
        <w:rPr>
          <w:rFonts w:eastAsia="MS Mincho"/>
          <w:sz w:val="24"/>
        </w:rPr>
        <w:t>,</w:t>
      </w:r>
      <w:r w:rsidR="002B5E37">
        <w:rPr>
          <w:rFonts w:eastAsia="MS Mincho"/>
          <w:sz w:val="24"/>
        </w:rPr>
        <w:t xml:space="preserve"> 460 08 Liber</w:t>
      </w:r>
      <w:r w:rsidR="00E1513E">
        <w:rPr>
          <w:rFonts w:eastAsia="MS Mincho"/>
          <w:sz w:val="24"/>
        </w:rPr>
        <w:t>e</w:t>
      </w:r>
      <w:r w:rsidR="002B5E37">
        <w:rPr>
          <w:rFonts w:eastAsia="MS Mincho"/>
          <w:sz w:val="24"/>
        </w:rPr>
        <w:t>c VIII</w:t>
      </w:r>
      <w:r w:rsidR="00CD20F7" w:rsidRPr="00CD20F7">
        <w:rPr>
          <w:rFonts w:eastAsia="MS Mincho"/>
          <w:sz w:val="24"/>
        </w:rPr>
        <w:t xml:space="preserve"> </w:t>
      </w:r>
    </w:p>
    <w:p w14:paraId="5758EB23" w14:textId="171A7603" w:rsidR="008B35D4" w:rsidRDefault="008B35D4" w:rsidP="008B35D4">
      <w:pPr>
        <w:pStyle w:val="Nzev"/>
        <w:ind w:left="360"/>
        <w:jc w:val="left"/>
        <w:rPr>
          <w:sz w:val="24"/>
        </w:rPr>
      </w:pPr>
      <w:r w:rsidRPr="00CD20F7">
        <w:rPr>
          <w:sz w:val="24"/>
        </w:rPr>
        <w:t xml:space="preserve">      DIČ: CZ </w:t>
      </w:r>
      <w:r w:rsidR="00296922">
        <w:rPr>
          <w:rFonts w:ascii="CIDFont+F2" w:hAnsi="CIDFont+F2" w:cs="CIDFont+F2"/>
          <w:sz w:val="20"/>
          <w:szCs w:val="20"/>
          <w:lang w:eastAsia="cs-CZ"/>
        </w:rPr>
        <w:t> </w:t>
      </w:r>
      <w:r w:rsidR="0005478E">
        <w:rPr>
          <w:sz w:val="24"/>
        </w:rPr>
        <w:t>2</w:t>
      </w:r>
      <w:r w:rsidR="00296922">
        <w:rPr>
          <w:sz w:val="24"/>
        </w:rPr>
        <w:t>50 07 017</w:t>
      </w:r>
      <w:r w:rsidR="00CD20F7" w:rsidRPr="00CD20F7">
        <w:rPr>
          <w:sz w:val="24"/>
        </w:rPr>
        <w:t xml:space="preserve"> </w:t>
      </w:r>
      <w:r w:rsidRPr="00CD20F7">
        <w:rPr>
          <w:sz w:val="24"/>
        </w:rPr>
        <w:t xml:space="preserve">(dále jen </w:t>
      </w:r>
      <w:r w:rsidR="0005478E">
        <w:rPr>
          <w:b/>
          <w:sz w:val="24"/>
        </w:rPr>
        <w:t>Účetní jednotka</w:t>
      </w:r>
      <w:r w:rsidRPr="00CD20F7">
        <w:rPr>
          <w:sz w:val="24"/>
        </w:rPr>
        <w:t>)</w:t>
      </w:r>
    </w:p>
    <w:p w14:paraId="09417F46" w14:textId="77777777" w:rsidR="007A2D42" w:rsidRDefault="007A2D42" w:rsidP="008D095F">
      <w:pPr>
        <w:pStyle w:val="Nzev"/>
        <w:ind w:left="567"/>
        <w:jc w:val="left"/>
        <w:rPr>
          <w:sz w:val="24"/>
        </w:rPr>
      </w:pPr>
    </w:p>
    <w:p w14:paraId="30BC66F0" w14:textId="77777777" w:rsidR="007A2D42" w:rsidRDefault="007A2D42">
      <w:pPr>
        <w:jc w:val="center"/>
        <w:rPr>
          <w:rFonts w:eastAsia="MS Mincho"/>
          <w:b/>
          <w:bCs/>
          <w:lang w:val="cs-CZ"/>
        </w:rPr>
      </w:pPr>
    </w:p>
    <w:p w14:paraId="46C5DC1B" w14:textId="77777777" w:rsidR="007A2D42" w:rsidRDefault="007A2D42" w:rsidP="008F3F78">
      <w:pPr>
        <w:ind w:left="567"/>
        <w:jc w:val="center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I.</w:t>
      </w:r>
    </w:p>
    <w:p w14:paraId="2F99C643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Předmět smlouvy</w:t>
      </w:r>
    </w:p>
    <w:p w14:paraId="3957B2A3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</w:p>
    <w:p w14:paraId="746CD6D3" w14:textId="77777777" w:rsidR="007A2D42" w:rsidRDefault="007A2D42" w:rsidP="008F3F78">
      <w:pPr>
        <w:ind w:left="567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Předmětem smlouvy je: </w:t>
      </w:r>
    </w:p>
    <w:p w14:paraId="0E7A6506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08826123" w14:textId="6231FA81" w:rsidR="007A2D42" w:rsidRDefault="007A2D42" w:rsidP="008204E9">
      <w:pPr>
        <w:ind w:left="567"/>
        <w:jc w:val="both"/>
        <w:rPr>
          <w:rFonts w:eastAsia="MS Mincho"/>
          <w:lang w:val="cs-CZ"/>
        </w:rPr>
      </w:pPr>
      <w:r w:rsidRPr="00CD20F7">
        <w:rPr>
          <w:rFonts w:eastAsia="MS Mincho"/>
          <w:lang w:val="cs-CZ"/>
        </w:rPr>
        <w:t xml:space="preserve">Ověření (audit) účetní závěrky </w:t>
      </w:r>
      <w:r w:rsidR="0005478E">
        <w:rPr>
          <w:rFonts w:eastAsia="MS Mincho"/>
          <w:lang w:val="cs-CZ"/>
        </w:rPr>
        <w:t>Účetní jednotky</w:t>
      </w:r>
      <w:r w:rsidRPr="00CD20F7">
        <w:rPr>
          <w:rFonts w:eastAsia="MS Mincho"/>
          <w:lang w:val="cs-CZ"/>
        </w:rPr>
        <w:t xml:space="preserve"> </w:t>
      </w:r>
      <w:r w:rsidR="00521A4D" w:rsidRPr="00CD20F7">
        <w:rPr>
          <w:rFonts w:eastAsia="MS Mincho"/>
          <w:lang w:val="cs-CZ"/>
        </w:rPr>
        <w:t>sestavené k 3</w:t>
      </w:r>
      <w:r w:rsidR="00101AB8">
        <w:rPr>
          <w:rFonts w:eastAsia="MS Mincho"/>
          <w:lang w:val="cs-CZ"/>
        </w:rPr>
        <w:t>0</w:t>
      </w:r>
      <w:r w:rsidR="00521A4D" w:rsidRPr="00CD20F7">
        <w:rPr>
          <w:rFonts w:eastAsia="MS Mincho"/>
          <w:lang w:val="cs-CZ"/>
        </w:rPr>
        <w:t xml:space="preserve">. </w:t>
      </w:r>
      <w:r w:rsidR="00101AB8">
        <w:rPr>
          <w:rFonts w:eastAsia="MS Mincho"/>
          <w:lang w:val="cs-CZ"/>
        </w:rPr>
        <w:t>červnu 2020,</w:t>
      </w:r>
      <w:r w:rsidRPr="00CD20F7">
        <w:rPr>
          <w:rFonts w:eastAsia="MS Mincho"/>
          <w:lang w:val="cs-CZ"/>
        </w:rPr>
        <w:t xml:space="preserve"> a to ve smyslu ustanovení Zákona o účetnictví</w:t>
      </w:r>
      <w:r w:rsidR="007D533D" w:rsidRPr="00CD20F7">
        <w:rPr>
          <w:rFonts w:eastAsia="MS Mincho"/>
          <w:lang w:val="cs-CZ"/>
        </w:rPr>
        <w:t>,</w:t>
      </w:r>
      <w:r w:rsidRPr="00CD20F7">
        <w:rPr>
          <w:rFonts w:eastAsia="MS Mincho"/>
          <w:lang w:val="cs-CZ"/>
        </w:rPr>
        <w:t xml:space="preserve"> Zákona o auditorech</w:t>
      </w:r>
      <w:r w:rsidR="007D533D" w:rsidRPr="00CD20F7">
        <w:rPr>
          <w:rFonts w:eastAsia="MS Mincho"/>
          <w:lang w:val="cs-CZ"/>
        </w:rPr>
        <w:t>, Zákona obchodních korporacích</w:t>
      </w:r>
      <w:r w:rsidR="007D533D">
        <w:rPr>
          <w:rFonts w:eastAsia="MS Mincho"/>
          <w:lang w:val="cs-CZ"/>
        </w:rPr>
        <w:t xml:space="preserve"> </w:t>
      </w:r>
      <w:r w:rsidR="00D52C1B">
        <w:rPr>
          <w:rFonts w:eastAsia="MS Mincho"/>
          <w:lang w:val="cs-CZ"/>
        </w:rPr>
        <w:br/>
      </w:r>
      <w:r w:rsidR="007D533D">
        <w:rPr>
          <w:rFonts w:eastAsia="MS Mincho"/>
          <w:lang w:val="cs-CZ"/>
        </w:rPr>
        <w:t>a Občanského zákoníku</w:t>
      </w:r>
      <w:r>
        <w:rPr>
          <w:rFonts w:eastAsia="MS Mincho"/>
          <w:lang w:val="cs-CZ"/>
        </w:rPr>
        <w:t>.</w:t>
      </w:r>
    </w:p>
    <w:p w14:paraId="0CD539E9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6B1B49FA" w14:textId="77777777" w:rsidR="007A2D42" w:rsidRDefault="007A2D42" w:rsidP="008F3F78">
      <w:pPr>
        <w:ind w:left="567"/>
        <w:jc w:val="center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II.</w:t>
      </w:r>
    </w:p>
    <w:p w14:paraId="10F1EDB7" w14:textId="77777777" w:rsidR="007A2D42" w:rsidRDefault="007A2D42" w:rsidP="008F3F78">
      <w:pPr>
        <w:ind w:left="567"/>
        <w:jc w:val="center"/>
        <w:rPr>
          <w:rFonts w:eastAsia="MS Mincho"/>
          <w:lang w:val="cs-CZ"/>
        </w:rPr>
      </w:pPr>
      <w:r>
        <w:rPr>
          <w:rFonts w:eastAsia="MS Mincho"/>
          <w:b/>
          <w:bCs/>
          <w:lang w:val="cs-CZ"/>
        </w:rPr>
        <w:t>Práva a povinnosti stran</w:t>
      </w:r>
    </w:p>
    <w:p w14:paraId="2C393C8E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2AD4DA78" w14:textId="77777777" w:rsidR="007A2D42" w:rsidRDefault="007A2D42" w:rsidP="008F3F78">
      <w:pPr>
        <w:numPr>
          <w:ilvl w:val="0"/>
          <w:numId w:val="2"/>
        </w:numPr>
        <w:ind w:left="567"/>
        <w:rPr>
          <w:rFonts w:eastAsia="MS Mincho"/>
          <w:i/>
          <w:iCs/>
          <w:lang w:val="cs-CZ"/>
        </w:rPr>
      </w:pPr>
      <w:r>
        <w:rPr>
          <w:rFonts w:eastAsia="MS Mincho"/>
          <w:i/>
          <w:iCs/>
          <w:lang w:val="cs-CZ"/>
        </w:rPr>
        <w:t xml:space="preserve">Způsob provedení ověření a povinnosti </w:t>
      </w:r>
      <w:r w:rsidR="0005478E">
        <w:rPr>
          <w:rFonts w:eastAsia="MS Mincho"/>
          <w:i/>
          <w:iCs/>
          <w:lang w:val="cs-CZ"/>
        </w:rPr>
        <w:t>A</w:t>
      </w:r>
      <w:r>
        <w:rPr>
          <w:rFonts w:eastAsia="MS Mincho"/>
          <w:i/>
          <w:iCs/>
          <w:lang w:val="cs-CZ"/>
        </w:rPr>
        <w:t>uditora</w:t>
      </w:r>
    </w:p>
    <w:p w14:paraId="42CE00FD" w14:textId="77777777" w:rsidR="007A2D42" w:rsidRDefault="007A2D42" w:rsidP="008F3F78">
      <w:pPr>
        <w:ind w:left="567"/>
        <w:rPr>
          <w:rFonts w:eastAsia="MS Mincho"/>
          <w:i/>
          <w:iCs/>
          <w:lang w:val="cs-CZ"/>
        </w:rPr>
      </w:pPr>
    </w:p>
    <w:p w14:paraId="7408CA1D" w14:textId="77777777" w:rsidR="007A2D42" w:rsidRDefault="007A2D42" w:rsidP="008F3F78">
      <w:pPr>
        <w:pStyle w:val="Zkladntextodsazen"/>
        <w:ind w:left="567"/>
        <w:jc w:val="both"/>
        <w:rPr>
          <w:lang w:val="cs-CZ"/>
        </w:rPr>
      </w:pPr>
      <w:r>
        <w:rPr>
          <w:lang w:val="cs-CZ"/>
        </w:rPr>
        <w:t xml:space="preserve">Způsob ověření účetní závěrky </w:t>
      </w:r>
      <w:r w:rsidR="0005478E">
        <w:rPr>
          <w:lang w:val="cs-CZ"/>
        </w:rPr>
        <w:t>Účetní jednotky</w:t>
      </w:r>
      <w:r>
        <w:rPr>
          <w:lang w:val="cs-CZ"/>
        </w:rPr>
        <w:t xml:space="preserve"> bude vycházet ze Zákona o auditorech </w:t>
      </w:r>
      <w:r w:rsidR="00D52C1B">
        <w:rPr>
          <w:lang w:val="cs-CZ"/>
        </w:rPr>
        <w:br/>
      </w:r>
      <w:r>
        <w:rPr>
          <w:lang w:val="cs-CZ"/>
        </w:rPr>
        <w:t>a z Mezinárodních auditorských standardů a ze souvisejících aplikačních doložek Komory auditorů České republiky.</w:t>
      </w:r>
    </w:p>
    <w:p w14:paraId="103EC36F" w14:textId="77777777" w:rsidR="007A2D42" w:rsidRDefault="007A2D42" w:rsidP="008F3F78">
      <w:pPr>
        <w:pStyle w:val="Zkladntextodsazen"/>
        <w:ind w:left="567"/>
        <w:jc w:val="both"/>
        <w:rPr>
          <w:lang w:val="cs-CZ"/>
        </w:rPr>
      </w:pPr>
      <w:r>
        <w:rPr>
          <w:lang w:val="cs-CZ"/>
        </w:rPr>
        <w:t>Zaměřen bude zejména na to, zda:</w:t>
      </w:r>
    </w:p>
    <w:p w14:paraId="52DC2768" w14:textId="77777777" w:rsidR="007A2D42" w:rsidRDefault="007A2D42" w:rsidP="008F3F78">
      <w:pPr>
        <w:pStyle w:val="Zkladntextodsazen2"/>
        <w:numPr>
          <w:ilvl w:val="0"/>
          <w:numId w:val="3"/>
        </w:numPr>
        <w:ind w:left="993"/>
        <w:jc w:val="both"/>
        <w:rPr>
          <w:lang w:val="cs-CZ"/>
        </w:rPr>
      </w:pPr>
      <w:r>
        <w:rPr>
          <w:lang w:val="cs-CZ"/>
        </w:rPr>
        <w:t xml:space="preserve">údaje v účetní závěrce podávají věrný a poctivý obraz předmětu účetnictví a finanční situace </w:t>
      </w:r>
      <w:r w:rsidR="0005478E">
        <w:rPr>
          <w:lang w:val="cs-CZ"/>
        </w:rPr>
        <w:t>Účetní jednotky</w:t>
      </w:r>
      <w:r>
        <w:rPr>
          <w:lang w:val="cs-CZ"/>
        </w:rPr>
        <w:t>,</w:t>
      </w:r>
    </w:p>
    <w:p w14:paraId="62E08F74" w14:textId="77777777" w:rsidR="007A2D42" w:rsidRDefault="007A2D42" w:rsidP="008F3F78">
      <w:pPr>
        <w:numPr>
          <w:ilvl w:val="0"/>
          <w:numId w:val="3"/>
        </w:numPr>
        <w:ind w:left="993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účetnictví je vedeno úplně, průkazným způsobem, správně a v souladu s platnými předpisy a doporučeními,</w:t>
      </w:r>
    </w:p>
    <w:p w14:paraId="5BEC4AB4" w14:textId="77777777" w:rsidR="007A2D42" w:rsidRDefault="007A2D42" w:rsidP="008F3F78">
      <w:pPr>
        <w:numPr>
          <w:ilvl w:val="0"/>
          <w:numId w:val="3"/>
        </w:numPr>
        <w:ind w:left="993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údaje v zahajovací rozvaze a závažné hospodářské operace uskutečněné </w:t>
      </w:r>
      <w:r w:rsidR="00156A5B">
        <w:rPr>
          <w:rFonts w:eastAsia="MS Mincho"/>
          <w:lang w:val="cs-CZ"/>
        </w:rPr>
        <w:t>Ú</w:t>
      </w:r>
      <w:r>
        <w:rPr>
          <w:rFonts w:eastAsia="MS Mincho"/>
          <w:lang w:val="cs-CZ"/>
        </w:rPr>
        <w:t>četní jednotkou v průběhu roku byly správně zachyceny a prezentovány,</w:t>
      </w:r>
    </w:p>
    <w:p w14:paraId="12FAB502" w14:textId="77777777" w:rsidR="007A2D42" w:rsidRDefault="007A2D42" w:rsidP="008F3F78">
      <w:pPr>
        <w:numPr>
          <w:ilvl w:val="0"/>
          <w:numId w:val="3"/>
        </w:numPr>
        <w:ind w:left="993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roční účetní výkazy byly zpracovány dle platných pravidel se zaměřením na jejich kompletnost a správnost</w:t>
      </w:r>
      <w:r w:rsidR="00964128">
        <w:rPr>
          <w:rFonts w:eastAsia="MS Mincho"/>
          <w:lang w:val="cs-CZ"/>
        </w:rPr>
        <w:t>,</w:t>
      </w:r>
      <w:r>
        <w:rPr>
          <w:rFonts w:eastAsia="MS Mincho"/>
          <w:lang w:val="cs-CZ"/>
        </w:rPr>
        <w:t xml:space="preserve"> a zda jsou předkládány v předepsaném formátu.</w:t>
      </w:r>
    </w:p>
    <w:p w14:paraId="36FECA7F" w14:textId="77777777" w:rsidR="008F3F78" w:rsidRDefault="008F3F78" w:rsidP="008F3F78">
      <w:pPr>
        <w:pStyle w:val="Zkladntextodsazen"/>
        <w:ind w:left="567"/>
        <w:jc w:val="both"/>
        <w:rPr>
          <w:lang w:val="cs-CZ"/>
        </w:rPr>
      </w:pPr>
    </w:p>
    <w:p w14:paraId="67AB2986" w14:textId="77777777" w:rsidR="007A2D42" w:rsidRDefault="007A2D42" w:rsidP="008F3F78">
      <w:pPr>
        <w:pStyle w:val="Zkladntextodsazen"/>
        <w:ind w:left="567"/>
        <w:jc w:val="both"/>
        <w:rPr>
          <w:lang w:val="cs-CZ"/>
        </w:rPr>
      </w:pPr>
      <w:r>
        <w:rPr>
          <w:lang w:val="cs-CZ"/>
        </w:rPr>
        <w:t xml:space="preserve">Povinností </w:t>
      </w:r>
      <w:r w:rsidR="00946CA4">
        <w:rPr>
          <w:lang w:val="cs-CZ"/>
        </w:rPr>
        <w:t>A</w:t>
      </w:r>
      <w:r>
        <w:rPr>
          <w:lang w:val="cs-CZ"/>
        </w:rPr>
        <w:t xml:space="preserve">uditora je na základě provedených testů vyjádřit svůj názor na účetní závěrku </w:t>
      </w:r>
      <w:r w:rsidR="00D52C1B">
        <w:rPr>
          <w:lang w:val="cs-CZ"/>
        </w:rPr>
        <w:br/>
      </w:r>
      <w:r>
        <w:rPr>
          <w:lang w:val="cs-CZ"/>
        </w:rPr>
        <w:t xml:space="preserve">a údaje uvedené ve výroční zprávě. Vydání zprávy nezbavuje vedení </w:t>
      </w:r>
      <w:r w:rsidR="0005478E">
        <w:rPr>
          <w:lang w:val="cs-CZ"/>
        </w:rPr>
        <w:t>Účetní jednotky</w:t>
      </w:r>
      <w:r>
        <w:rPr>
          <w:lang w:val="cs-CZ"/>
        </w:rPr>
        <w:t xml:space="preserve"> odpovědnosti za důsledky kontrol provedených kompetentními kontrolními orgány.</w:t>
      </w:r>
    </w:p>
    <w:p w14:paraId="2C64ED25" w14:textId="77777777" w:rsidR="00795BA8" w:rsidRDefault="00795BA8" w:rsidP="008F3F78">
      <w:pPr>
        <w:ind w:left="567"/>
        <w:jc w:val="both"/>
        <w:rPr>
          <w:rFonts w:eastAsia="MS Mincho"/>
          <w:lang w:val="cs-CZ"/>
        </w:rPr>
      </w:pPr>
    </w:p>
    <w:p w14:paraId="36EA7AC2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lastRenderedPageBreak/>
        <w:t xml:space="preserve">Je povinností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 xml:space="preserve">uditora navrhnout a provést testy tak, aby v rozumné míře zaručovaly zjištění případných nesrovnalostí vzniklých nesprávně uvedenými údaji v účetních výkazech. Nezavazuje to však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 xml:space="preserve">uditora provést detailní testy všech operací tak, aby byly zjištěny všechny nesrovnalosti, které mohou existovat. Z toho vyplývá, že nelze spoléhat pouze </w:t>
      </w:r>
      <w:r w:rsidR="00D52C1B">
        <w:rPr>
          <w:rFonts w:eastAsia="MS Mincho"/>
          <w:lang w:val="cs-CZ"/>
        </w:rPr>
        <w:br/>
      </w:r>
      <w:r>
        <w:rPr>
          <w:rFonts w:eastAsia="MS Mincho"/>
          <w:lang w:val="cs-CZ"/>
        </w:rPr>
        <w:t xml:space="preserve">na tento audit jako prostředek, který zjistí všechny existující nesrovnalosti v účetnictví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>.</w:t>
      </w:r>
    </w:p>
    <w:p w14:paraId="5C7447E8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73F76A8B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Zvláštní pozornost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 xml:space="preserve">uditora bude zaměřena na zjištění účinnosti vnitřního kontrolního systému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 xml:space="preserve"> s tím, že nedostatky v kontrolním systému, které bude považovat </w:t>
      </w:r>
      <w:r w:rsidR="00D52C1B">
        <w:rPr>
          <w:rFonts w:eastAsia="MS Mincho"/>
          <w:lang w:val="cs-CZ"/>
        </w:rPr>
        <w:br/>
      </w:r>
      <w:r>
        <w:rPr>
          <w:rFonts w:eastAsia="MS Mincho"/>
          <w:lang w:val="cs-CZ"/>
        </w:rPr>
        <w:t xml:space="preserve">za významné, projedná s vedením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 xml:space="preserve"> a v případě nutnosti uvede v </w:t>
      </w:r>
      <w:r w:rsidR="00156A5B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>uditorské zprávě.</w:t>
      </w:r>
    </w:p>
    <w:p w14:paraId="75BF3979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440CD536" w14:textId="326424F8" w:rsidR="007A2D42" w:rsidRDefault="00C375BC" w:rsidP="008F3F78">
      <w:pPr>
        <w:ind w:left="567"/>
        <w:jc w:val="both"/>
        <w:rPr>
          <w:rFonts w:eastAsia="MS Mincho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FB1AA6" wp14:editId="6B3A52BB">
                <wp:simplePos x="0" y="0"/>
                <wp:positionH relativeFrom="column">
                  <wp:posOffset>-1646874</wp:posOffset>
                </wp:positionH>
                <wp:positionV relativeFrom="paragraph">
                  <wp:posOffset>479743</wp:posOffset>
                </wp:positionV>
                <wp:extent cx="9391380" cy="3213687"/>
                <wp:effectExtent l="1584008" t="187642" r="1717992" b="193993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6025">
                          <a:off x="0" y="0"/>
                          <a:ext cx="9391380" cy="321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66E82" w14:textId="394B9CB3" w:rsidR="00C375BC" w:rsidRPr="001B3428" w:rsidRDefault="00C375BC" w:rsidP="00C375BC">
                            <w:pPr>
                              <w:pStyle w:val="Prosttext"/>
                              <w:ind w:left="567"/>
                              <w:jc w:val="center"/>
                              <w:outlineLvl w:val="0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outline/>
                                <w:color w:val="5B9BD5" w:themeColor="accent5"/>
                                <w:sz w:val="400"/>
                                <w:szCs w:val="4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1AA6" id="Textové pole 3" o:spid="_x0000_s1027" type="#_x0000_t202" style="position:absolute;left:0;text-align:left;margin-left:-129.7pt;margin-top:37.8pt;width:739.5pt;height:253.05pt;rotation:-4384331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mkOgIAAGQEAAAOAAAAZHJzL2Uyb0RvYy54bWysVMGO2jAQvVfqP1i+lxACLESEFd0VVSW0&#10;uxJUezaOQyI5Htc2JPSP+h39sY4dQum2p6qXaDzz9DzvzTiL+7aW5CSMrUBlNB4MKRGKQ16pQ0a/&#10;7NYfZpRYx1TOJCiR0bOw9H75/t2i0akYQQkyF4YgibJpozNaOqfTKLK8FDWzA9BCYbEAUzOHR3OI&#10;csMaZK9lNBoOp1EDJtcGuLAWs49dkS4Df1EI7p6LwgpHZEaxNxe+Jnz3/hstFyw9GKbLil/aYP/Q&#10;Rc0qhZdeqR6ZY+Roqj+o6oobsFC4AYc6gqKouAgaUE08fKNmWzItghY0x+qrTfb/0fKn04shVZ7R&#10;hBLFahzRTrQOTj++Ew1SkMRb1GibInKrEevaj9DiqPu8xaRX3hamJgbQ4fhuMpsOR5NgCEokCEfv&#10;z1e/8QLCMTlP5nEywxLHWjKKk+nsztNGHZtn1ca6TwJq4oOMGhxooGWnjXUdtId4uIJ1JWUYqlS/&#10;JZDTZyIvpWvZR67dt0H9Vc4e8jOqDEKwM6v5usKrN8y6F2ZwNzCJ++6e8VNIaDIKl4iSEsy3v+U9&#10;HkeGVUoa3LWM2q9HZgQl8rPCYc7j8RhpXTiMJ3cjPJjbyv62oo71A+A6x6G7EHq8k31YGKhf8Vms&#10;/K1YYorj3Rl1ffjguheAz4qL1SqAcB01cxu11dxT997v2ldm9MV9h4N7gn4rWfpmCB22c311dFBU&#10;YULe587Vi/24ymHGl2fn38rtOaB+/RyWPwEAAP//AwBQSwMEFAAGAAgAAAAhAOzjXMXhAAAADQEA&#10;AA8AAABkcnMvZG93bnJldi54bWxMj8tuwjAQRfeV+g/WVOoO7IQWUIiD0gd7GhBrE5vEwo80dkj6&#10;952u6HI0V/eek28na8hN9UF7xyGZMyDK1V5q13A4HnazNZAQhZPCeKc4/KgA2+LxIReZ9KP7Urcq&#10;NgRLXMgEhzbGLqM01K2yIsx9pxz+Lr63IuLZN1T2YsRya2jK2JJaoR0utKJT762qr9VgOZQfWnen&#10;XfX2bS6nw37Yf76W45Hz56ep3ACJaor3MPzhIzoUyHT2g5OBGA5pukKXyGH2kjCUwMhqsUiAnDHL&#10;lusUaJHT/xbFLwAAAP//AwBQSwECLQAUAAYACAAAACEAtoM4kv4AAADhAQAAEwAAAAAAAAAAAAAA&#10;AAAAAAAAW0NvbnRlbnRfVHlwZXNdLnhtbFBLAQItABQABgAIAAAAIQA4/SH/1gAAAJQBAAALAAAA&#10;AAAAAAAAAAAAAC8BAABfcmVscy8ucmVsc1BLAQItABQABgAIAAAAIQByXumkOgIAAGQEAAAOAAAA&#10;AAAAAAAAAAAAAC4CAABkcnMvZTJvRG9jLnhtbFBLAQItABQABgAIAAAAIQDs41zF4QAAAA0BAAAP&#10;AAAAAAAAAAAAAAAAAJQEAABkcnMvZG93bnJldi54bWxQSwUGAAAAAAQABADzAAAAogUAAAAA&#10;" filled="f" stroked="f">
                <v:textbox>
                  <w:txbxContent>
                    <w:p w14:paraId="2A566E82" w14:textId="394B9CB3" w:rsidR="00C375BC" w:rsidRPr="001B3428" w:rsidRDefault="00C375BC" w:rsidP="00C375BC">
                      <w:pPr>
                        <w:pStyle w:val="Prosttext"/>
                        <w:ind w:left="567"/>
                        <w:jc w:val="center"/>
                        <w:outlineLvl w:val="0"/>
                        <w:rPr>
                          <w:rFonts w:ascii="Times New Roman" w:eastAsia="MS Mincho" w:hAnsi="Times New Roman" w:cs="Times New Roman"/>
                          <w:b/>
                          <w:bCs/>
                          <w:outline/>
                          <w:color w:val="5B9BD5" w:themeColor="accent5"/>
                          <w:sz w:val="400"/>
                          <w:szCs w:val="4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D42">
        <w:rPr>
          <w:rFonts w:eastAsia="MS Mincho"/>
          <w:lang w:val="cs-CZ"/>
        </w:rPr>
        <w:t xml:space="preserve">V případě, že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 xml:space="preserve">uditor v průběhu auditu zjistí závažnější nedostatky ve vedení účetnictví nebo při zpracování závěrečných ročních výkazů, bude o takovýchto nálezech neprodleně informovat vedení </w:t>
      </w:r>
      <w:r w:rsidR="0005478E">
        <w:rPr>
          <w:rFonts w:eastAsia="MS Mincho"/>
          <w:lang w:val="cs-CZ"/>
        </w:rPr>
        <w:t>Účetní jednotky</w:t>
      </w:r>
      <w:r w:rsidR="007A2D42">
        <w:rPr>
          <w:rFonts w:eastAsia="MS Mincho"/>
          <w:lang w:val="cs-CZ"/>
        </w:rPr>
        <w:t xml:space="preserve">. Ostatní návrhy a doporučení včetně komentáře </w:t>
      </w:r>
      <w:r w:rsidR="00156A5B">
        <w:rPr>
          <w:rFonts w:eastAsia="MS Mincho"/>
          <w:lang w:val="cs-CZ"/>
        </w:rPr>
        <w:br/>
      </w:r>
      <w:r w:rsidR="007A2D42">
        <w:rPr>
          <w:rFonts w:eastAsia="MS Mincho"/>
          <w:lang w:val="cs-CZ"/>
        </w:rPr>
        <w:t xml:space="preserve">k použitým postupům v průběhu auditu budou uvedeny ve zprávě pro </w:t>
      </w:r>
      <w:r w:rsidR="00946CA4">
        <w:rPr>
          <w:rFonts w:eastAsia="MS Mincho"/>
          <w:lang w:val="cs-CZ"/>
        </w:rPr>
        <w:t>statutární</w:t>
      </w:r>
      <w:r w:rsidR="00156A5B">
        <w:rPr>
          <w:rFonts w:eastAsia="MS Mincho"/>
          <w:lang w:val="cs-CZ"/>
        </w:rPr>
        <w:t xml:space="preserve"> orgán</w:t>
      </w:r>
      <w:r w:rsidR="007A2D42">
        <w:rPr>
          <w:rFonts w:eastAsia="MS Mincho"/>
          <w:lang w:val="cs-CZ"/>
        </w:rPr>
        <w:t xml:space="preserve"> </w:t>
      </w:r>
      <w:r w:rsidR="0005478E">
        <w:rPr>
          <w:rFonts w:eastAsia="MS Mincho"/>
          <w:lang w:val="cs-CZ"/>
        </w:rPr>
        <w:t>Účetní jednotky</w:t>
      </w:r>
      <w:r w:rsidR="007A2D42">
        <w:rPr>
          <w:rFonts w:eastAsia="MS Mincho"/>
          <w:lang w:val="cs-CZ"/>
        </w:rPr>
        <w:t>.</w:t>
      </w:r>
    </w:p>
    <w:p w14:paraId="3B5C5501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6035DFC7" w14:textId="77777777" w:rsidR="007A2D42" w:rsidRDefault="007A2D42" w:rsidP="008F3F78">
      <w:pPr>
        <w:numPr>
          <w:ilvl w:val="0"/>
          <w:numId w:val="2"/>
        </w:numPr>
        <w:ind w:left="567"/>
        <w:rPr>
          <w:rFonts w:eastAsia="MS Mincho"/>
          <w:i/>
          <w:iCs/>
          <w:lang w:val="cs-CZ"/>
        </w:rPr>
      </w:pPr>
      <w:r>
        <w:rPr>
          <w:rFonts w:eastAsia="MS Mincho"/>
          <w:i/>
          <w:iCs/>
          <w:lang w:val="cs-CZ"/>
        </w:rPr>
        <w:t xml:space="preserve">Povinnosti </w:t>
      </w:r>
      <w:r w:rsidR="0005478E" w:rsidRPr="0005478E">
        <w:rPr>
          <w:rFonts w:eastAsia="MS Mincho"/>
          <w:i/>
          <w:iCs/>
          <w:lang w:val="cs-CZ"/>
        </w:rPr>
        <w:t>Účetní jednotky</w:t>
      </w:r>
    </w:p>
    <w:p w14:paraId="0DD6BC06" w14:textId="77777777" w:rsidR="007A2D42" w:rsidRDefault="007A2D42" w:rsidP="008F3F78">
      <w:pPr>
        <w:ind w:left="567"/>
        <w:rPr>
          <w:rFonts w:eastAsia="MS Mincho"/>
          <w:i/>
          <w:iCs/>
          <w:lang w:val="cs-CZ"/>
        </w:rPr>
      </w:pPr>
    </w:p>
    <w:p w14:paraId="01F7E6C9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Povinností vedení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 xml:space="preserve"> je vést správné, pravdivé a úplné účetnictví a zpracovat účetní závěrku tak, aby věrně odrážela stav majetku a závazků, vlastního jmění, finanční situaci a výsledek hospodaření. Vedení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 xml:space="preserve"> je také odpovědné za provádění vnitřní kontroly, výběr a aplikaci účetních metod a ochranu majetku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>.</w:t>
      </w:r>
    </w:p>
    <w:p w14:paraId="1E5D4DC4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7C7D1A24" w14:textId="77777777" w:rsidR="007A2D42" w:rsidRDefault="0005478E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Účetní jednotk</w:t>
      </w:r>
      <w:r w:rsidR="00156A5B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 xml:space="preserve"> se zavazuje zajistit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 xml:space="preserve">uditorovi přístup k účetním knihám, účtům </w:t>
      </w:r>
      <w:r w:rsidR="00156A5B">
        <w:rPr>
          <w:rFonts w:eastAsia="MS Mincho"/>
          <w:lang w:val="cs-CZ"/>
        </w:rPr>
        <w:br/>
      </w:r>
      <w:r w:rsidR="007A2D42">
        <w:rPr>
          <w:rFonts w:eastAsia="MS Mincho"/>
          <w:lang w:val="cs-CZ"/>
        </w:rPr>
        <w:t xml:space="preserve">a dokumentům </w:t>
      </w:r>
      <w:r>
        <w:rPr>
          <w:rFonts w:eastAsia="MS Mincho"/>
          <w:lang w:val="cs-CZ"/>
        </w:rPr>
        <w:t>Účetní jednotky</w:t>
      </w:r>
      <w:r w:rsidR="007A2D42">
        <w:rPr>
          <w:rFonts w:eastAsia="MS Mincho"/>
          <w:lang w:val="cs-CZ"/>
        </w:rPr>
        <w:t xml:space="preserve"> za jakékoli časové období a v požadovaném čase, rozsahu </w:t>
      </w:r>
      <w:r w:rsidR="00156A5B">
        <w:rPr>
          <w:rFonts w:eastAsia="MS Mincho"/>
          <w:lang w:val="cs-CZ"/>
        </w:rPr>
        <w:br/>
      </w:r>
      <w:r w:rsidR="007A2D42">
        <w:rPr>
          <w:rFonts w:eastAsia="MS Mincho"/>
          <w:lang w:val="cs-CZ"/>
        </w:rPr>
        <w:t xml:space="preserve">a podrobnosti, a to současně s informacemi a vysvětlením od zodpovědných pracovníků </w:t>
      </w:r>
      <w:r>
        <w:rPr>
          <w:rFonts w:eastAsia="MS Mincho"/>
          <w:lang w:val="cs-CZ"/>
        </w:rPr>
        <w:t>Účetní jednotky</w:t>
      </w:r>
      <w:r w:rsidR="007A2D42">
        <w:rPr>
          <w:rFonts w:eastAsia="MS Mincho"/>
          <w:lang w:val="cs-CZ"/>
        </w:rPr>
        <w:t xml:space="preserve">, o kterých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>uditor usoudí, že jsou pro prováděné ověření významné.</w:t>
      </w:r>
    </w:p>
    <w:p w14:paraId="6660C1ED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28FC7BD6" w14:textId="77777777" w:rsidR="007A2D42" w:rsidRDefault="0005478E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Účetní jednotka</w:t>
      </w:r>
      <w:r w:rsidR="007A2D42">
        <w:rPr>
          <w:rFonts w:eastAsia="MS Mincho"/>
          <w:lang w:val="cs-CZ"/>
        </w:rPr>
        <w:t xml:space="preserve"> umožní účast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 xml:space="preserve">uditora při </w:t>
      </w:r>
      <w:r w:rsidR="00EE3533">
        <w:rPr>
          <w:rFonts w:eastAsia="MS Mincho"/>
          <w:lang w:val="cs-CZ"/>
        </w:rPr>
        <w:t>ověření</w:t>
      </w:r>
      <w:r w:rsidR="007A2D42">
        <w:rPr>
          <w:rFonts w:eastAsia="MS Mincho"/>
          <w:lang w:val="cs-CZ"/>
        </w:rPr>
        <w:t xml:space="preserve"> fyzických inventur majetku </w:t>
      </w:r>
      <w:r>
        <w:rPr>
          <w:rFonts w:eastAsia="MS Mincho"/>
          <w:lang w:val="cs-CZ"/>
        </w:rPr>
        <w:t>Účetní jednotky</w:t>
      </w:r>
      <w:r w:rsidR="007A2D42">
        <w:rPr>
          <w:rFonts w:eastAsia="MS Mincho"/>
          <w:lang w:val="cs-CZ"/>
        </w:rPr>
        <w:t xml:space="preserve">. V případě, že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>uditor</w:t>
      </w:r>
      <w:r w:rsidR="00946CA4">
        <w:rPr>
          <w:rFonts w:eastAsia="MS Mincho"/>
          <w:lang w:val="cs-CZ"/>
        </w:rPr>
        <w:t>ovi</w:t>
      </w:r>
      <w:r w:rsidR="007A2D42">
        <w:rPr>
          <w:rFonts w:eastAsia="MS Mincho"/>
          <w:lang w:val="cs-CZ"/>
        </w:rPr>
        <w:t xml:space="preserve"> nebude umožněna účast na </w:t>
      </w:r>
      <w:r w:rsidR="00EE3533">
        <w:rPr>
          <w:rFonts w:eastAsia="MS Mincho"/>
          <w:lang w:val="cs-CZ"/>
        </w:rPr>
        <w:t>ověření in</w:t>
      </w:r>
      <w:r w:rsidR="007A2D42">
        <w:rPr>
          <w:rFonts w:eastAsia="MS Mincho"/>
          <w:lang w:val="cs-CZ"/>
        </w:rPr>
        <w:t xml:space="preserve">ventur nebo v případě snížené průkaznosti inventur má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>uditor právo vyjádřit ve svém výroku omezení rozsahu prací, co se týče ověření fyzické existence majetku.</w:t>
      </w:r>
    </w:p>
    <w:p w14:paraId="7927994E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7F3139FF" w14:textId="77777777" w:rsidR="007A2D42" w:rsidRDefault="0005478E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Účetní jednotk</w:t>
      </w:r>
      <w:r w:rsidR="00156A5B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 xml:space="preserve"> zajistí pro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 xml:space="preserve">uditora volný přístup do veškerých prostor a k veškerým aktivům </w:t>
      </w:r>
      <w:r>
        <w:rPr>
          <w:rFonts w:eastAsia="MS Mincho"/>
          <w:lang w:val="cs-CZ"/>
        </w:rPr>
        <w:t>Účetní jednotky</w:t>
      </w:r>
      <w:r w:rsidRPr="00CD20F7">
        <w:rPr>
          <w:rFonts w:eastAsia="MS Mincho"/>
          <w:lang w:val="cs-CZ"/>
        </w:rPr>
        <w:t xml:space="preserve"> </w:t>
      </w:r>
      <w:r w:rsidR="007A2D42">
        <w:rPr>
          <w:rFonts w:eastAsia="MS Mincho"/>
          <w:lang w:val="cs-CZ"/>
        </w:rPr>
        <w:t>i k ověření fyzické existence účetně vykazovaných hodnot, které jsou předmětem kontroly.</w:t>
      </w:r>
    </w:p>
    <w:p w14:paraId="1E8AE4CC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51783502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Auditor má právo požadovat vysvětlení, a to i v písemné formě a podepsané odpovědným pracovníkem, pokud to, podle jeho názoru, povaha problému vyžaduje.</w:t>
      </w:r>
    </w:p>
    <w:p w14:paraId="0B9671D6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2599C5A2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Auditor projedná s vedením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 xml:space="preserve"> v dostatečném předstihu harmonogram prací, podobu, rozsah a termíny předložení potřebných dokladů, písemností a vysvětlení.</w:t>
      </w:r>
    </w:p>
    <w:p w14:paraId="173F95BF" w14:textId="77777777" w:rsidR="007A2D42" w:rsidRPr="006204A1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7D607535" w14:textId="77777777" w:rsidR="007A2D42" w:rsidRPr="006204A1" w:rsidRDefault="007A2D42" w:rsidP="008F3F78">
      <w:pPr>
        <w:ind w:left="567"/>
        <w:jc w:val="both"/>
        <w:rPr>
          <w:rFonts w:eastAsia="MS Mincho"/>
          <w:lang w:val="cs-CZ"/>
        </w:rPr>
      </w:pPr>
      <w:r w:rsidRPr="006204A1">
        <w:rPr>
          <w:rFonts w:eastAsia="MS Mincho"/>
          <w:lang w:val="cs-CZ"/>
        </w:rPr>
        <w:t xml:space="preserve">Je důležité, aby týmu </w:t>
      </w:r>
      <w:r w:rsidR="00946CA4">
        <w:rPr>
          <w:rFonts w:eastAsia="MS Mincho"/>
          <w:lang w:val="cs-CZ"/>
        </w:rPr>
        <w:t>A</w:t>
      </w:r>
      <w:r w:rsidRPr="006204A1">
        <w:rPr>
          <w:rFonts w:eastAsia="MS Mincho"/>
          <w:lang w:val="cs-CZ"/>
        </w:rPr>
        <w:t>uditor</w:t>
      </w:r>
      <w:r w:rsidR="00946CA4">
        <w:rPr>
          <w:rFonts w:eastAsia="MS Mincho"/>
          <w:lang w:val="cs-CZ"/>
        </w:rPr>
        <w:t>a</w:t>
      </w:r>
      <w:r w:rsidRPr="006204A1">
        <w:rPr>
          <w:rFonts w:eastAsia="MS Mincho"/>
          <w:lang w:val="cs-CZ"/>
        </w:rPr>
        <w:t xml:space="preserve"> byly poskytnuty všechny informace, které jsou nutné </w:t>
      </w:r>
      <w:r w:rsidR="00156A5B">
        <w:rPr>
          <w:rFonts w:eastAsia="MS Mincho"/>
          <w:lang w:val="cs-CZ"/>
        </w:rPr>
        <w:br/>
      </w:r>
      <w:r w:rsidRPr="006204A1">
        <w:rPr>
          <w:rFonts w:eastAsia="MS Mincho"/>
          <w:lang w:val="cs-CZ"/>
        </w:rPr>
        <w:t xml:space="preserve">pro provedení auditu účetních výkazů i v případě, že tyto informace byly již poskytnuty jiným zaměstnancům </w:t>
      </w:r>
      <w:r w:rsidR="00946CA4">
        <w:rPr>
          <w:rFonts w:eastAsia="MS Mincho"/>
          <w:lang w:val="cs-CZ"/>
        </w:rPr>
        <w:t>A</w:t>
      </w:r>
      <w:r w:rsidRPr="006204A1">
        <w:rPr>
          <w:rFonts w:eastAsia="MS Mincho"/>
          <w:lang w:val="cs-CZ"/>
        </w:rPr>
        <w:t>uditora v souvislosti s jinými projekty.</w:t>
      </w:r>
    </w:p>
    <w:p w14:paraId="787D74A0" w14:textId="77777777" w:rsidR="00B31159" w:rsidRDefault="00B31159" w:rsidP="008F3F78">
      <w:pPr>
        <w:ind w:left="567"/>
        <w:jc w:val="both"/>
        <w:rPr>
          <w:rFonts w:eastAsia="MS Mincho"/>
          <w:lang w:val="cs-CZ"/>
        </w:rPr>
      </w:pPr>
    </w:p>
    <w:p w14:paraId="7FF0206C" w14:textId="77777777" w:rsidR="007A2D42" w:rsidRDefault="0005478E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lastRenderedPageBreak/>
        <w:t>Účetní jednotka</w:t>
      </w:r>
      <w:r w:rsidR="007A2D42">
        <w:rPr>
          <w:rFonts w:eastAsia="MS Mincho"/>
          <w:lang w:val="cs-CZ"/>
        </w:rPr>
        <w:t xml:space="preserve"> zajistí pro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>uditora odpovídající prostory včetně materiálního zabezpečení pro provedení auditu.</w:t>
      </w:r>
    </w:p>
    <w:p w14:paraId="3A18CAA4" w14:textId="77777777" w:rsidR="00D23ADE" w:rsidRDefault="00D23ADE" w:rsidP="008F3F78">
      <w:pPr>
        <w:ind w:left="567"/>
        <w:jc w:val="both"/>
        <w:rPr>
          <w:rFonts w:eastAsia="MS Mincho"/>
          <w:lang w:val="cs-CZ"/>
        </w:rPr>
      </w:pPr>
    </w:p>
    <w:p w14:paraId="6422D5B6" w14:textId="77777777" w:rsidR="007A2D42" w:rsidRDefault="0005478E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Účetní jednotka</w:t>
      </w:r>
      <w:r w:rsidR="007A2D42">
        <w:rPr>
          <w:rFonts w:eastAsia="MS Mincho"/>
          <w:lang w:val="cs-CZ"/>
        </w:rPr>
        <w:t xml:space="preserve"> seznámí s harmonogramem </w:t>
      </w:r>
      <w:r w:rsidR="00946CA4">
        <w:rPr>
          <w:rFonts w:eastAsia="MS Mincho"/>
          <w:lang w:val="cs-CZ"/>
        </w:rPr>
        <w:t>a</w:t>
      </w:r>
      <w:r w:rsidR="007A2D42">
        <w:rPr>
          <w:rFonts w:eastAsia="MS Mincho"/>
          <w:lang w:val="cs-CZ"/>
        </w:rPr>
        <w:t xml:space="preserve">uditorských prací odpovědné pracovníky </w:t>
      </w:r>
      <w:r w:rsidR="00156A5B">
        <w:rPr>
          <w:rFonts w:eastAsia="MS Mincho"/>
          <w:lang w:val="cs-CZ"/>
        </w:rPr>
        <w:br/>
      </w:r>
      <w:r w:rsidR="007A2D42">
        <w:rPr>
          <w:rFonts w:eastAsia="MS Mincho"/>
          <w:lang w:val="cs-CZ"/>
        </w:rPr>
        <w:t>a zajistí tak jejich potřebnou součinnost pro včasné a bezproblémové provedení auditu.</w:t>
      </w:r>
    </w:p>
    <w:p w14:paraId="276D82AE" w14:textId="77777777" w:rsidR="00D23ADE" w:rsidRDefault="00D23ADE" w:rsidP="008F3F78">
      <w:pPr>
        <w:ind w:left="567"/>
        <w:jc w:val="both"/>
        <w:rPr>
          <w:rFonts w:eastAsia="MS Mincho"/>
          <w:lang w:val="cs-CZ"/>
        </w:rPr>
      </w:pPr>
    </w:p>
    <w:p w14:paraId="2F3B25B4" w14:textId="77777777" w:rsidR="007A2D42" w:rsidRDefault="007A2D42" w:rsidP="008F3F78">
      <w:pPr>
        <w:numPr>
          <w:ilvl w:val="0"/>
          <w:numId w:val="2"/>
        </w:numPr>
        <w:ind w:left="567"/>
        <w:rPr>
          <w:rFonts w:eastAsia="MS Mincho"/>
          <w:i/>
          <w:iCs/>
          <w:lang w:val="cs-CZ"/>
        </w:rPr>
      </w:pPr>
      <w:r>
        <w:rPr>
          <w:rFonts w:eastAsia="MS Mincho"/>
          <w:i/>
          <w:iCs/>
          <w:lang w:val="cs-CZ"/>
        </w:rPr>
        <w:t>Závěrečná zpráva auditora</w:t>
      </w:r>
    </w:p>
    <w:p w14:paraId="0B2231BA" w14:textId="77777777" w:rsidR="007A2D42" w:rsidRDefault="007A2D42" w:rsidP="008F3F78">
      <w:pPr>
        <w:ind w:left="567"/>
        <w:rPr>
          <w:rFonts w:eastAsia="MS Mincho"/>
          <w:i/>
          <w:iCs/>
          <w:lang w:val="cs-CZ"/>
        </w:rPr>
      </w:pPr>
    </w:p>
    <w:p w14:paraId="39DA5D0D" w14:textId="77777777" w:rsidR="007A2D42" w:rsidRDefault="007A2D42" w:rsidP="008F3F78">
      <w:pPr>
        <w:pStyle w:val="Zkladntextodsazen"/>
        <w:ind w:left="567"/>
        <w:jc w:val="both"/>
        <w:rPr>
          <w:lang w:val="cs-CZ"/>
        </w:rPr>
      </w:pPr>
      <w:r>
        <w:rPr>
          <w:lang w:val="cs-CZ"/>
        </w:rPr>
        <w:t xml:space="preserve">Auditor vydá závěrečnou zprávu o ověření účetní závěrky, ve které vyjádří svůj názor </w:t>
      </w:r>
      <w:r w:rsidR="00D52C1B">
        <w:rPr>
          <w:lang w:val="cs-CZ"/>
        </w:rPr>
        <w:br/>
      </w:r>
      <w:r>
        <w:rPr>
          <w:lang w:val="cs-CZ"/>
        </w:rPr>
        <w:t xml:space="preserve">na účetní závěrku </w:t>
      </w:r>
      <w:r w:rsidRPr="00CD20F7">
        <w:rPr>
          <w:lang w:val="cs-CZ"/>
        </w:rPr>
        <w:t>a na údaje uvedené ve výroční zprávě v souladu</w:t>
      </w:r>
      <w:r>
        <w:rPr>
          <w:lang w:val="cs-CZ"/>
        </w:rPr>
        <w:t xml:space="preserve"> se statutárními předpisy.</w:t>
      </w:r>
    </w:p>
    <w:p w14:paraId="09308335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252646AC" w14:textId="77777777" w:rsidR="007A2D42" w:rsidRDefault="00C375BC" w:rsidP="008F3F78">
      <w:pPr>
        <w:ind w:left="567"/>
        <w:jc w:val="both"/>
        <w:rPr>
          <w:rFonts w:eastAsia="MS Mincho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84B6A9" wp14:editId="79604C6E">
                <wp:simplePos x="0" y="0"/>
                <wp:positionH relativeFrom="column">
                  <wp:posOffset>-1619568</wp:posOffset>
                </wp:positionH>
                <wp:positionV relativeFrom="paragraph">
                  <wp:posOffset>595313</wp:posOffset>
                </wp:positionV>
                <wp:extent cx="9391380" cy="3213687"/>
                <wp:effectExtent l="1584008" t="187642" r="1717992" b="193993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6025">
                          <a:off x="0" y="0"/>
                          <a:ext cx="9391380" cy="321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E9CD9" w14:textId="24C7586B" w:rsidR="00C375BC" w:rsidRPr="001B3428" w:rsidRDefault="00C375BC" w:rsidP="00C375BC">
                            <w:pPr>
                              <w:pStyle w:val="Prosttext"/>
                              <w:ind w:left="567"/>
                              <w:jc w:val="center"/>
                              <w:outlineLvl w:val="0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outline/>
                                <w:color w:val="5B9BD5" w:themeColor="accent5"/>
                                <w:sz w:val="400"/>
                                <w:szCs w:val="4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B6A9" id="Textové pole 4" o:spid="_x0000_s1028" type="#_x0000_t202" style="position:absolute;left:0;text-align:left;margin-left:-127.55pt;margin-top:46.9pt;width:739.5pt;height:253.05pt;rotation:-4384331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kpOwIAAGQEAAAOAAAAZHJzL2Uyb0RvYy54bWysVNuO2jAQfa/Uf7D8XkLCZSEirOiuqCqh&#10;3ZWg2mfjOCSS43FtQ0L/qN/RH+vYIZRu+1T1JRrPHB3POTPO4r6tJTkJYytQGY0HQ0qE4pBX6pDR&#10;L7v1hxkl1jGVMwlKZPQsLL1fvn+3aHQqEihB5sIQJFE2bXRGS+d0GkWWl6JmdgBaKCwWYGrm8GgO&#10;UW5Yg+y1jJLhcBo1YHJtgAtrMfvYFeky8BeF4O65KKxwRGYUe3Pha8J377/RcsHSg2G6rPilDfYP&#10;XdSsUnjpleqROUaOpvqDqq64AQuFG3CoIyiKiougAdXEwzdqtiXTImhBc6y+2mT/Hy1/Or0YUuUZ&#10;HVOiWI0j2onWwenHd6JBCjL2FjXapojcasS69iO0OOo+bzHplbeFqYkBdDi+m8ymw2QSDEGJBOHo&#10;/fnqN15AOCbno3k8mmGJY22UxKPp7M7TRh2bZ9XGuk8CauKDjBocaKBlp411HbSHeLiCdSVlGKpU&#10;vyWQ02ciL6Vr2Ueu3bdBfdLL2UN+RpVBCHZmNV9XePWGWffCDO4GJnHf3TN+CglNRuESUVKC+fa3&#10;vMfjyLBKSYO7llH79ciMoER+VjjMeTweI60Lh/HkLsGDua3sbyvqWD8ArnMcuguhxzvZh4WB+hWf&#10;xcrfiiWmON6dUdeHD657AfisuFitAgjXUTO3UVvNPXXv/a59ZUZf3Hc4uCfot5Klb4bQYTvXV0cH&#10;RRUm5H3uXL3Yj6scZnx5dv6t3J4D6tfPYfkTAAD//wMAUEsDBBQABgAIAAAAIQDRz6k+4QAAAA0B&#10;AAAPAAAAZHJzL2Rvd25yZXYueG1sTI/LbsIwEEX3lfoP1iB1Bw4JDTSNg9IHexoQaxObxMKPNHZI&#10;+vedruhydI/uPZNvJ6PJTfZeOctguYiASFs7oWzD4HjYzTdAfOBWcO2sZPAjPWyLx4ecZ8KN9kve&#10;qtAQLLE+4wzaELqMUl+30nC/cJ20mF1cb3jAs2+o6PmI5UbTOIpSariyuNDyTr63sr5Wg2FQfijV&#10;nXbV27e+nA77Yf/5XI5Hxp5mU/kKJMgp3GH400d1KNDp7AYrPNEM4mSZIMpgnrzEKRBE1sl6BeSM&#10;bLRJV0CLnP7/ovgFAAD//wMAUEsBAi0AFAAGAAgAAAAhALaDOJL+AAAA4QEAABMAAAAAAAAAAAAA&#10;AAAAAAAAAFtDb250ZW50X1R5cGVzXS54bWxQSwECLQAUAAYACAAAACEAOP0h/9YAAACUAQAACwAA&#10;AAAAAAAAAAAAAAAvAQAAX3JlbHMvLnJlbHNQSwECLQAUAAYACAAAACEAfvXJKTsCAABkBAAADgAA&#10;AAAAAAAAAAAAAAAuAgAAZHJzL2Uyb0RvYy54bWxQSwECLQAUAAYACAAAACEA0c+pPuEAAAANAQAA&#10;DwAAAAAAAAAAAAAAAACVBAAAZHJzL2Rvd25yZXYueG1sUEsFBgAAAAAEAAQA8wAAAKMFAAAAAA==&#10;" filled="f" stroked="f">
                <v:textbox>
                  <w:txbxContent>
                    <w:p w14:paraId="617E9CD9" w14:textId="24C7586B" w:rsidR="00C375BC" w:rsidRPr="001B3428" w:rsidRDefault="00C375BC" w:rsidP="00C375BC">
                      <w:pPr>
                        <w:pStyle w:val="Prosttext"/>
                        <w:ind w:left="567"/>
                        <w:jc w:val="center"/>
                        <w:outlineLvl w:val="0"/>
                        <w:rPr>
                          <w:rFonts w:ascii="Times New Roman" w:eastAsia="MS Mincho" w:hAnsi="Times New Roman" w:cs="Times New Roman"/>
                          <w:b/>
                          <w:bCs/>
                          <w:outline/>
                          <w:color w:val="5B9BD5" w:themeColor="accent5"/>
                          <w:sz w:val="400"/>
                          <w:szCs w:val="4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D42">
        <w:rPr>
          <w:rFonts w:eastAsia="MS Mincho"/>
          <w:lang w:val="cs-CZ"/>
        </w:rPr>
        <w:t>Auditor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14:paraId="4871F3B9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569FE5BC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Auditor má právo uvést ve své zprávě také omezení rozsahu ověření, pokud nebyl schopen z objektivních důvodů nebo z viny účetní jednotky ověřit některé podstatné údaje v účetní závěrce.</w:t>
      </w:r>
    </w:p>
    <w:p w14:paraId="4F3D3BDB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7B2E233C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Auditor je oprávněn vydat i záporný výrok, pokud jsou identifikované nesprávnosti takové povahy a rozsahu, že není možné vydat výrok s výhradou. Pokud by důsledky omezení rozsahu práce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 xml:space="preserve">uditora byly takového rozsahu, že by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 xml:space="preserve">uditor nebyl schopen získat potřebnou míru jistoty u převážné většiny významných položek účetní závěrky, odmítne výrok vydat. I v tomto případě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>uditor vydá zprávu popisující důvody odmítnutí výroku.</w:t>
      </w:r>
    </w:p>
    <w:p w14:paraId="340ABD78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1B136410" w14:textId="5242CF94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Kromě vlastní výše uveden</w:t>
      </w:r>
      <w:r w:rsidR="00E931BC">
        <w:rPr>
          <w:rFonts w:eastAsia="MS Mincho"/>
          <w:lang w:val="cs-CZ"/>
        </w:rPr>
        <w:t>é</w:t>
      </w:r>
      <w:r>
        <w:rPr>
          <w:rFonts w:eastAsia="MS Mincho"/>
          <w:lang w:val="cs-CZ"/>
        </w:rPr>
        <w:t xml:space="preserve"> auditorsk</w:t>
      </w:r>
      <w:r w:rsidR="00E931BC">
        <w:rPr>
          <w:rFonts w:eastAsia="MS Mincho"/>
          <w:lang w:val="cs-CZ"/>
        </w:rPr>
        <w:t>é</w:t>
      </w:r>
      <w:r>
        <w:rPr>
          <w:rFonts w:eastAsia="MS Mincho"/>
          <w:lang w:val="cs-CZ"/>
        </w:rPr>
        <w:t xml:space="preserve"> zpráv</w:t>
      </w:r>
      <w:r w:rsidR="00E931BC">
        <w:rPr>
          <w:rFonts w:eastAsia="MS Mincho"/>
          <w:lang w:val="cs-CZ"/>
        </w:rPr>
        <w:t>y</w:t>
      </w:r>
      <w:r>
        <w:rPr>
          <w:rFonts w:eastAsia="MS Mincho"/>
          <w:lang w:val="cs-CZ"/>
        </w:rPr>
        <w:t xml:space="preserve"> vydá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 xml:space="preserve">uditor také dopis </w:t>
      </w:r>
      <w:r w:rsidR="00946CA4">
        <w:rPr>
          <w:rFonts w:eastAsia="MS Mincho"/>
          <w:lang w:val="cs-CZ"/>
        </w:rPr>
        <w:t>statutárnímu orgánu</w:t>
      </w:r>
      <w:r>
        <w:rPr>
          <w:rFonts w:eastAsia="MS Mincho"/>
          <w:lang w:val="cs-CZ"/>
        </w:rPr>
        <w:t xml:space="preserve"> </w:t>
      </w:r>
      <w:r w:rsidR="0005478E">
        <w:rPr>
          <w:rFonts w:eastAsia="MS Mincho"/>
          <w:lang w:val="cs-CZ"/>
        </w:rPr>
        <w:t>Účetní jednotky</w:t>
      </w:r>
      <w:r>
        <w:rPr>
          <w:rFonts w:eastAsia="MS Mincho"/>
          <w:lang w:val="cs-CZ"/>
        </w:rPr>
        <w:t>, který bude obsahovat poznatky o nedostatcích zjištěných v</w:t>
      </w:r>
      <w:r w:rsidR="00DC7F32">
        <w:rPr>
          <w:rFonts w:eastAsia="MS Mincho"/>
          <w:lang w:val="cs-CZ"/>
        </w:rPr>
        <w:t> </w:t>
      </w:r>
      <w:r>
        <w:rPr>
          <w:rFonts w:eastAsia="MS Mincho"/>
          <w:lang w:val="cs-CZ"/>
        </w:rPr>
        <w:t>průběhu</w:t>
      </w:r>
      <w:r w:rsidR="00DC7F32">
        <w:rPr>
          <w:rFonts w:eastAsia="MS Mincho"/>
          <w:lang w:val="cs-CZ"/>
        </w:rPr>
        <w:t xml:space="preserve"> </w:t>
      </w:r>
      <w:r>
        <w:rPr>
          <w:rFonts w:eastAsia="MS Mincho"/>
          <w:lang w:val="cs-CZ"/>
        </w:rPr>
        <w:t xml:space="preserve">auditu a </w:t>
      </w:r>
      <w:r w:rsidR="00156A5B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>uditorská doporučení směřující ke zlepšení vnitřního účetního a kontrolního systému.</w:t>
      </w:r>
    </w:p>
    <w:p w14:paraId="51F26785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5B7A2B83" w14:textId="77777777" w:rsidR="007A2D42" w:rsidRDefault="007A2D42" w:rsidP="008F3F78">
      <w:pPr>
        <w:ind w:left="567"/>
        <w:jc w:val="center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III.</w:t>
      </w:r>
    </w:p>
    <w:p w14:paraId="78E42464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Čas plnění smlouvy</w:t>
      </w:r>
    </w:p>
    <w:p w14:paraId="63550E6E" w14:textId="77777777" w:rsidR="007A2D42" w:rsidRDefault="007A2D42" w:rsidP="008F3F78">
      <w:pPr>
        <w:ind w:left="567"/>
        <w:rPr>
          <w:rFonts w:eastAsia="MS Mincho"/>
          <w:b/>
          <w:bCs/>
          <w:lang w:val="cs-CZ"/>
        </w:rPr>
      </w:pPr>
    </w:p>
    <w:p w14:paraId="511786C6" w14:textId="77777777" w:rsidR="00AE7F1C" w:rsidRDefault="007A2D42" w:rsidP="008F3F78">
      <w:pPr>
        <w:pStyle w:val="Zkladntext"/>
        <w:ind w:left="567"/>
        <w:rPr>
          <w:lang w:val="cs-CZ"/>
        </w:rPr>
      </w:pPr>
      <w:r>
        <w:rPr>
          <w:lang w:val="cs-CZ"/>
        </w:rPr>
        <w:t xml:space="preserve">Zahájení auditorských prací předpokládáme </w:t>
      </w:r>
      <w:r w:rsidR="00D13D80">
        <w:rPr>
          <w:lang w:val="cs-CZ"/>
        </w:rPr>
        <w:t>dnem podpisu této smlouvy</w:t>
      </w:r>
      <w:r w:rsidR="001E31E2">
        <w:rPr>
          <w:lang w:val="cs-CZ"/>
        </w:rPr>
        <w:t>,</w:t>
      </w:r>
      <w:r>
        <w:rPr>
          <w:lang w:val="cs-CZ"/>
        </w:rPr>
        <w:t xml:space="preserve"> a to seznámením se s posledním vývojem </w:t>
      </w:r>
      <w:r w:rsidR="0005478E">
        <w:rPr>
          <w:lang w:val="cs-CZ"/>
        </w:rPr>
        <w:t>Účetní jednotky</w:t>
      </w:r>
      <w:r>
        <w:rPr>
          <w:lang w:val="cs-CZ"/>
        </w:rPr>
        <w:t xml:space="preserve"> a průběžnými výsledky. </w:t>
      </w:r>
    </w:p>
    <w:p w14:paraId="0E9A3A97" w14:textId="77777777" w:rsidR="00AE7F1C" w:rsidRDefault="00AE7F1C" w:rsidP="008F3F78">
      <w:pPr>
        <w:pStyle w:val="Zkladntext"/>
        <w:ind w:left="567"/>
        <w:rPr>
          <w:lang w:val="cs-CZ"/>
        </w:rPr>
      </w:pPr>
    </w:p>
    <w:p w14:paraId="4DC67278" w14:textId="7DDDBBB0" w:rsidR="007A2D42" w:rsidRPr="00CD20F7" w:rsidRDefault="00AE7F1C" w:rsidP="008F3F78">
      <w:pPr>
        <w:pStyle w:val="Zkladntext"/>
        <w:ind w:left="567"/>
        <w:rPr>
          <w:lang w:val="cs-CZ"/>
        </w:rPr>
      </w:pPr>
      <w:r w:rsidRPr="00CD20F7">
        <w:rPr>
          <w:lang w:val="cs-CZ"/>
        </w:rPr>
        <w:t xml:space="preserve">V </w:t>
      </w:r>
      <w:r w:rsidR="000A643E" w:rsidRPr="00CD20F7">
        <w:rPr>
          <w:lang w:val="cs-CZ"/>
        </w:rPr>
        <w:t xml:space="preserve">měsících </w:t>
      </w:r>
      <w:r w:rsidR="00E05C2E">
        <w:rPr>
          <w:lang w:val="cs-CZ"/>
        </w:rPr>
        <w:t>duben 2020</w:t>
      </w:r>
      <w:r w:rsidR="00561BCC" w:rsidRPr="00CD20F7">
        <w:rPr>
          <w:lang w:val="cs-CZ"/>
        </w:rPr>
        <w:t xml:space="preserve"> až </w:t>
      </w:r>
      <w:r w:rsidR="00E05C2E">
        <w:rPr>
          <w:lang w:val="cs-CZ"/>
        </w:rPr>
        <w:t>srpen</w:t>
      </w:r>
      <w:r w:rsidR="00383EF5" w:rsidRPr="00CD20F7">
        <w:rPr>
          <w:lang w:val="cs-CZ"/>
        </w:rPr>
        <w:t xml:space="preserve"> 20</w:t>
      </w:r>
      <w:r w:rsidR="00795BA8" w:rsidRPr="00CD20F7">
        <w:rPr>
          <w:lang w:val="cs-CZ"/>
        </w:rPr>
        <w:t>20</w:t>
      </w:r>
      <w:r w:rsidR="00521A4D" w:rsidRPr="00CD20F7">
        <w:rPr>
          <w:lang w:val="cs-CZ"/>
        </w:rPr>
        <w:t xml:space="preserve"> </w:t>
      </w:r>
      <w:r w:rsidRPr="00CD20F7">
        <w:rPr>
          <w:lang w:val="cs-CZ"/>
        </w:rPr>
        <w:t xml:space="preserve">bude probíhat po vzájemné dohodě vlastní </w:t>
      </w:r>
      <w:r w:rsidR="00521A4D" w:rsidRPr="00CD20F7">
        <w:rPr>
          <w:lang w:val="cs-CZ"/>
        </w:rPr>
        <w:t xml:space="preserve">ověření </w:t>
      </w:r>
      <w:r w:rsidRPr="00CD20F7">
        <w:rPr>
          <w:lang w:val="cs-CZ"/>
        </w:rPr>
        <w:t xml:space="preserve">účetní závěrky za </w:t>
      </w:r>
      <w:r w:rsidR="00E05C2E">
        <w:rPr>
          <w:lang w:val="cs-CZ"/>
        </w:rPr>
        <w:t>období od 1.1.2020 do 30.6.2020</w:t>
      </w:r>
      <w:r w:rsidR="00521A4D" w:rsidRPr="00CD20F7">
        <w:rPr>
          <w:lang w:val="cs-CZ"/>
        </w:rPr>
        <w:t xml:space="preserve"> tak, aby </w:t>
      </w:r>
      <w:r w:rsidR="00964128" w:rsidRPr="00CD20F7">
        <w:rPr>
          <w:lang w:val="cs-CZ"/>
        </w:rPr>
        <w:t xml:space="preserve">nejpozději do </w:t>
      </w:r>
      <w:r w:rsidR="00CD20F7" w:rsidRPr="00CD20F7">
        <w:rPr>
          <w:lang w:val="cs-CZ"/>
        </w:rPr>
        <w:t>30</w:t>
      </w:r>
      <w:r w:rsidR="00964128" w:rsidRPr="00CD20F7">
        <w:rPr>
          <w:lang w:val="cs-CZ"/>
        </w:rPr>
        <w:t xml:space="preserve">. </w:t>
      </w:r>
      <w:r w:rsidR="00E05C2E">
        <w:rPr>
          <w:lang w:val="cs-CZ"/>
        </w:rPr>
        <w:t>září</w:t>
      </w:r>
      <w:r w:rsidR="00964128" w:rsidRPr="00CD20F7">
        <w:rPr>
          <w:lang w:val="cs-CZ"/>
        </w:rPr>
        <w:t xml:space="preserve"> 20</w:t>
      </w:r>
      <w:r w:rsidR="00795BA8" w:rsidRPr="00CD20F7">
        <w:rPr>
          <w:lang w:val="cs-CZ"/>
        </w:rPr>
        <w:t>20</w:t>
      </w:r>
      <w:r w:rsidR="007A2D42" w:rsidRPr="00CD20F7">
        <w:rPr>
          <w:lang w:val="cs-CZ"/>
        </w:rPr>
        <w:t xml:space="preserve"> byla vydána statutární auditorská zpráva.</w:t>
      </w:r>
    </w:p>
    <w:p w14:paraId="51224799" w14:textId="77777777" w:rsidR="007A2D42" w:rsidRPr="00CD20F7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2B21A8E7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 w:rsidRPr="00CD20F7">
        <w:rPr>
          <w:rFonts w:eastAsia="MS Mincho"/>
          <w:lang w:val="cs-CZ"/>
        </w:rPr>
        <w:t xml:space="preserve">Konečná verze zprávy bude předána </w:t>
      </w:r>
      <w:r w:rsidR="0005478E">
        <w:rPr>
          <w:rFonts w:eastAsia="MS Mincho"/>
          <w:lang w:val="cs-CZ"/>
        </w:rPr>
        <w:t>Účetní jednotce</w:t>
      </w:r>
      <w:r w:rsidRPr="00CD20F7">
        <w:rPr>
          <w:rFonts w:eastAsia="MS Mincho"/>
          <w:lang w:val="cs-CZ"/>
        </w:rPr>
        <w:t xml:space="preserve"> ve </w:t>
      </w:r>
      <w:r w:rsidR="00353F90" w:rsidRPr="00CD20F7">
        <w:rPr>
          <w:rFonts w:eastAsia="MS Mincho"/>
          <w:lang w:val="cs-CZ"/>
        </w:rPr>
        <w:t>2</w:t>
      </w:r>
      <w:r w:rsidRPr="00CD20F7">
        <w:rPr>
          <w:rFonts w:eastAsia="MS Mincho"/>
          <w:lang w:val="cs-CZ"/>
        </w:rPr>
        <w:t xml:space="preserve"> vyhotoveních v českém jazyce </w:t>
      </w:r>
      <w:r w:rsidR="00D52C1B">
        <w:rPr>
          <w:rFonts w:eastAsia="MS Mincho"/>
          <w:lang w:val="cs-CZ"/>
        </w:rPr>
        <w:br/>
      </w:r>
      <w:r w:rsidRPr="00CD20F7">
        <w:rPr>
          <w:rFonts w:eastAsia="MS Mincho"/>
          <w:lang w:val="cs-CZ"/>
        </w:rPr>
        <w:t xml:space="preserve">po projednání konceptu příslušné zprávy. Dopis vedení </w:t>
      </w:r>
      <w:r w:rsidR="0005478E">
        <w:rPr>
          <w:rFonts w:eastAsia="MS Mincho"/>
          <w:lang w:val="cs-CZ"/>
        </w:rPr>
        <w:t>Účetní jednotky</w:t>
      </w:r>
      <w:r w:rsidR="00964128" w:rsidRPr="00CD20F7">
        <w:rPr>
          <w:rFonts w:eastAsia="MS Mincho"/>
          <w:lang w:val="cs-CZ"/>
        </w:rPr>
        <w:t xml:space="preserve"> bude předán </w:t>
      </w:r>
      <w:r w:rsidR="00C14B7E">
        <w:rPr>
          <w:rFonts w:eastAsia="MS Mincho"/>
          <w:lang w:val="cs-CZ"/>
        </w:rPr>
        <w:br/>
      </w:r>
      <w:r w:rsidR="00964128" w:rsidRPr="00CD20F7">
        <w:rPr>
          <w:rFonts w:eastAsia="MS Mincho"/>
          <w:lang w:val="cs-CZ"/>
        </w:rPr>
        <w:t xml:space="preserve">do </w:t>
      </w:r>
      <w:r w:rsidR="00CD20F7" w:rsidRPr="00CD20F7">
        <w:rPr>
          <w:rFonts w:eastAsia="MS Mincho"/>
          <w:lang w:val="cs-CZ"/>
        </w:rPr>
        <w:t>30. června</w:t>
      </w:r>
      <w:r w:rsidR="00964128" w:rsidRPr="00CD20F7">
        <w:rPr>
          <w:rFonts w:eastAsia="MS Mincho"/>
          <w:lang w:val="cs-CZ"/>
        </w:rPr>
        <w:t xml:space="preserve"> 20</w:t>
      </w:r>
      <w:r w:rsidR="00795BA8" w:rsidRPr="00CD20F7">
        <w:rPr>
          <w:rFonts w:eastAsia="MS Mincho"/>
          <w:lang w:val="cs-CZ"/>
        </w:rPr>
        <w:t>20</w:t>
      </w:r>
      <w:r w:rsidRPr="00CD20F7">
        <w:rPr>
          <w:rFonts w:eastAsia="MS Mincho"/>
          <w:lang w:val="cs-CZ"/>
        </w:rPr>
        <w:t>, po předání auditorské zprávy.</w:t>
      </w:r>
    </w:p>
    <w:p w14:paraId="4559641C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116256DF" w14:textId="77777777" w:rsidR="007A2D42" w:rsidRDefault="007A2D42" w:rsidP="008F3F78">
      <w:pPr>
        <w:ind w:left="567"/>
        <w:jc w:val="center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IV.</w:t>
      </w:r>
    </w:p>
    <w:p w14:paraId="04AB748B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Cena a způsob placení</w:t>
      </w:r>
    </w:p>
    <w:p w14:paraId="40A2AF92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3C363AEC" w14:textId="35EC1CD7" w:rsidR="00003F32" w:rsidRPr="00ED0BBF" w:rsidRDefault="00003F32" w:rsidP="00003F32">
      <w:pPr>
        <w:ind w:left="567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eastAsia="MS Mincho"/>
          <w:lang w:val="cs-CZ"/>
        </w:rPr>
        <w:t xml:space="preserve">Mezi stranami je sjednána cena ve výši </w:t>
      </w:r>
      <w:r w:rsidR="00E05C2E">
        <w:rPr>
          <w:rFonts w:eastAsia="MS Mincho"/>
          <w:lang w:val="cs-CZ"/>
        </w:rPr>
        <w:t>140</w:t>
      </w:r>
      <w:r w:rsidR="00CD20F7">
        <w:rPr>
          <w:rFonts w:eastAsia="MS Mincho"/>
          <w:lang w:val="cs-CZ"/>
        </w:rPr>
        <w:t xml:space="preserve"> 000</w:t>
      </w:r>
      <w:r>
        <w:rPr>
          <w:rFonts w:eastAsia="MS Mincho"/>
          <w:lang w:val="cs-CZ"/>
        </w:rPr>
        <w:t xml:space="preserve"> Kč, k této ceně bude fakturována DPH stanovená zákonem. Tato cena bude fakturována ve třech splátkách, první po zahájení ověřování ve výši </w:t>
      </w:r>
      <w:r w:rsidR="00156A5B">
        <w:rPr>
          <w:rFonts w:eastAsia="MS Mincho"/>
          <w:lang w:val="cs-CZ"/>
        </w:rPr>
        <w:t>5</w:t>
      </w:r>
      <w:r w:rsidR="00E05C2E">
        <w:rPr>
          <w:rFonts w:eastAsia="MS Mincho"/>
          <w:lang w:val="cs-CZ"/>
        </w:rPr>
        <w:t>0</w:t>
      </w:r>
      <w:r w:rsidR="00CD20F7">
        <w:rPr>
          <w:rFonts w:eastAsia="MS Mincho"/>
          <w:lang w:val="cs-CZ"/>
        </w:rPr>
        <w:t xml:space="preserve"> 000</w:t>
      </w:r>
      <w:r>
        <w:rPr>
          <w:rFonts w:eastAsia="MS Mincho"/>
          <w:lang w:val="cs-CZ"/>
        </w:rPr>
        <w:t xml:space="preserve"> Kč, druhá po ukončení prací na analýze vnitřního kontrolního </w:t>
      </w:r>
      <w:r>
        <w:rPr>
          <w:rFonts w:eastAsia="MS Mincho"/>
          <w:lang w:val="cs-CZ"/>
        </w:rPr>
        <w:lastRenderedPageBreak/>
        <w:t xml:space="preserve">systému a stanovení rizik ve výši </w:t>
      </w:r>
      <w:r w:rsidR="00E05C2E">
        <w:rPr>
          <w:rFonts w:eastAsia="MS Mincho"/>
          <w:lang w:val="cs-CZ"/>
        </w:rPr>
        <w:t>50</w:t>
      </w:r>
      <w:r w:rsidR="00CD20F7">
        <w:rPr>
          <w:rFonts w:eastAsia="MS Mincho"/>
          <w:lang w:val="cs-CZ"/>
        </w:rPr>
        <w:t xml:space="preserve"> 000</w:t>
      </w:r>
      <w:r>
        <w:rPr>
          <w:rFonts w:eastAsia="MS Mincho"/>
          <w:lang w:val="cs-CZ"/>
        </w:rPr>
        <w:t xml:space="preserve"> Kč a třetí po předání auditorské zprávy </w:t>
      </w:r>
      <w:r w:rsidRPr="00CD20F7">
        <w:rPr>
          <w:rFonts w:eastAsia="MS Mincho"/>
          <w:lang w:val="cs-CZ"/>
        </w:rPr>
        <w:t xml:space="preserve">ve výši </w:t>
      </w:r>
      <w:r w:rsidR="00CC2AD0">
        <w:rPr>
          <w:rFonts w:eastAsia="MS Mincho"/>
          <w:lang w:val="cs-CZ"/>
        </w:rPr>
        <w:t xml:space="preserve">      </w:t>
      </w:r>
      <w:r w:rsidR="00E05C2E">
        <w:rPr>
          <w:rFonts w:eastAsia="MS Mincho"/>
          <w:lang w:val="cs-CZ"/>
        </w:rPr>
        <w:t>40</w:t>
      </w:r>
      <w:r w:rsidR="00CD20F7" w:rsidRPr="00CD20F7">
        <w:rPr>
          <w:rFonts w:eastAsia="MS Mincho"/>
          <w:lang w:val="cs-CZ"/>
        </w:rPr>
        <w:t xml:space="preserve"> 000</w:t>
      </w:r>
      <w:r w:rsidRPr="00CD20F7">
        <w:rPr>
          <w:rFonts w:eastAsia="MS Mincho"/>
          <w:lang w:val="cs-CZ"/>
        </w:rPr>
        <w:t xml:space="preserve"> Kč. Faktury budou splatné do 14 dnů od jejich předání na účet č. 2200248608</w:t>
      </w:r>
      <w:r w:rsidRPr="00CD20F7">
        <w:rPr>
          <w:lang w:val="cs-CZ" w:eastAsia="cs-CZ"/>
        </w:rPr>
        <w:t xml:space="preserve"> / 2010.</w:t>
      </w:r>
    </w:p>
    <w:p w14:paraId="077F4322" w14:textId="77777777" w:rsidR="008B35D4" w:rsidRDefault="008B35D4" w:rsidP="00621FB7">
      <w:pPr>
        <w:ind w:left="426"/>
        <w:rPr>
          <w:rFonts w:eastAsia="MS Mincho"/>
          <w:lang w:val="cs-CZ"/>
        </w:rPr>
      </w:pPr>
    </w:p>
    <w:p w14:paraId="383F2932" w14:textId="77777777" w:rsidR="007A2D42" w:rsidRDefault="007A2D42" w:rsidP="008F3F78">
      <w:pPr>
        <w:ind w:left="567"/>
        <w:jc w:val="center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V.</w:t>
      </w:r>
    </w:p>
    <w:p w14:paraId="6A1C45B1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Rozhodné právo</w:t>
      </w:r>
    </w:p>
    <w:p w14:paraId="59AA9208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</w:p>
    <w:p w14:paraId="7FB12AF9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Právní poměry této smlouvy a případné spory se řídí českými právními předpisy a pravidly řízení. Nebude-li možné eventuální spory urovnat dohodou smluvních stran, budou předloženy k projednání a rozhodnutí příslušnému soudu.</w:t>
      </w:r>
    </w:p>
    <w:p w14:paraId="4ACA8C24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576F1A51" w14:textId="77777777" w:rsidR="007A2D42" w:rsidRDefault="007A2D42" w:rsidP="008F3F78">
      <w:pPr>
        <w:ind w:left="567"/>
        <w:jc w:val="center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VI.</w:t>
      </w:r>
    </w:p>
    <w:p w14:paraId="5C517C13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Závazek mlčenlivosti</w:t>
      </w:r>
    </w:p>
    <w:p w14:paraId="3D11DF43" w14:textId="77777777" w:rsidR="007A2D42" w:rsidRDefault="00C375BC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610C65" wp14:editId="6C258962">
                <wp:simplePos x="0" y="0"/>
                <wp:positionH relativeFrom="column">
                  <wp:posOffset>-1676718</wp:posOffset>
                </wp:positionH>
                <wp:positionV relativeFrom="paragraph">
                  <wp:posOffset>252413</wp:posOffset>
                </wp:positionV>
                <wp:extent cx="9391380" cy="3213687"/>
                <wp:effectExtent l="1584008" t="187642" r="1717992" b="193993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6025">
                          <a:off x="0" y="0"/>
                          <a:ext cx="9391380" cy="321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8FAEF" w14:textId="1FE84409" w:rsidR="00C375BC" w:rsidRPr="001B3428" w:rsidRDefault="00C375BC" w:rsidP="00C375BC">
                            <w:pPr>
                              <w:pStyle w:val="Prosttext"/>
                              <w:ind w:left="567"/>
                              <w:jc w:val="center"/>
                              <w:outlineLvl w:val="0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outline/>
                                <w:color w:val="5B9BD5" w:themeColor="accent5"/>
                                <w:sz w:val="400"/>
                                <w:szCs w:val="4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0C65" id="Textové pole 5" o:spid="_x0000_s1029" type="#_x0000_t202" style="position:absolute;left:0;text-align:left;margin-left:-132.05pt;margin-top:19.9pt;width:739.5pt;height:253.05pt;rotation:-438433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Z4OwIAAGQEAAAOAAAAZHJzL2Uyb0RvYy54bWysVNuO2jAQfa/Uf7D8XkK4LUSEFd0VVSW0&#10;uxJU+2wcGyI5Htc2JPSP+h39sY4dQum2T1VfovHM0fGcM+PM75tKkZOwrgSd07TXp0RoDkWp9zn9&#10;sl19mFLiPNMFU6BFTs/C0fvF+3fz2mRiAAdQhbAESbTLapPTg/cmSxLHD6JirgdGaCxKsBXzeLT7&#10;pLCsRvZKJYN+f5LUYAtjgQvnMPvYFuki8kspuH+W0glPVE6xNx+/Nn534Zss5izbW2YOJb+0wf6h&#10;i4qVGi+9Uj0yz8jRln9QVSW34ED6HocqASlLLqIGVJP236jZHJgRUQua48zVJvf/aPnT6cWSssjp&#10;mBLNKhzRVjQeTj++EwNKkHGwqDYuQ+TGINY3H6HBUXd5h8mgvJG2IhbQ4fRuPJ30B+NoCEokCEfv&#10;z1e/8QLCMTkbztLhFEsca8NBOpxM7wJt0rIFVmOd/ySgIiHIqcWBRlp2WjvfQjtIgGtYlUrFoSr9&#10;WwI5QyYJUtqWQ+SbXRPVDzs5OyjOqDIKwc6c4asSr14z51+Yxd3AJO67f8aPVFDnFC4RJQew3/6W&#10;D3gcGVYpqXHXcuq+HpkVlKjPGoc5S0cjpPXxMBrfDfBgbyu724o+Vg+A65zG7mIY8F51obRQveKz&#10;WIZbscQ0x7tz6rvwwbcvAJ8VF8tlBOE6GubXemN4oO683zavzJqL+x4H9wTdVrLszRBabOv68uhB&#10;lnFCwefW1Yv9uMpxxpdnF97K7Tmifv0cFj8BAAD//wMAUEsDBBQABgAIAAAAIQBWH6Vy4QAAAA0B&#10;AAAPAAAAZHJzL2Rvd25yZXYueG1sTI/LboMwEEX3lfoP1lTqLjF1KI0IJqKP7FMSZe1gB6zYY4pN&#10;oH9fd9UuR/fo3jPFdraG3NTgtUMOT8sEiMLGSY0th+Nht1gD8UGgFMah4vCtPGzL+7tC5NJN+Klu&#10;dWhJLEGfCw5dCH1OqW86ZYVful5hzC5usCLEc2ipHMQUy62hLEkyaoXGuNCJXr11qrnWo+VQvWvd&#10;n3b165e5nA77cf/xXE1Hzh8f5moDJKg5/MHwqx/VoYxOZzei9MRwYIytIsphkaZZBiQiL2ydAjlH&#10;NlmxFGhZ0P9flD8AAAD//wMAUEsBAi0AFAAGAAgAAAAhALaDOJL+AAAA4QEAABMAAAAAAAAAAAAA&#10;AAAAAAAAAFtDb250ZW50X1R5cGVzXS54bWxQSwECLQAUAAYACAAAACEAOP0h/9YAAACUAQAACwAA&#10;AAAAAAAAAAAAAAAvAQAAX3JlbHMvLnJlbHNQSwECLQAUAAYACAAAACEAw+AmeDsCAABkBAAADgAA&#10;AAAAAAAAAAAAAAAuAgAAZHJzL2Uyb0RvYy54bWxQSwECLQAUAAYACAAAACEAVh+lcuEAAAANAQAA&#10;DwAAAAAAAAAAAAAAAACVBAAAZHJzL2Rvd25yZXYueG1sUEsFBgAAAAAEAAQA8wAAAKMFAAAAAA==&#10;" filled="f" stroked="f">
                <v:textbox>
                  <w:txbxContent>
                    <w:p w14:paraId="2018FAEF" w14:textId="1FE84409" w:rsidR="00C375BC" w:rsidRPr="001B3428" w:rsidRDefault="00C375BC" w:rsidP="00C375BC">
                      <w:pPr>
                        <w:pStyle w:val="Prosttext"/>
                        <w:ind w:left="567"/>
                        <w:jc w:val="center"/>
                        <w:outlineLvl w:val="0"/>
                        <w:rPr>
                          <w:rFonts w:ascii="Times New Roman" w:eastAsia="MS Mincho" w:hAnsi="Times New Roman" w:cs="Times New Roman"/>
                          <w:b/>
                          <w:bCs/>
                          <w:outline/>
                          <w:color w:val="5B9BD5" w:themeColor="accent5"/>
                          <w:sz w:val="400"/>
                          <w:szCs w:val="4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AED891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Smluvní strany se zavazují zachovat mlčenlivost o všech skutečnostech, týkajících se druhé smluvní strany minimálně po dobu 5 let od data vydání auditorské zprávy, s výjimkou informací, které jsou obecně známy. Pro informace, které </w:t>
      </w:r>
      <w:r w:rsidR="0005478E">
        <w:rPr>
          <w:rFonts w:eastAsia="MS Mincho"/>
          <w:lang w:val="cs-CZ"/>
        </w:rPr>
        <w:t>Účetní jednotka</w:t>
      </w:r>
      <w:r>
        <w:rPr>
          <w:rFonts w:eastAsia="MS Mincho"/>
          <w:lang w:val="cs-CZ"/>
        </w:rPr>
        <w:t xml:space="preserve"> prohlásila </w:t>
      </w:r>
      <w:r w:rsidR="00156A5B">
        <w:rPr>
          <w:rFonts w:eastAsia="MS Mincho"/>
          <w:lang w:val="cs-CZ"/>
        </w:rPr>
        <w:br/>
      </w:r>
      <w:r>
        <w:rPr>
          <w:rFonts w:eastAsia="MS Mincho"/>
          <w:lang w:val="cs-CZ"/>
        </w:rPr>
        <w:t>za předmět důvěrné informace, platí závazek mlčenlivosti bez omezení. Důvěrné informace nesmějí být použity k jiným účelům, než k plnění předmětu této smlouvy (při porušení závazku diskrétnosti má poškozená strana právo na náhradu škody).</w:t>
      </w:r>
    </w:p>
    <w:p w14:paraId="5BB71A9A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1A845D64" w14:textId="70F0BDD5" w:rsidR="007A2D42" w:rsidRDefault="002B2B2A" w:rsidP="002B2B2A">
      <w:pPr>
        <w:tabs>
          <w:tab w:val="center" w:pos="4960"/>
          <w:tab w:val="left" w:pos="5940"/>
        </w:tabs>
        <w:ind w:left="567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ab/>
      </w:r>
      <w:r w:rsidR="007A2D42">
        <w:rPr>
          <w:rFonts w:eastAsia="MS Mincho"/>
          <w:b/>
          <w:bCs/>
          <w:lang w:val="cs-CZ"/>
        </w:rPr>
        <w:t>VII.</w:t>
      </w:r>
      <w:r>
        <w:rPr>
          <w:rFonts w:eastAsia="MS Mincho"/>
          <w:b/>
          <w:bCs/>
          <w:lang w:val="cs-CZ"/>
        </w:rPr>
        <w:tab/>
      </w:r>
    </w:p>
    <w:p w14:paraId="62FF77D4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Platnost smlouvy</w:t>
      </w:r>
    </w:p>
    <w:p w14:paraId="7DA4EA30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</w:p>
    <w:p w14:paraId="3AB91C0A" w14:textId="46A7EF38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Tato smlouva platí pro roční ú</w:t>
      </w:r>
      <w:r w:rsidR="00964128">
        <w:rPr>
          <w:rFonts w:eastAsia="MS Mincho"/>
          <w:lang w:val="cs-CZ"/>
        </w:rPr>
        <w:t xml:space="preserve">četní závěrku </w:t>
      </w:r>
      <w:r w:rsidR="00E05C2E">
        <w:rPr>
          <w:rFonts w:eastAsia="MS Mincho"/>
          <w:lang w:val="cs-CZ"/>
        </w:rPr>
        <w:t>sestavenou za období od 1.1.2020 do 30.6.2020</w:t>
      </w:r>
      <w:r>
        <w:rPr>
          <w:rFonts w:eastAsia="MS Mincho"/>
          <w:lang w:val="cs-CZ"/>
        </w:rPr>
        <w:t>. Obě strany mají právo smlouvu písemně vypovědět s měsíční výpovědní lhůtou. V průběhu prací na ověření účetní závěrky je možné smlouvu vypovědět jen v případě vážného porušení povinností smluvních stran uvedených v této smlouvě nebo upravených obecně závaznými předpisy</w:t>
      </w:r>
      <w:r w:rsidR="00413B54">
        <w:rPr>
          <w:rFonts w:eastAsia="MS Mincho"/>
          <w:lang w:val="cs-CZ"/>
        </w:rPr>
        <w:t>,</w:t>
      </w:r>
      <w:r>
        <w:rPr>
          <w:rFonts w:eastAsia="MS Mincho"/>
          <w:lang w:val="cs-CZ"/>
        </w:rPr>
        <w:t xml:space="preserve"> a to písemně předem. Obě strany mají také nárok na náhradu škody způsobené druhou stranou porušením podmínek této smlouvy nebo obecně závazných předpisů.</w:t>
      </w:r>
    </w:p>
    <w:p w14:paraId="6A7574FC" w14:textId="77777777" w:rsidR="007A2D42" w:rsidRDefault="007A2D42" w:rsidP="008F3F78">
      <w:pPr>
        <w:ind w:left="567"/>
        <w:rPr>
          <w:rFonts w:eastAsia="MS Mincho"/>
          <w:lang w:val="cs-CZ"/>
        </w:rPr>
      </w:pPr>
    </w:p>
    <w:p w14:paraId="3715E115" w14:textId="77777777" w:rsidR="007A2D42" w:rsidRDefault="007A2D42" w:rsidP="008F3F78">
      <w:pPr>
        <w:ind w:left="567"/>
        <w:jc w:val="center"/>
        <w:outlineLvl w:val="0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VIII.</w:t>
      </w:r>
    </w:p>
    <w:p w14:paraId="5D68ADEE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  <w:r>
        <w:rPr>
          <w:rFonts w:eastAsia="MS Mincho"/>
          <w:b/>
          <w:bCs/>
          <w:lang w:val="cs-CZ"/>
        </w:rPr>
        <w:t>Všeobecná ustanovení</w:t>
      </w:r>
    </w:p>
    <w:p w14:paraId="13E5725C" w14:textId="77777777" w:rsidR="007A2D42" w:rsidRDefault="007A2D42" w:rsidP="008F3F78">
      <w:pPr>
        <w:ind w:left="567"/>
        <w:jc w:val="center"/>
        <w:rPr>
          <w:rFonts w:eastAsia="MS Mincho"/>
          <w:b/>
          <w:bCs/>
          <w:lang w:val="cs-CZ"/>
        </w:rPr>
      </w:pPr>
    </w:p>
    <w:p w14:paraId="6460E04D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 xml:space="preserve">Smlouva je vyhotovena ve dvou vyhotoveních, z nichž jedno po podpisu obdrží </w:t>
      </w:r>
      <w:r w:rsidR="0005478E">
        <w:rPr>
          <w:rFonts w:eastAsia="MS Mincho"/>
          <w:lang w:val="cs-CZ"/>
        </w:rPr>
        <w:t>Účetní jednotka</w:t>
      </w:r>
      <w:r>
        <w:rPr>
          <w:rFonts w:eastAsia="MS Mincho"/>
          <w:lang w:val="cs-CZ"/>
        </w:rPr>
        <w:t xml:space="preserve"> a druhé </w:t>
      </w:r>
      <w:r w:rsidR="00946CA4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>uditor.</w:t>
      </w:r>
    </w:p>
    <w:p w14:paraId="7389E29B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</w:p>
    <w:p w14:paraId="0BC73F16" w14:textId="77777777" w:rsidR="007A2D42" w:rsidRDefault="007A2D42" w:rsidP="008F3F78">
      <w:pPr>
        <w:ind w:left="567"/>
        <w:jc w:val="both"/>
        <w:rPr>
          <w:rFonts w:eastAsia="MS Mincho"/>
          <w:lang w:val="cs-CZ"/>
        </w:rPr>
      </w:pPr>
      <w:r>
        <w:rPr>
          <w:rFonts w:eastAsia="MS Mincho"/>
          <w:lang w:val="cs-CZ"/>
        </w:rPr>
        <w:t>Každá změna smlouvy musí být provedena formou dodatku k této smlouvě, který bude vypracován ve stejném počtu vyhotovení jako vlastní smlouva.</w:t>
      </w:r>
      <w:bookmarkStart w:id="1" w:name="_Hlk534873975"/>
    </w:p>
    <w:p w14:paraId="75CBDC52" w14:textId="77777777" w:rsidR="007A2D42" w:rsidRDefault="007A2D42">
      <w:pPr>
        <w:rPr>
          <w:rFonts w:eastAsia="MS Mincho"/>
          <w:lang w:val="cs-CZ"/>
        </w:rPr>
      </w:pPr>
    </w:p>
    <w:p w14:paraId="3F8F8DB4" w14:textId="3095A21C" w:rsidR="00081F7E" w:rsidRDefault="000A643E" w:rsidP="00081F7E">
      <w:pPr>
        <w:ind w:left="567"/>
        <w:outlineLvl w:val="0"/>
        <w:rPr>
          <w:rFonts w:eastAsia="MS Mincho"/>
          <w:lang w:val="cs-CZ"/>
        </w:rPr>
      </w:pPr>
      <w:r w:rsidRPr="00472126">
        <w:rPr>
          <w:rFonts w:eastAsia="MS Mincho"/>
          <w:lang w:val="cs-CZ"/>
        </w:rPr>
        <w:t>V</w:t>
      </w:r>
      <w:r w:rsidR="00E05C2E">
        <w:rPr>
          <w:rFonts w:eastAsia="MS Mincho"/>
          <w:lang w:val="cs-CZ"/>
        </w:rPr>
        <w:t xml:space="preserve"> Liberci </w:t>
      </w:r>
      <w:r w:rsidR="00D13D80" w:rsidRPr="00B27015">
        <w:rPr>
          <w:rFonts w:eastAsia="MS Mincho"/>
          <w:lang w:val="cs-CZ"/>
        </w:rPr>
        <w:t>dn</w:t>
      </w:r>
      <w:r w:rsidR="00413B54" w:rsidRPr="00B27015">
        <w:rPr>
          <w:rFonts w:eastAsia="MS Mincho"/>
          <w:lang w:val="cs-CZ"/>
        </w:rPr>
        <w:t xml:space="preserve">e </w:t>
      </w:r>
      <w:r w:rsidR="00E05C2E">
        <w:rPr>
          <w:rFonts w:eastAsia="MS Mincho"/>
          <w:lang w:val="cs-CZ"/>
        </w:rPr>
        <w:t>16</w:t>
      </w:r>
      <w:r w:rsidR="00156A5B">
        <w:rPr>
          <w:rFonts w:eastAsia="MS Mincho"/>
          <w:lang w:val="cs-CZ"/>
        </w:rPr>
        <w:t xml:space="preserve">. </w:t>
      </w:r>
      <w:r w:rsidR="00E05C2E">
        <w:rPr>
          <w:rFonts w:eastAsia="MS Mincho"/>
          <w:lang w:val="cs-CZ"/>
        </w:rPr>
        <w:t>dubna</w:t>
      </w:r>
      <w:r w:rsidR="00156A5B">
        <w:rPr>
          <w:rFonts w:eastAsia="MS Mincho"/>
          <w:lang w:val="cs-CZ"/>
        </w:rPr>
        <w:t xml:space="preserve"> 2020</w:t>
      </w:r>
    </w:p>
    <w:p w14:paraId="690E02AC" w14:textId="77777777" w:rsidR="00081F7E" w:rsidRDefault="00081F7E" w:rsidP="00081F7E">
      <w:pPr>
        <w:ind w:left="284"/>
        <w:rPr>
          <w:rFonts w:eastAsia="MS Mincho"/>
          <w:sz w:val="22"/>
          <w:szCs w:val="22"/>
          <w:lang w:val="cs-CZ"/>
        </w:rPr>
      </w:pPr>
    </w:p>
    <w:p w14:paraId="598968B5" w14:textId="77777777" w:rsidR="00081F7E" w:rsidRDefault="00081F7E" w:rsidP="00081F7E">
      <w:pPr>
        <w:ind w:left="284"/>
        <w:rPr>
          <w:rFonts w:eastAsia="MS Mincho"/>
          <w:sz w:val="22"/>
          <w:szCs w:val="22"/>
          <w:lang w:val="cs-CZ"/>
        </w:rPr>
      </w:pPr>
    </w:p>
    <w:p w14:paraId="0782DAFF" w14:textId="397DEC27" w:rsidR="00081F7E" w:rsidRPr="007A2B22" w:rsidRDefault="00081F7E" w:rsidP="00081F7E">
      <w:pPr>
        <w:ind w:left="284"/>
        <w:rPr>
          <w:rFonts w:eastAsia="MS Mincho"/>
          <w:sz w:val="22"/>
          <w:szCs w:val="22"/>
          <w:lang w:val="cs-CZ"/>
        </w:rPr>
      </w:pPr>
      <w:r>
        <w:rPr>
          <w:rFonts w:eastAsia="MS Mincho"/>
          <w:sz w:val="22"/>
          <w:szCs w:val="22"/>
          <w:lang w:val="cs-CZ"/>
        </w:rPr>
        <w:t>…..…..……………..                      ………………………………               ……….……………………</w:t>
      </w:r>
    </w:p>
    <w:p w14:paraId="42182A0D" w14:textId="57C50917" w:rsidR="00081F7E" w:rsidRPr="007A2B22" w:rsidRDefault="00081F7E" w:rsidP="00081F7E">
      <w:pPr>
        <w:ind w:left="284"/>
        <w:rPr>
          <w:rFonts w:eastAsia="MS Mincho"/>
          <w:sz w:val="22"/>
          <w:szCs w:val="22"/>
          <w:lang w:val="cs-CZ"/>
        </w:rPr>
      </w:pPr>
      <w:r>
        <w:rPr>
          <w:rFonts w:eastAsia="MS Mincho"/>
          <w:sz w:val="22"/>
          <w:szCs w:val="22"/>
          <w:lang w:val="cs-CZ"/>
        </w:rPr>
        <w:t xml:space="preserve">   </w:t>
      </w:r>
      <w:r w:rsidRPr="007A2B22">
        <w:rPr>
          <w:rFonts w:eastAsia="MS Mincho"/>
          <w:sz w:val="22"/>
          <w:szCs w:val="22"/>
          <w:lang w:val="cs-CZ"/>
        </w:rPr>
        <w:t xml:space="preserve">Ing. Martin </w:t>
      </w:r>
      <w:proofErr w:type="gramStart"/>
      <w:r w:rsidRPr="007A2B22">
        <w:rPr>
          <w:rFonts w:eastAsia="MS Mincho"/>
          <w:sz w:val="22"/>
          <w:szCs w:val="22"/>
          <w:lang w:val="cs-CZ"/>
        </w:rPr>
        <w:t xml:space="preserve">Vogel              </w:t>
      </w:r>
      <w:r>
        <w:rPr>
          <w:rFonts w:eastAsia="MS Mincho"/>
          <w:sz w:val="22"/>
          <w:szCs w:val="22"/>
          <w:lang w:val="cs-CZ"/>
        </w:rPr>
        <w:t xml:space="preserve">                   </w:t>
      </w:r>
      <w:r>
        <w:rPr>
          <w:rFonts w:eastAsia="MS Mincho"/>
          <w:lang w:val="cs-CZ"/>
        </w:rPr>
        <w:t>Ing.</w:t>
      </w:r>
      <w:proofErr w:type="gramEnd"/>
      <w:r>
        <w:rPr>
          <w:rFonts w:eastAsia="MS Mincho"/>
          <w:lang w:val="cs-CZ"/>
        </w:rPr>
        <w:t xml:space="preserve"> Petr Šimoník </w:t>
      </w:r>
      <w:r w:rsidRPr="00DA526A">
        <w:rPr>
          <w:rFonts w:eastAsia="MS Mincho"/>
          <w:lang w:val="cs-CZ"/>
        </w:rPr>
        <w:t xml:space="preserve">               </w:t>
      </w:r>
      <w:r>
        <w:rPr>
          <w:rFonts w:eastAsia="MS Mincho"/>
          <w:lang w:val="cs-CZ"/>
        </w:rPr>
        <w:t xml:space="preserve">     </w:t>
      </w:r>
      <w:r w:rsidRPr="00DA526A">
        <w:rPr>
          <w:rFonts w:eastAsia="MS Mincho"/>
          <w:lang w:val="cs-CZ"/>
        </w:rPr>
        <w:t xml:space="preserve">  </w:t>
      </w:r>
      <w:r w:rsidR="00DC7F32">
        <w:rPr>
          <w:rFonts w:eastAsia="MS Mincho"/>
          <w:lang w:val="cs-CZ"/>
        </w:rPr>
        <w:t xml:space="preserve">       Petr Syrový</w:t>
      </w:r>
      <w:r w:rsidRPr="00DA526A">
        <w:rPr>
          <w:rFonts w:eastAsia="MS Mincho"/>
          <w:lang w:val="cs-CZ"/>
        </w:rPr>
        <w:t xml:space="preserve">        </w:t>
      </w:r>
    </w:p>
    <w:p w14:paraId="3411FE27" w14:textId="596DF0DA" w:rsidR="00081F7E" w:rsidRPr="007A2B22" w:rsidRDefault="00081F7E" w:rsidP="00081F7E">
      <w:pPr>
        <w:ind w:left="284"/>
        <w:rPr>
          <w:rFonts w:eastAsia="MS Mincho"/>
          <w:sz w:val="22"/>
          <w:szCs w:val="22"/>
          <w:lang w:val="cs-CZ"/>
        </w:rPr>
      </w:pPr>
      <w:r>
        <w:rPr>
          <w:rFonts w:eastAsia="MS Mincho"/>
          <w:sz w:val="22"/>
          <w:szCs w:val="22"/>
          <w:lang w:val="cs-CZ"/>
        </w:rPr>
        <w:t xml:space="preserve">        </w:t>
      </w:r>
      <w:proofErr w:type="gramStart"/>
      <w:r>
        <w:rPr>
          <w:rFonts w:eastAsia="MS Mincho"/>
          <w:sz w:val="22"/>
          <w:szCs w:val="22"/>
          <w:lang w:val="cs-CZ"/>
        </w:rPr>
        <w:t xml:space="preserve">jednatel               </w:t>
      </w:r>
      <w:r w:rsidRPr="007A2B22">
        <w:rPr>
          <w:rFonts w:eastAsia="MS Mincho"/>
          <w:sz w:val="22"/>
          <w:szCs w:val="22"/>
          <w:lang w:val="cs-CZ"/>
        </w:rPr>
        <w:t xml:space="preserve">        </w:t>
      </w:r>
      <w:r>
        <w:rPr>
          <w:rFonts w:eastAsia="MS Mincho"/>
          <w:sz w:val="22"/>
          <w:szCs w:val="22"/>
          <w:lang w:val="cs-CZ"/>
        </w:rPr>
        <w:t xml:space="preserve">                předseda</w:t>
      </w:r>
      <w:proofErr w:type="gramEnd"/>
      <w:r>
        <w:rPr>
          <w:rFonts w:eastAsia="MS Mincho"/>
          <w:sz w:val="22"/>
          <w:szCs w:val="22"/>
          <w:lang w:val="cs-CZ"/>
        </w:rPr>
        <w:t xml:space="preserve"> představenstva                  </w:t>
      </w:r>
      <w:r w:rsidR="00DC7F32">
        <w:rPr>
          <w:rFonts w:eastAsia="MS Mincho"/>
          <w:sz w:val="22"/>
          <w:szCs w:val="22"/>
          <w:lang w:val="cs-CZ"/>
        </w:rPr>
        <w:t xml:space="preserve">       člen </w:t>
      </w:r>
      <w:r>
        <w:rPr>
          <w:rFonts w:eastAsia="MS Mincho"/>
          <w:sz w:val="22"/>
          <w:szCs w:val="22"/>
          <w:lang w:val="cs-CZ"/>
        </w:rPr>
        <w:t xml:space="preserve">představenstva </w:t>
      </w:r>
      <w:r>
        <w:rPr>
          <w:rFonts w:eastAsia="MS Mincho"/>
          <w:sz w:val="20"/>
          <w:szCs w:val="20"/>
          <w:lang w:val="cs-CZ"/>
        </w:rPr>
        <w:t xml:space="preserve">          </w:t>
      </w:r>
      <w:r>
        <w:rPr>
          <w:rFonts w:eastAsia="MS Mincho"/>
          <w:sz w:val="22"/>
          <w:szCs w:val="22"/>
          <w:lang w:val="cs-CZ"/>
        </w:rPr>
        <w:t xml:space="preserve">               </w:t>
      </w:r>
    </w:p>
    <w:p w14:paraId="63F5B5E1" w14:textId="6F0367A0" w:rsidR="00081F7E" w:rsidRPr="00081F7E" w:rsidRDefault="00081F7E" w:rsidP="00081F7E">
      <w:pPr>
        <w:ind w:left="284"/>
        <w:rPr>
          <w:rFonts w:eastAsia="MS Mincho"/>
          <w:sz w:val="22"/>
          <w:szCs w:val="22"/>
          <w:lang w:val="cs-CZ"/>
        </w:rPr>
      </w:pPr>
      <w:r w:rsidRPr="00081F7E">
        <w:rPr>
          <w:rFonts w:eastAsia="MS Mincho"/>
          <w:sz w:val="22"/>
          <w:szCs w:val="22"/>
          <w:lang w:val="cs-CZ"/>
        </w:rPr>
        <w:t xml:space="preserve">   </w:t>
      </w:r>
      <w:proofErr w:type="spellStart"/>
      <w:r w:rsidRPr="00081F7E">
        <w:rPr>
          <w:rFonts w:eastAsia="MS Mincho"/>
          <w:sz w:val="22"/>
          <w:szCs w:val="22"/>
          <w:lang w:val="cs-CZ"/>
        </w:rPr>
        <w:t>AuditVogel,s.r.o</w:t>
      </w:r>
      <w:proofErr w:type="spellEnd"/>
      <w:r w:rsidRPr="00081F7E">
        <w:rPr>
          <w:rFonts w:eastAsia="MS Mincho"/>
          <w:sz w:val="22"/>
          <w:szCs w:val="22"/>
          <w:lang w:val="cs-CZ"/>
        </w:rPr>
        <w:t xml:space="preserve">.                             </w:t>
      </w:r>
      <w:r>
        <w:rPr>
          <w:rFonts w:eastAsia="MS Mincho"/>
          <w:sz w:val="22"/>
          <w:szCs w:val="22"/>
          <w:lang w:val="cs-CZ"/>
        </w:rPr>
        <w:t xml:space="preserve">                   </w:t>
      </w:r>
      <w:r w:rsidRPr="00081F7E">
        <w:rPr>
          <w:rFonts w:eastAsia="MS Mincho"/>
          <w:sz w:val="22"/>
          <w:szCs w:val="22"/>
          <w:lang w:val="cs-CZ"/>
        </w:rPr>
        <w:t>Technické služby města Liberce a.s.</w:t>
      </w:r>
    </w:p>
    <w:p w14:paraId="4598E1AF" w14:textId="7E998C54" w:rsidR="00E05C2E" w:rsidRPr="00081F7E" w:rsidRDefault="00081F7E" w:rsidP="00081F7E">
      <w:pPr>
        <w:rPr>
          <w:rFonts w:eastAsia="MS Mincho"/>
          <w:sz w:val="22"/>
          <w:szCs w:val="22"/>
          <w:lang w:val="cs-CZ"/>
        </w:rPr>
      </w:pPr>
      <w:r>
        <w:rPr>
          <w:rFonts w:eastAsia="MS Mincho"/>
          <w:lang w:val="cs-CZ"/>
        </w:rPr>
        <w:t xml:space="preserve">             </w:t>
      </w:r>
      <w:r w:rsidRPr="007A2B22">
        <w:rPr>
          <w:rFonts w:eastAsia="MS Mincho"/>
          <w:sz w:val="22"/>
          <w:szCs w:val="22"/>
          <w:lang w:val="cs-CZ"/>
        </w:rPr>
        <w:t xml:space="preserve">         </w:t>
      </w:r>
      <w:r>
        <w:rPr>
          <w:rFonts w:eastAsia="MS Mincho"/>
          <w:sz w:val="22"/>
          <w:szCs w:val="22"/>
          <w:lang w:val="cs-CZ"/>
        </w:rPr>
        <w:t xml:space="preserve">                                               </w:t>
      </w:r>
      <w:r w:rsidRPr="00DA526A">
        <w:rPr>
          <w:rFonts w:eastAsia="MS Mincho"/>
          <w:lang w:val="cs-CZ"/>
        </w:rPr>
        <w:t xml:space="preserve">       </w:t>
      </w:r>
      <w:r>
        <w:rPr>
          <w:rFonts w:eastAsia="MS Mincho"/>
          <w:sz w:val="22"/>
          <w:szCs w:val="22"/>
          <w:lang w:val="cs-CZ"/>
        </w:rPr>
        <w:t xml:space="preserve">              </w:t>
      </w:r>
      <w:bookmarkEnd w:id="1"/>
    </w:p>
    <w:sectPr w:rsidR="00E05C2E" w:rsidRPr="00081F7E" w:rsidSect="00E05C2E">
      <w:headerReference w:type="default" r:id="rId8"/>
      <w:footerReference w:type="default" r:id="rId9"/>
      <w:pgSz w:w="11906" w:h="16838"/>
      <w:pgMar w:top="1134" w:right="1276" w:bottom="709" w:left="1276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7DF19" w14:textId="77777777" w:rsidR="001946BC" w:rsidRDefault="001946BC" w:rsidP="00BE5D96">
      <w:r>
        <w:separator/>
      </w:r>
    </w:p>
  </w:endnote>
  <w:endnote w:type="continuationSeparator" w:id="0">
    <w:p w14:paraId="572C86DF" w14:textId="77777777" w:rsidR="001946BC" w:rsidRDefault="001946BC" w:rsidP="00BE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9DE2" w14:textId="77777777" w:rsidR="00081F7E" w:rsidRDefault="00081F7E" w:rsidP="00CD3FF7">
    <w:pPr>
      <w:pStyle w:val="Zpat"/>
      <w:jc w:val="center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06A41578" wp14:editId="5FD84B46">
          <wp:simplePos x="0" y="0"/>
          <wp:positionH relativeFrom="column">
            <wp:posOffset>-810261</wp:posOffset>
          </wp:positionH>
          <wp:positionV relativeFrom="paragraph">
            <wp:posOffset>78105</wp:posOffset>
          </wp:positionV>
          <wp:extent cx="7542479" cy="681355"/>
          <wp:effectExtent l="0" t="0" r="1905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patí Fügnerova ul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682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CCE47" w14:textId="77777777" w:rsidR="00081F7E" w:rsidRDefault="00081F7E" w:rsidP="00CD3FF7">
    <w:pPr>
      <w:pStyle w:val="Zpat"/>
    </w:pPr>
  </w:p>
  <w:p w14:paraId="34325834" w14:textId="77777777" w:rsidR="00081F7E" w:rsidRPr="00CD3FF7" w:rsidRDefault="00081F7E" w:rsidP="00CD3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F60B" w14:textId="77777777" w:rsidR="001946BC" w:rsidRDefault="001946BC" w:rsidP="00BE5D96">
      <w:r>
        <w:separator/>
      </w:r>
    </w:p>
  </w:footnote>
  <w:footnote w:type="continuationSeparator" w:id="0">
    <w:p w14:paraId="53CABD8A" w14:textId="77777777" w:rsidR="001946BC" w:rsidRDefault="001946BC" w:rsidP="00BE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F3CE" w14:textId="77777777" w:rsidR="00081F7E" w:rsidRDefault="00081F7E" w:rsidP="00385EA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FBC0C66" wp14:editId="7C348A21">
          <wp:simplePos x="0" y="0"/>
          <wp:positionH relativeFrom="page">
            <wp:posOffset>-52705</wp:posOffset>
          </wp:positionH>
          <wp:positionV relativeFrom="paragraph">
            <wp:posOffset>-180340</wp:posOffset>
          </wp:positionV>
          <wp:extent cx="7614285" cy="1019175"/>
          <wp:effectExtent l="0" t="0" r="0" b="0"/>
          <wp:wrapNone/>
          <wp:docPr id="1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B127B" w14:textId="77777777" w:rsidR="00081F7E" w:rsidRDefault="00081F7E" w:rsidP="00385EA9">
    <w:pPr>
      <w:pStyle w:val="Zhlav"/>
    </w:pPr>
  </w:p>
  <w:p w14:paraId="5380E10F" w14:textId="77777777" w:rsidR="00081F7E" w:rsidRDefault="00081F7E" w:rsidP="00385EA9">
    <w:pPr>
      <w:pStyle w:val="Zhlav"/>
    </w:pPr>
  </w:p>
  <w:p w14:paraId="1246D757" w14:textId="77777777" w:rsidR="00081F7E" w:rsidRDefault="00081F7E" w:rsidP="00383EF5">
    <w:pPr>
      <w:pStyle w:val="Zhlav"/>
      <w:tabs>
        <w:tab w:val="left" w:pos="2580"/>
        <w:tab w:val="left" w:pos="2985"/>
      </w:tabs>
      <w:spacing w:after="120" w:line="276" w:lineRule="auto"/>
      <w:ind w:left="284"/>
      <w:jc w:val="center"/>
      <w:rPr>
        <w:color w:val="808080"/>
      </w:rPr>
    </w:pPr>
  </w:p>
  <w:p w14:paraId="42BFE4BF" w14:textId="77777777" w:rsidR="00081F7E" w:rsidRDefault="00081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F9F"/>
    <w:multiLevelType w:val="hybridMultilevel"/>
    <w:tmpl w:val="9E72F43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6896D5D"/>
    <w:multiLevelType w:val="hybridMultilevel"/>
    <w:tmpl w:val="4E546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B987C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7635A8"/>
    <w:multiLevelType w:val="hybridMultilevel"/>
    <w:tmpl w:val="D0780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A1"/>
    <w:rsid w:val="00003F32"/>
    <w:rsid w:val="00034975"/>
    <w:rsid w:val="0005478E"/>
    <w:rsid w:val="0006402A"/>
    <w:rsid w:val="00081F7E"/>
    <w:rsid w:val="00090BF3"/>
    <w:rsid w:val="00091EEC"/>
    <w:rsid w:val="000A643E"/>
    <w:rsid w:val="000E4122"/>
    <w:rsid w:val="00101AB8"/>
    <w:rsid w:val="00110442"/>
    <w:rsid w:val="00122B00"/>
    <w:rsid w:val="00130C01"/>
    <w:rsid w:val="00136EFA"/>
    <w:rsid w:val="00143C8B"/>
    <w:rsid w:val="00156A5B"/>
    <w:rsid w:val="00167182"/>
    <w:rsid w:val="001946BC"/>
    <w:rsid w:val="001A7283"/>
    <w:rsid w:val="001B3428"/>
    <w:rsid w:val="001C689E"/>
    <w:rsid w:val="001D1F82"/>
    <w:rsid w:val="001E31E2"/>
    <w:rsid w:val="001F6782"/>
    <w:rsid w:val="00206042"/>
    <w:rsid w:val="00213DD2"/>
    <w:rsid w:val="00247213"/>
    <w:rsid w:val="002565E7"/>
    <w:rsid w:val="00261F84"/>
    <w:rsid w:val="00271BA2"/>
    <w:rsid w:val="00296922"/>
    <w:rsid w:val="002B2B2A"/>
    <w:rsid w:val="002B5E37"/>
    <w:rsid w:val="002B5FDB"/>
    <w:rsid w:val="00304EF3"/>
    <w:rsid w:val="00306B62"/>
    <w:rsid w:val="0032455F"/>
    <w:rsid w:val="003439AD"/>
    <w:rsid w:val="00350A13"/>
    <w:rsid w:val="00353F90"/>
    <w:rsid w:val="00382616"/>
    <w:rsid w:val="00383EF5"/>
    <w:rsid w:val="00385EA9"/>
    <w:rsid w:val="003B0831"/>
    <w:rsid w:val="003D55BA"/>
    <w:rsid w:val="004121B5"/>
    <w:rsid w:val="00413B54"/>
    <w:rsid w:val="00436B51"/>
    <w:rsid w:val="00443C6C"/>
    <w:rsid w:val="004543C1"/>
    <w:rsid w:val="00472126"/>
    <w:rsid w:val="004A5095"/>
    <w:rsid w:val="004B04D7"/>
    <w:rsid w:val="004D4AF1"/>
    <w:rsid w:val="004F3BBC"/>
    <w:rsid w:val="004F462F"/>
    <w:rsid w:val="00521A4D"/>
    <w:rsid w:val="00523FD1"/>
    <w:rsid w:val="00561BCC"/>
    <w:rsid w:val="00581EC5"/>
    <w:rsid w:val="005D1F19"/>
    <w:rsid w:val="005D5A5A"/>
    <w:rsid w:val="006204A1"/>
    <w:rsid w:val="00621902"/>
    <w:rsid w:val="00621FB7"/>
    <w:rsid w:val="00663DE6"/>
    <w:rsid w:val="00673DB8"/>
    <w:rsid w:val="00682575"/>
    <w:rsid w:val="006C0CCA"/>
    <w:rsid w:val="006C2023"/>
    <w:rsid w:val="00710E14"/>
    <w:rsid w:val="007345F7"/>
    <w:rsid w:val="00736D5C"/>
    <w:rsid w:val="00747979"/>
    <w:rsid w:val="007727D4"/>
    <w:rsid w:val="00795BA8"/>
    <w:rsid w:val="007A2B22"/>
    <w:rsid w:val="007A2D42"/>
    <w:rsid w:val="007B046A"/>
    <w:rsid w:val="007C502A"/>
    <w:rsid w:val="007D533D"/>
    <w:rsid w:val="007D690D"/>
    <w:rsid w:val="008204E9"/>
    <w:rsid w:val="00883CDC"/>
    <w:rsid w:val="008B35D4"/>
    <w:rsid w:val="008D095F"/>
    <w:rsid w:val="008D661E"/>
    <w:rsid w:val="008F3F78"/>
    <w:rsid w:val="0093524E"/>
    <w:rsid w:val="00946CA4"/>
    <w:rsid w:val="009570D5"/>
    <w:rsid w:val="00960E97"/>
    <w:rsid w:val="00964128"/>
    <w:rsid w:val="00977D8D"/>
    <w:rsid w:val="00991FBD"/>
    <w:rsid w:val="0099586C"/>
    <w:rsid w:val="009977E8"/>
    <w:rsid w:val="00A367CB"/>
    <w:rsid w:val="00A858B6"/>
    <w:rsid w:val="00AA10B4"/>
    <w:rsid w:val="00AC1FD1"/>
    <w:rsid w:val="00AD4540"/>
    <w:rsid w:val="00AE7F1C"/>
    <w:rsid w:val="00AF0556"/>
    <w:rsid w:val="00B02643"/>
    <w:rsid w:val="00B147AD"/>
    <w:rsid w:val="00B27015"/>
    <w:rsid w:val="00B31159"/>
    <w:rsid w:val="00B43312"/>
    <w:rsid w:val="00B65C1C"/>
    <w:rsid w:val="00B66D4A"/>
    <w:rsid w:val="00B73396"/>
    <w:rsid w:val="00B77FB9"/>
    <w:rsid w:val="00B97EA3"/>
    <w:rsid w:val="00BA3556"/>
    <w:rsid w:val="00BC01E3"/>
    <w:rsid w:val="00BE3AC8"/>
    <w:rsid w:val="00BE5D96"/>
    <w:rsid w:val="00C03961"/>
    <w:rsid w:val="00C047FE"/>
    <w:rsid w:val="00C14B7E"/>
    <w:rsid w:val="00C375BC"/>
    <w:rsid w:val="00C54544"/>
    <w:rsid w:val="00CA58FC"/>
    <w:rsid w:val="00CC2AD0"/>
    <w:rsid w:val="00CD20F7"/>
    <w:rsid w:val="00CE2B7D"/>
    <w:rsid w:val="00CE3D96"/>
    <w:rsid w:val="00CF5114"/>
    <w:rsid w:val="00D13D80"/>
    <w:rsid w:val="00D20B39"/>
    <w:rsid w:val="00D23ADE"/>
    <w:rsid w:val="00D52C1B"/>
    <w:rsid w:val="00DA7643"/>
    <w:rsid w:val="00DC7F32"/>
    <w:rsid w:val="00DD181A"/>
    <w:rsid w:val="00DD41B9"/>
    <w:rsid w:val="00DD68CF"/>
    <w:rsid w:val="00E05474"/>
    <w:rsid w:val="00E05C2E"/>
    <w:rsid w:val="00E1513E"/>
    <w:rsid w:val="00E25C89"/>
    <w:rsid w:val="00E358DB"/>
    <w:rsid w:val="00E67854"/>
    <w:rsid w:val="00E7694E"/>
    <w:rsid w:val="00E86764"/>
    <w:rsid w:val="00E87CA2"/>
    <w:rsid w:val="00E931BC"/>
    <w:rsid w:val="00E96294"/>
    <w:rsid w:val="00ED0BBF"/>
    <w:rsid w:val="00EE3533"/>
    <w:rsid w:val="00EE752C"/>
    <w:rsid w:val="00EF33E9"/>
    <w:rsid w:val="00F344F1"/>
    <w:rsid w:val="00F74EE8"/>
    <w:rsid w:val="00FC62C3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8548B"/>
  <w15:docId w15:val="{6C670EDC-C76F-414D-A4F7-985BC4C2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21F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qFormat/>
    <w:pPr>
      <w:jc w:val="center"/>
    </w:pPr>
    <w:rPr>
      <w:sz w:val="32"/>
      <w:lang w:val="cs-CZ"/>
    </w:rPr>
  </w:style>
  <w:style w:type="paragraph" w:styleId="Zkladntextodsazen">
    <w:name w:val="Body Text Indent"/>
    <w:basedOn w:val="Normln"/>
    <w:semiHidden/>
    <w:pPr>
      <w:ind w:left="720"/>
    </w:pPr>
    <w:rPr>
      <w:rFonts w:eastAsia="MS Mincho"/>
    </w:rPr>
  </w:style>
  <w:style w:type="paragraph" w:styleId="Zkladntextodsazen2">
    <w:name w:val="Body Text Indent 2"/>
    <w:basedOn w:val="Normln"/>
    <w:semiHidden/>
    <w:pPr>
      <w:ind w:left="900" w:hanging="180"/>
    </w:pPr>
    <w:rPr>
      <w:rFonts w:eastAsia="MS Mincho"/>
    </w:rPr>
  </w:style>
  <w:style w:type="paragraph" w:styleId="Zkladntext">
    <w:name w:val="Body Text"/>
    <w:basedOn w:val="Normln"/>
    <w:semiHidden/>
    <w:pPr>
      <w:jc w:val="both"/>
    </w:pPr>
    <w:rPr>
      <w:rFonts w:eastAsia="MS Mincho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61BCC"/>
  </w:style>
  <w:style w:type="paragraph" w:styleId="Zhlav">
    <w:name w:val="header"/>
    <w:basedOn w:val="Normln"/>
    <w:link w:val="ZhlavChar"/>
    <w:uiPriority w:val="99"/>
    <w:unhideWhenUsed/>
    <w:rsid w:val="00BE5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5D9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E5D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5D96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D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5D96"/>
    <w:rPr>
      <w:rFonts w:ascii="Tahoma" w:hAnsi="Tahoma" w:cs="Tahoma"/>
      <w:sz w:val="16"/>
      <w:szCs w:val="16"/>
      <w:lang w:val="en-US" w:eastAsia="en-US"/>
    </w:rPr>
  </w:style>
  <w:style w:type="character" w:customStyle="1" w:styleId="NzevChar">
    <w:name w:val="Název Char"/>
    <w:link w:val="Nzev"/>
    <w:rsid w:val="00DA7643"/>
    <w:rPr>
      <w:sz w:val="32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621FB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C375B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08BC-7890-4FC7-9579-B033BA8C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AuditVogel, s.r.o.</vt:lpstr>
    </vt:vector>
  </TitlesOfParts>
  <Company>Hewlett-Packard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AuditVogel, s.r.o.</dc:title>
  <dc:subject>Děčín, Děčín I – Děčín, Masarykovo nám. 3/3, PSČ 405 02, tel.: 412 510 134, www.auditvogel.cz</dc:subject>
  <dc:creator>Osvědčení č. 1718</dc:creator>
  <cp:lastModifiedBy>Špičková Tereza</cp:lastModifiedBy>
  <cp:revision>2</cp:revision>
  <cp:lastPrinted>2020-04-14T11:25:00Z</cp:lastPrinted>
  <dcterms:created xsi:type="dcterms:W3CDTF">2020-04-16T11:21:00Z</dcterms:created>
  <dcterms:modified xsi:type="dcterms:W3CDTF">2020-04-16T11:21:00Z</dcterms:modified>
</cp:coreProperties>
</file>