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287" w:rsidRDefault="00E769DF">
      <w:pPr>
        <w:pBdr>
          <w:top w:val="nil"/>
          <w:left w:val="nil"/>
          <w:bottom w:val="nil"/>
          <w:right w:val="nil"/>
          <w:between w:val="nil"/>
        </w:pBdr>
        <w:spacing w:line="240" w:lineRule="auto"/>
        <w:ind w:left="1" w:hanging="3"/>
        <w:rPr>
          <w:rFonts w:eastAsia="Garamond" w:cs="Garamond"/>
          <w:b/>
          <w:smallCaps/>
          <w:sz w:val="28"/>
          <w:szCs w:val="28"/>
        </w:rPr>
      </w:pPr>
      <w:r>
        <w:rPr>
          <w:rFonts w:eastAsia="Garamond" w:cs="Garamond"/>
          <w:b/>
          <w:smallCaps/>
          <w:sz w:val="28"/>
          <w:szCs w:val="28"/>
        </w:rPr>
        <w:t xml:space="preserve">LICENČNÍ SMLOUVA K SOFTWARE č. </w:t>
      </w:r>
      <w:r>
        <w:rPr>
          <w:rFonts w:eastAsia="Garamond" w:cs="Garamond"/>
          <w:b/>
          <w:sz w:val="28"/>
          <w:szCs w:val="28"/>
        </w:rPr>
        <w:t>2020032401</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Níže uvedeného dne, měsíce a roku uzavřely</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obchodní společnost</w:t>
      </w:r>
    </w:p>
    <w:p w:rsidR="00353287" w:rsidRDefault="00E769DF">
      <w:pPr>
        <w:pBdr>
          <w:top w:val="nil"/>
          <w:left w:val="nil"/>
          <w:bottom w:val="nil"/>
          <w:right w:val="nil"/>
          <w:between w:val="nil"/>
        </w:pBdr>
        <w:spacing w:line="240" w:lineRule="auto"/>
        <w:ind w:left="0" w:hanging="2"/>
        <w:rPr>
          <w:rFonts w:eastAsia="Garamond" w:cs="Garamond"/>
          <w:szCs w:val="24"/>
        </w:rPr>
      </w:pPr>
      <w:proofErr w:type="spellStart"/>
      <w:r>
        <w:rPr>
          <w:rFonts w:eastAsia="Garamond" w:cs="Garamond"/>
          <w:b/>
          <w:szCs w:val="24"/>
        </w:rPr>
        <w:t>Good</w:t>
      </w:r>
      <w:proofErr w:type="spellEnd"/>
      <w:r>
        <w:rPr>
          <w:rFonts w:eastAsia="Garamond" w:cs="Garamond"/>
          <w:b/>
          <w:szCs w:val="24"/>
        </w:rPr>
        <w:t xml:space="preserve"> </w:t>
      </w:r>
      <w:proofErr w:type="spellStart"/>
      <w:r>
        <w:rPr>
          <w:rFonts w:eastAsia="Garamond" w:cs="Garamond"/>
          <w:b/>
          <w:szCs w:val="24"/>
        </w:rPr>
        <w:t>Sailors</w:t>
      </w:r>
      <w:proofErr w:type="spellEnd"/>
      <w:r>
        <w:rPr>
          <w:rFonts w:eastAsia="Garamond" w:cs="Garamond"/>
          <w:b/>
          <w:szCs w:val="24"/>
        </w:rPr>
        <w:t>, s.r.o.</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se sídlem Provaznická 737/12, Děčín I-Děčín, 405 02 Děčín</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254 57 781</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zapsaná v obchodním rejstříku vedeném Krajským soudem v Ústí nad Labem oddíl C, vložka 19121</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bankovní spojení </w:t>
      </w:r>
      <w:bookmarkStart w:id="0" w:name="bookmark=id.gjdgxs" w:colFirst="0" w:colLast="0"/>
      <w:bookmarkEnd w:id="0"/>
      <w:r>
        <w:rPr>
          <w:rFonts w:eastAsia="Garamond" w:cs="Garamond"/>
          <w:szCs w:val="24"/>
        </w:rPr>
        <w:t>162285846/0600</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kterou zastupuje Darina Maule, jednatel</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poskytovatel</w:t>
      </w:r>
      <w:r>
        <w:rPr>
          <w:rFonts w:eastAsia="Garamond" w:cs="Garamond"/>
          <w:szCs w:val="24"/>
        </w:rPr>
        <w:t>“ na straně jedné)</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a</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obchodní společnost</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Rozvojový fond Pardubice a.s.</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se sídlem </w:t>
      </w:r>
      <w:r>
        <w:rPr>
          <w:rFonts w:eastAsia="Garamond" w:cs="Garamond"/>
          <w:sz w:val="22"/>
          <w:szCs w:val="22"/>
        </w:rPr>
        <w:t>třída Míru 90, 530 02 Pardubice</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IČ: </w:t>
      </w:r>
      <w:r>
        <w:rPr>
          <w:rFonts w:eastAsia="Garamond" w:cs="Garamond"/>
          <w:sz w:val="22"/>
          <w:szCs w:val="22"/>
        </w:rPr>
        <w:t>252 91 408</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zapsaná v obchodním rejstříku vedeném u Krajského soudu v Hradci Králové, oddíl B, vložka 1822</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kterou zastupuje Mgr. Ondřej Šebek, místopředseda představenstva</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nabyvatel</w:t>
      </w:r>
      <w:r>
        <w:rPr>
          <w:rFonts w:eastAsia="Garamond" w:cs="Garamond"/>
          <w:szCs w:val="24"/>
        </w:rPr>
        <w:t>“ na straně druhé)</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tuto</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single" w:sz="12" w:space="1" w:color="000000"/>
          <w:right w:val="nil"/>
          <w:between w:val="nil"/>
        </w:pBdr>
        <w:spacing w:line="240" w:lineRule="auto"/>
        <w:ind w:left="0" w:hanging="2"/>
        <w:rPr>
          <w:rFonts w:eastAsia="Garamond" w:cs="Garamond"/>
          <w:b/>
          <w:smallCaps/>
          <w:szCs w:val="24"/>
        </w:rPr>
      </w:pPr>
      <w:r>
        <w:rPr>
          <w:rFonts w:eastAsia="Garamond" w:cs="Garamond"/>
          <w:b/>
          <w:smallCaps/>
          <w:szCs w:val="24"/>
        </w:rPr>
        <w:t>LICENČNÍ SMLOUVU K SOFTWARE</w:t>
      </w:r>
    </w:p>
    <w:p w:rsidR="00353287" w:rsidRDefault="00E769DF">
      <w:pPr>
        <w:pBdr>
          <w:top w:val="nil"/>
          <w:left w:val="nil"/>
          <w:bottom w:val="single" w:sz="12" w:space="1" w:color="000000"/>
          <w:right w:val="nil"/>
          <w:between w:val="nil"/>
        </w:pBdr>
        <w:spacing w:line="240" w:lineRule="auto"/>
        <w:ind w:left="0" w:hanging="2"/>
        <w:rPr>
          <w:rFonts w:eastAsia="Garamond" w:cs="Garamond"/>
          <w:szCs w:val="24"/>
        </w:rPr>
      </w:pPr>
      <w:r>
        <w:rPr>
          <w:rFonts w:eastAsia="Garamond" w:cs="Garamond"/>
          <w:szCs w:val="24"/>
        </w:rPr>
        <w:t>dle ustanovení § 2358 zákona č. 89/2012 Sb., občanský zákoník, ve znění pozdějších předpisů (dále jen „</w:t>
      </w:r>
      <w:r>
        <w:rPr>
          <w:rFonts w:eastAsia="Garamond" w:cs="Garamond"/>
          <w:b/>
          <w:szCs w:val="24"/>
        </w:rPr>
        <w:t>občanský zákoník</w:t>
      </w:r>
      <w:r>
        <w:rPr>
          <w:rFonts w:eastAsia="Garamond" w:cs="Garamond"/>
          <w:szCs w:val="24"/>
        </w:rPr>
        <w:t>“)</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ÚVODNÍ USTANOVENÍ</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je oprávněn poskytovat licence k počítačovému programu nazvanému Dobrá spisovka a určenému k správě dokumentů. Počítačový program podle předchozí věty je blíže specifikován v příloze č. 1 této smlouvy (dále jen jako „</w:t>
      </w:r>
      <w:r>
        <w:rPr>
          <w:rFonts w:eastAsia="Garamond" w:cs="Garamond"/>
          <w:b/>
          <w:szCs w:val="24"/>
        </w:rPr>
        <w:t>software</w:t>
      </w:r>
      <w:r>
        <w:rPr>
          <w:rFonts w:eastAsia="Garamond" w:cs="Garamond"/>
          <w:szCs w:val="24"/>
        </w:rPr>
        <w:t>“).</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Tato smlouva upravuje práva a povinnosti smluvních stran ohledně poskytnutí nevýhradní licence k software nabyvateli a související právní vztahy. V souvislosti s touto smlouvou uzavírají smluvní strany také smlouvu o využívání aplikace, na </w:t>
      </w:r>
      <w:proofErr w:type="gramStart"/>
      <w:r>
        <w:rPr>
          <w:rFonts w:eastAsia="Garamond" w:cs="Garamond"/>
          <w:szCs w:val="24"/>
        </w:rPr>
        <w:t>základě</w:t>
      </w:r>
      <w:proofErr w:type="gramEnd"/>
      <w:r>
        <w:rPr>
          <w:rFonts w:eastAsia="Garamond" w:cs="Garamond"/>
          <w:szCs w:val="24"/>
        </w:rPr>
        <w:t xml:space="preserve"> které bude software nabyvateli zpřístupňován formou </w:t>
      </w:r>
      <w:proofErr w:type="spellStart"/>
      <w:r>
        <w:rPr>
          <w:rFonts w:eastAsia="Garamond" w:cs="Garamond"/>
          <w:szCs w:val="24"/>
        </w:rPr>
        <w:t>SaaS</w:t>
      </w:r>
      <w:proofErr w:type="spellEnd"/>
      <w:r>
        <w:rPr>
          <w:rFonts w:eastAsia="Garamond" w:cs="Garamond"/>
          <w:szCs w:val="24"/>
        </w:rPr>
        <w:t xml:space="preserve"> (Software as a </w:t>
      </w:r>
      <w:proofErr w:type="spellStart"/>
      <w:r>
        <w:rPr>
          <w:rFonts w:eastAsia="Garamond" w:cs="Garamond"/>
          <w:szCs w:val="24"/>
        </w:rPr>
        <w:t>Service</w:t>
      </w:r>
      <w:proofErr w:type="spellEnd"/>
      <w:r>
        <w:rPr>
          <w:rFonts w:eastAsia="Garamond" w:cs="Garamond"/>
          <w:szCs w:val="24"/>
        </w:rPr>
        <w:t>) (dále jen „</w:t>
      </w:r>
      <w:r>
        <w:rPr>
          <w:rFonts w:eastAsia="Garamond" w:cs="Garamond"/>
          <w:b/>
          <w:szCs w:val="24"/>
        </w:rPr>
        <w:t>servisní smlouva</w:t>
      </w:r>
      <w:r>
        <w:rPr>
          <w:rFonts w:eastAsia="Garamond" w:cs="Garamond"/>
          <w:szCs w:val="24"/>
        </w:rPr>
        <w:t>“).</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bookmarkStart w:id="1" w:name="_heading=h.30j0zll" w:colFirst="0" w:colLast="0"/>
      <w:bookmarkEnd w:id="1"/>
      <w:r>
        <w:rPr>
          <w:rFonts w:eastAsia="Garamond" w:cs="Garamond"/>
          <w:b/>
          <w:smallCaps/>
          <w:szCs w:val="24"/>
        </w:rPr>
        <w:lastRenderedPageBreak/>
        <w:t>PŘEDMĚT SMLOUVY</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touto smlouvou poskytuje nabyvateli oprávnění k výkonu práva software užít (licence), a to způsoby a v rozsahu stanoveném v čl. 3 této smlouvy.</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se touto smlouvou zavazuje za poskytnutí licence dle čl. 2.1 této smlouvy zaplatit poskytovateli licenční odměnu stanovenou v souladu s čl. 5 této smlouvy.</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2" w:name="_heading=h.1fob9te" w:colFirst="0" w:colLast="0"/>
      <w:bookmarkEnd w:id="2"/>
      <w:r>
        <w:rPr>
          <w:rFonts w:eastAsia="Garamond" w:cs="Garamond"/>
          <w:szCs w:val="24"/>
        </w:rPr>
        <w:t>Software je poskytovatelem nabyvateli poskytován výhradně pro užití na serveru poskytovatele.</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LICENCE K SOFTWARE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poskytuje nabyvateli licenci k software jako nevýhradní.</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zhotovením jedné (1) rozmnoženiny software, jejíž funkcionalita bude koncovým uživatelům zpřístupňována prostřednictvím dálkového přístupu. Oprávnění podle předchozí věty je nabyvatel oprávněn realizovat výhradně prostřednictvím poskytovatele, tedy tím způsobem, že rozmnoženina software bude zhotovena poskytovatelem.</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nabývá licenci k software okamžikem uhrazení celé licenční odměny poskytovateli. Licence k software je poskytnuta na dobu trvání servisní smlouvy.</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výhradně pro svou vlastní potřebu. Užitím pro vlastní potřebu podle této smlouvy se rozumí využití software členy statutárního orgánu nabyvatele a zaměstnanci nabyvatele jako koncovými uživateli software. Nabyvatel je oprávněn software užít pouze k účelu vyplývajícímu z licenční smlouvy a v souladu s určením software.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povinen licenci k software využít.</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Rozsah užití software může být omezen technickými prostředky ochrany práv poskytovatele.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nemůže oprávnění tvořící součást licence k software, ať zcela nebo zčásti, poskytnout třetí osobě bez předchozího písemného souhlasu poskytovatele (poskytovat podlicence). Nabyvatel nemůže práva a povinnosti z této licence postoupit třetí osobě bez předchozího písemného souhlasu poskytovatele.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software měnit či upravovat, není-li obecně závaznými právními předpisy stanoveno jinak. V případě provedení oprav, úprav, aktualizací či jiných změn software ze strany poskytovatele a jejich předání nabyvateli je licence poskytnuta i k takto změněnému software.</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UŽITÍ SOFTWARE NABYVATELEM</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bere na vědomí, že software je chráněn autorským právem. Nabyvatel se zavazuje, že nebude vykonávat žádnou činnost, která by mohla jemu nebo třetím osobám umožnit neoprávněné užití software.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 xml:space="preserve">Není-li obecně závaznými právními předpisy stanoveno jinak, není nabyvatel oprávněn provádět </w:t>
      </w:r>
      <w:proofErr w:type="spellStart"/>
      <w:r>
        <w:rPr>
          <w:rFonts w:eastAsia="Garamond" w:cs="Garamond"/>
          <w:szCs w:val="24"/>
        </w:rPr>
        <w:t>dekompilaci</w:t>
      </w:r>
      <w:proofErr w:type="spellEnd"/>
      <w:r>
        <w:rPr>
          <w:rFonts w:eastAsia="Garamond" w:cs="Garamond"/>
          <w:szCs w:val="24"/>
        </w:rPr>
        <w:t xml:space="preserve"> software.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obcházet, odstraňovat či omezovat mechanismy, jež slouží k ochraně práv poskytovatele a případné informace ohledně autorských práv k software.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3" w:name="_heading=h.3znysh7" w:colFirst="0" w:colLast="0"/>
      <w:bookmarkEnd w:id="3"/>
      <w:r>
        <w:rPr>
          <w:rFonts w:eastAsia="Garamond" w:cs="Garamond"/>
          <w:szCs w:val="24"/>
        </w:rPr>
        <w:t>Nabyvatel bere na vědomí, že k řádnému užití software může být nezbytná součinnost s dalšími počítačovými programy (kupříkladu s webovým prohlížečem). Nabyvatel bere na vědomí, že užití těchto dalších počítačových programů se řídí zvláštními smluvními ujednáními s nositeli práv k těmto počítačovým programům.</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LICENČNÍ ODMĚNA</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poskytuje licenci bezúplatně</w:t>
      </w:r>
      <w:proofErr w:type="gramStart"/>
      <w:r>
        <w:rPr>
          <w:rFonts w:eastAsia="Garamond" w:cs="Garamond"/>
          <w:szCs w:val="24"/>
        </w:rPr>
        <w:t>. .</w:t>
      </w:r>
      <w:proofErr w:type="gramEnd"/>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DALŠÍ PRÁVA A POVINNOSTI SMLUVNÍCH STRAN</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Software bude poskytovatelem zprovozněn v souladu se servisní smlouvou.</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Práva a povinnosti smluvních stran ohledně práv nabyvatele z vadného plnění a ohledně odpovědnosti poskytovatele za vady software, včetně práva a povinností týkajících se náhrady újmy způsobené poskytovatelem, upravuje v plném rozsahu servisní smlouva.</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TRVÁNÍ SMLOUVY</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nabývá účinnosti okamžikem jejího uzavření.</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zaniká v případě, že dojde k zániku servisní smlouvy.</w:t>
      </w:r>
    </w:p>
    <w:p w:rsidR="00353287" w:rsidRDefault="00E769DF">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ZÁVĚREČNÁ USTANOVENÍ</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jakož i práva a povinnosti vzniklé na základě této smlouvy nebo v souvislosti s ní, se řídí českým právem, zejména občanským zákoníkem. Pro účely vztahů mezi poskytovatelem a nabyvatelem se vylučuje:</w:t>
      </w:r>
    </w:p>
    <w:p w:rsidR="00353287" w:rsidRDefault="00E769DF">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 použití zachovávaných obchodních zvyklostí ve smyslu ustanovení § 558 odst. 2 občanského zákoníku;</w:t>
      </w:r>
    </w:p>
    <w:p w:rsidR="00353287" w:rsidRDefault="00E769DF">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použití ustanovení § 557, § 1748 a § 1763 občanského zákoníku.</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Vztahuje-li se důvod neplatnosti jen na některé ustanovení této smlouvy, je neplatným pouze toto ustanovení, pokud z jeho povahy nebo obsahu anebo z okolností, za nichž bylo sjednáno, nevyplývá, že jej nelze oddělit od ostatního obsahu smlouvy.</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Nedílnou součástí této smlouvy jsou její přílohy:</w:t>
      </w:r>
    </w:p>
    <w:p w:rsidR="00353287" w:rsidRDefault="00E769DF">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Příloha č. 1 - Specifikace software.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Tuto smlouvu je možné měnit pouze písemnou dohodou smluvních stran s tím, že změna této smlouvy méně přísnou formou se vylučuje.</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je vyhotovena ve dvou (2) exemplářích, z nichž každá strana obdrží po jednom (1) vyhotovení.</w:t>
      </w:r>
    </w:p>
    <w:p w:rsidR="00353287" w:rsidRDefault="00E769DF">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Účastníci této smlouvy si její obsah přečetli, prohlašují, že s ním souhlasí a na důkaz toho připojují své podpisy.</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Podpisy:</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V Děčíně dne 6.</w:t>
      </w:r>
      <w:r w:rsidR="00684586">
        <w:rPr>
          <w:rFonts w:eastAsia="Garamond" w:cs="Garamond"/>
          <w:szCs w:val="24"/>
        </w:rPr>
        <w:t xml:space="preserve"> </w:t>
      </w:r>
      <w:r>
        <w:rPr>
          <w:rFonts w:eastAsia="Garamond" w:cs="Garamond"/>
          <w:szCs w:val="24"/>
        </w:rPr>
        <w:t>4.</w:t>
      </w:r>
      <w:r w:rsidR="00684586">
        <w:rPr>
          <w:rFonts w:eastAsia="Garamond" w:cs="Garamond"/>
          <w:szCs w:val="24"/>
        </w:rPr>
        <w:t xml:space="preserve"> </w:t>
      </w:r>
      <w:r>
        <w:rPr>
          <w:rFonts w:eastAsia="Garamond" w:cs="Garamond"/>
          <w:szCs w:val="24"/>
        </w:rPr>
        <w:t>2020</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V Pardubicích dne 14.</w:t>
      </w:r>
      <w:r w:rsidR="00684586">
        <w:rPr>
          <w:rFonts w:eastAsia="Garamond" w:cs="Garamond"/>
          <w:szCs w:val="24"/>
        </w:rPr>
        <w:t xml:space="preserve"> </w:t>
      </w:r>
      <w:r>
        <w:rPr>
          <w:rFonts w:eastAsia="Garamond" w:cs="Garamond"/>
          <w:szCs w:val="24"/>
        </w:rPr>
        <w:t>4.</w:t>
      </w:r>
      <w:r w:rsidR="00684586">
        <w:rPr>
          <w:rFonts w:eastAsia="Garamond" w:cs="Garamond"/>
          <w:szCs w:val="24"/>
        </w:rPr>
        <w:t xml:space="preserve"> </w:t>
      </w:r>
      <w:r>
        <w:rPr>
          <w:rFonts w:eastAsia="Garamond" w:cs="Garamond"/>
          <w:szCs w:val="24"/>
        </w:rPr>
        <w:t>2020</w:t>
      </w: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353287">
      <w:pPr>
        <w:pBdr>
          <w:top w:val="nil"/>
          <w:left w:val="nil"/>
          <w:bottom w:val="nil"/>
          <w:right w:val="nil"/>
          <w:between w:val="nil"/>
        </w:pBdr>
        <w:spacing w:line="240" w:lineRule="auto"/>
        <w:ind w:left="0" w:hanging="2"/>
        <w:rPr>
          <w:rFonts w:eastAsia="Garamond" w:cs="Garamond"/>
          <w:szCs w:val="24"/>
        </w:rPr>
      </w:pP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_____________________</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_____________________</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poskytovatel</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nabyvatel</w:t>
      </w:r>
    </w:p>
    <w:p w:rsidR="00353287" w:rsidRDefault="00E769DF">
      <w:pPr>
        <w:pBdr>
          <w:top w:val="nil"/>
          <w:left w:val="nil"/>
          <w:bottom w:val="nil"/>
          <w:right w:val="nil"/>
          <w:between w:val="nil"/>
        </w:pBdr>
        <w:spacing w:line="240" w:lineRule="auto"/>
        <w:ind w:left="0" w:hanging="2"/>
        <w:rPr>
          <w:rFonts w:eastAsia="Garamond" w:cs="Garamond"/>
          <w:szCs w:val="24"/>
        </w:rPr>
      </w:pPr>
      <w:proofErr w:type="spellStart"/>
      <w:r>
        <w:rPr>
          <w:rFonts w:eastAsia="Garamond" w:cs="Garamond"/>
          <w:szCs w:val="24"/>
        </w:rPr>
        <w:t>Good</w:t>
      </w:r>
      <w:proofErr w:type="spellEnd"/>
      <w:r>
        <w:rPr>
          <w:rFonts w:eastAsia="Garamond" w:cs="Garamond"/>
          <w:szCs w:val="24"/>
        </w:rPr>
        <w:t xml:space="preserve"> </w:t>
      </w:r>
      <w:proofErr w:type="spellStart"/>
      <w:r>
        <w:rPr>
          <w:rFonts w:eastAsia="Garamond" w:cs="Garamond"/>
          <w:szCs w:val="24"/>
        </w:rPr>
        <w:t>Sailors</w:t>
      </w:r>
      <w:proofErr w:type="spellEnd"/>
      <w:r>
        <w:rPr>
          <w:rFonts w:eastAsia="Garamond" w:cs="Garamond"/>
          <w:szCs w:val="24"/>
        </w:rPr>
        <w:t>, s.r.o.</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 xml:space="preserve">Rozvojový fond Pardubice a.s. </w:t>
      </w:r>
    </w:p>
    <w:p w:rsidR="00353287" w:rsidRDefault="00E769D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Darina Maule, jednatelka</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 xml:space="preserve">Mgr. Ondřej Šebek, místopředseda </w:t>
      </w:r>
      <w:proofErr w:type="spellStart"/>
      <w:r>
        <w:rPr>
          <w:rFonts w:eastAsia="Garamond" w:cs="Garamond"/>
          <w:szCs w:val="24"/>
        </w:rPr>
        <w:t>předst</w:t>
      </w:r>
      <w:proofErr w:type="spellEnd"/>
      <w:r>
        <w:rPr>
          <w:rFonts w:eastAsia="Garamond" w:cs="Garamond"/>
          <w:szCs w:val="24"/>
        </w:rPr>
        <w:t>.</w:t>
      </w:r>
    </w:p>
    <w:sectPr w:rsidR="00353287">
      <w:headerReference w:type="default" r:id="rId8"/>
      <w:footerReference w:type="default" r:id="rId9"/>
      <w:pgSz w:w="11907" w:h="16840"/>
      <w:pgMar w:top="1985" w:right="1134" w:bottom="2269"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5ADF" w:rsidRDefault="002F5ADF">
      <w:pPr>
        <w:spacing w:line="240" w:lineRule="auto"/>
        <w:ind w:left="0" w:hanging="2"/>
      </w:pPr>
      <w:r>
        <w:separator/>
      </w:r>
    </w:p>
  </w:endnote>
  <w:endnote w:type="continuationSeparator" w:id="0">
    <w:p w:rsidR="002F5ADF" w:rsidRDefault="002F5A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287" w:rsidRDefault="00E769DF">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b/>
        <w:szCs w:val="24"/>
      </w:rPr>
      <w:t xml:space="preserve">Nová spisovka </w:t>
    </w:r>
    <w:r>
      <w:rPr>
        <w:rFonts w:eastAsia="Garamond" w:cs="Garamond"/>
        <w:szCs w:val="24"/>
      </w:rPr>
      <w:t xml:space="preserve">registrační číslo </w:t>
    </w:r>
    <w:r>
      <w:rPr>
        <w:rFonts w:eastAsia="Garamond" w:cs="Garamond"/>
        <w:b/>
        <w:szCs w:val="24"/>
      </w:rPr>
      <w:t>CZ.03.2.60/0.0/0.0/17_129/0009134</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114300</wp:posOffset>
              </wp:positionV>
              <wp:extent cx="175260" cy="129540"/>
              <wp:effectExtent l="0" t="0" r="0" b="0"/>
              <wp:wrapNone/>
              <wp:docPr id="1" name="Obdélník 1"/>
              <wp:cNvGraphicFramePr/>
              <a:graphic xmlns:a="http://schemas.openxmlformats.org/drawingml/2006/main">
                <a:graphicData uri="http://schemas.microsoft.com/office/word/2010/wordprocessingShape">
                  <wps:wsp>
                    <wps:cNvSpPr/>
                    <wps:spPr>
                      <a:xfrm>
                        <a:off x="5263133" y="3719993"/>
                        <a:ext cx="165735" cy="120015"/>
                      </a:xfrm>
                      <a:prstGeom prst="rect">
                        <a:avLst/>
                      </a:prstGeom>
                      <a:noFill/>
                      <a:ln>
                        <a:noFill/>
                      </a:ln>
                    </wps:spPr>
                    <wps:txbx>
                      <w:txbxContent>
                        <w:p w:rsidR="00353287" w:rsidRDefault="00353287">
                          <w:pPr>
                            <w:spacing w:line="240" w:lineRule="auto"/>
                            <w:ind w:left="0" w:hanging="2"/>
                          </w:pPr>
                        </w:p>
                        <w:p w:rsidR="00353287" w:rsidRDefault="0035328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75260" cy="12954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5260" cy="129540"/>
                      </a:xfrm>
                      <a:prstGeom prst="rect"/>
                      <a:ln/>
                    </pic:spPr>
                  </pic:pic>
                </a:graphicData>
              </a:graphic>
            </wp:anchor>
          </w:drawing>
        </mc:Fallback>
      </mc:AlternateContent>
    </w:r>
  </w:p>
  <w:p w:rsidR="00353287" w:rsidRDefault="00353287">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p>
  <w:p w:rsidR="00353287" w:rsidRDefault="00E769DF">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szCs w:val="24"/>
      </w:rPr>
      <w:t xml:space="preserve">str. </w:t>
    </w:r>
    <w:r>
      <w:rPr>
        <w:rFonts w:eastAsia="Garamond" w:cs="Garamond"/>
        <w:szCs w:val="24"/>
      </w:rPr>
      <w:fldChar w:fldCharType="begin"/>
    </w:r>
    <w:r>
      <w:rPr>
        <w:rFonts w:eastAsia="Garamond" w:cs="Garamond"/>
        <w:szCs w:val="24"/>
      </w:rPr>
      <w:instrText>PAGE</w:instrText>
    </w:r>
    <w:r>
      <w:rPr>
        <w:rFonts w:eastAsia="Garamond" w:cs="Garamond"/>
        <w:szCs w:val="24"/>
      </w:rPr>
      <w:fldChar w:fldCharType="separate"/>
    </w:r>
    <w:r>
      <w:rPr>
        <w:rFonts w:eastAsia="Garamond" w:cs="Garamond"/>
        <w:noProof/>
        <w:szCs w:val="24"/>
      </w:rPr>
      <w:t>1</w:t>
    </w:r>
    <w:r>
      <w:rPr>
        <w:rFonts w:eastAsia="Garamond" w:cs="Garamond"/>
        <w:szCs w:val="24"/>
      </w:rPr>
      <w:fldChar w:fldCharType="end"/>
    </w:r>
    <w:r>
      <w:rPr>
        <w:rFonts w:eastAsia="Garamond" w:cs="Garamond"/>
        <w:szCs w:val="24"/>
      </w:rPr>
      <w:t>/4</w:t>
    </w:r>
    <w:r>
      <w:rPr>
        <w:noProof/>
      </w:rPr>
      <w:drawing>
        <wp:anchor distT="0" distB="0" distL="0" distR="0" simplePos="0" relativeHeight="251660288" behindDoc="0" locked="0" layoutInCell="1" hidden="0" allowOverlap="1">
          <wp:simplePos x="0" y="0"/>
          <wp:positionH relativeFrom="column">
            <wp:posOffset>5313045</wp:posOffset>
          </wp:positionH>
          <wp:positionV relativeFrom="paragraph">
            <wp:posOffset>52705</wp:posOffset>
          </wp:positionV>
          <wp:extent cx="151447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14475" cy="733425"/>
                  </a:xfrm>
                  <a:prstGeom prst="rect">
                    <a:avLst/>
                  </a:prstGeom>
                  <a:ln/>
                </pic:spPr>
              </pic:pic>
            </a:graphicData>
          </a:graphic>
        </wp:anchor>
      </w:drawing>
    </w:r>
  </w:p>
  <w:p w:rsidR="00353287" w:rsidRDefault="00353287">
    <w:pPr>
      <w:pBdr>
        <w:top w:val="nil"/>
        <w:left w:val="nil"/>
        <w:bottom w:val="nil"/>
        <w:right w:val="nil"/>
        <w:between w:val="nil"/>
      </w:pBdr>
      <w:tabs>
        <w:tab w:val="center" w:pos="4320"/>
        <w:tab w:val="right" w:pos="8640"/>
      </w:tabs>
      <w:spacing w:line="240" w:lineRule="auto"/>
      <w:ind w:left="0" w:hanging="2"/>
      <w:rPr>
        <w:rFonts w:eastAsia="Garamond" w:cs="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5ADF" w:rsidRDefault="002F5ADF">
      <w:pPr>
        <w:spacing w:line="240" w:lineRule="auto"/>
        <w:ind w:left="0" w:hanging="2"/>
      </w:pPr>
      <w:r>
        <w:separator/>
      </w:r>
    </w:p>
  </w:footnote>
  <w:footnote w:type="continuationSeparator" w:id="0">
    <w:p w:rsidR="002F5ADF" w:rsidRDefault="002F5A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287" w:rsidRDefault="00E769DF">
    <w:pPr>
      <w:pBdr>
        <w:top w:val="nil"/>
        <w:left w:val="nil"/>
        <w:bottom w:val="nil"/>
        <w:right w:val="nil"/>
        <w:between w:val="nil"/>
      </w:pBdr>
      <w:tabs>
        <w:tab w:val="center" w:pos="4320"/>
        <w:tab w:val="right" w:pos="8640"/>
      </w:tabs>
      <w:spacing w:line="240" w:lineRule="auto"/>
      <w:ind w:left="0" w:hanging="2"/>
      <w:rPr>
        <w:rFonts w:eastAsia="Garamond" w:cs="Garamond"/>
        <w:szCs w:val="24"/>
      </w:rPr>
    </w:pPr>
    <w:r>
      <w:rPr>
        <w:noProof/>
      </w:rPr>
      <w:drawing>
        <wp:anchor distT="0" distB="0" distL="114300" distR="114300" simplePos="0" relativeHeight="251658240" behindDoc="0" locked="0" layoutInCell="1" hidden="0" allowOverlap="1">
          <wp:simplePos x="0" y="0"/>
          <wp:positionH relativeFrom="column">
            <wp:posOffset>-723899</wp:posOffset>
          </wp:positionH>
          <wp:positionV relativeFrom="paragraph">
            <wp:posOffset>-447674</wp:posOffset>
          </wp:positionV>
          <wp:extent cx="1079500" cy="1079500"/>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0B16"/>
    <w:multiLevelType w:val="multilevel"/>
    <w:tmpl w:val="E168D2FC"/>
    <w:lvl w:ilvl="0">
      <w:start w:val="1"/>
      <w:numFmt w:val="decimal"/>
      <w:pStyle w:val="Prvniuroven"/>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324830"/>
    <w:multiLevelType w:val="multilevel"/>
    <w:tmpl w:val="5E683DD8"/>
    <w:lvl w:ilvl="0">
      <w:start w:val="1"/>
      <w:numFmt w:val="decimal"/>
      <w:lvlText w:val="%1."/>
      <w:lvlJc w:val="left"/>
      <w:pPr>
        <w:ind w:left="397" w:hanging="397"/>
      </w:pPr>
      <w:rPr>
        <w:b/>
        <w:vertAlign w:val="baseline"/>
      </w:rPr>
    </w:lvl>
    <w:lvl w:ilvl="1">
      <w:start w:val="1"/>
      <w:numFmt w:val="decimal"/>
      <w:lvlText w:val="%1.%2."/>
      <w:lvlJc w:val="left"/>
      <w:pPr>
        <w:ind w:left="907" w:hanging="547"/>
      </w:pPr>
      <w:rPr>
        <w:b w:val="0"/>
        <w:vertAlign w:val="baseline"/>
      </w:rPr>
    </w:lvl>
    <w:lvl w:ilvl="2">
      <w:start w:val="1"/>
      <w:numFmt w:val="decimal"/>
      <w:lvlText w:val="%1.%2.%3."/>
      <w:lvlJc w:val="left"/>
      <w:pPr>
        <w:ind w:left="1474" w:hanging="622"/>
      </w:pPr>
      <w:rPr>
        <w:vertAlign w:val="baseline"/>
      </w:rPr>
    </w:lvl>
    <w:lvl w:ilvl="3">
      <w:start w:val="1"/>
      <w:numFmt w:val="decimal"/>
      <w:lvlText w:val="%1.%2.%3.%4."/>
      <w:lvlJc w:val="left"/>
      <w:pPr>
        <w:ind w:left="2268" w:hanging="794"/>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87"/>
    <w:rsid w:val="002F5ADF"/>
    <w:rsid w:val="00353287"/>
    <w:rsid w:val="00684586"/>
    <w:rsid w:val="006C1098"/>
    <w:rsid w:val="00E76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883C"/>
  <w15:docId w15:val="{140AE6FD-0CCE-435C-A51F-30B8F251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300" w:lineRule="atLeast"/>
      <w:ind w:leftChars="-1" w:left="-1" w:hangingChars="1" w:hanging="1"/>
      <w:jc w:val="both"/>
      <w:textDirection w:val="btLr"/>
      <w:textAlignment w:val="top"/>
      <w:outlineLvl w:val="0"/>
    </w:pPr>
    <w:rPr>
      <w:rFonts w:ascii="Garamond" w:hAnsi="Garamond"/>
      <w:color w:val="000000"/>
      <w:position w:val="-1"/>
      <w:sz w:val="24"/>
      <w:lang w:eastAsia="ar-SA"/>
    </w:rPr>
  </w:style>
  <w:style w:type="paragraph" w:styleId="Nadpis1">
    <w:name w:val="heading 1"/>
    <w:basedOn w:val="Normln"/>
    <w:next w:val="Zkladntext"/>
    <w:uiPriority w:val="9"/>
    <w:qFormat/>
    <w:pPr>
      <w:keepNext/>
      <w:spacing w:before="240" w:after="60"/>
    </w:pPr>
    <w:rPr>
      <w:b/>
      <w:kern w:val="1"/>
      <w:sz w:val="28"/>
    </w:rPr>
  </w:style>
  <w:style w:type="paragraph" w:styleId="Nadpis2">
    <w:name w:val="heading 2"/>
    <w:basedOn w:val="Normln"/>
    <w:next w:val="Normln"/>
    <w:uiPriority w:val="9"/>
    <w:semiHidden/>
    <w:unhideWhenUsed/>
    <w:qFormat/>
    <w:pPr>
      <w:keepNext/>
      <w:spacing w:before="240" w:after="60"/>
      <w:outlineLvl w:val="1"/>
    </w:pPr>
    <w:rPr>
      <w:rFonts w:cs="Arial"/>
      <w:b/>
      <w:bCs/>
      <w:i/>
      <w:iCs/>
      <w:sz w:val="28"/>
      <w:szCs w:val="28"/>
    </w:rPr>
  </w:style>
  <w:style w:type="paragraph" w:styleId="Nadpis3">
    <w:name w:val="heading 3"/>
    <w:basedOn w:val="Normln"/>
    <w:next w:val="Normln"/>
    <w:uiPriority w:val="9"/>
    <w:semiHidden/>
    <w:unhideWhenUsed/>
    <w:qFormat/>
    <w:pPr>
      <w:keepNext/>
      <w:spacing w:before="240" w:after="60"/>
      <w:outlineLvl w:val="2"/>
    </w:pPr>
    <w:rPr>
      <w:rFonts w:cs="Arial"/>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pPr>
      <w:spacing w:after="120"/>
    </w:pPr>
  </w:style>
  <w:style w:type="character" w:customStyle="1" w:styleId="ZkladntextChar">
    <w:name w:val="Základní text Char"/>
    <w:rPr>
      <w:rFonts w:ascii="Garamond" w:eastAsia="Times New Roman" w:hAnsi="Garamond" w:cs="Times New Roman"/>
      <w:color w:val="000000"/>
      <w:w w:val="100"/>
      <w:position w:val="-1"/>
      <w:sz w:val="24"/>
      <w:effect w:val="none"/>
      <w:vertAlign w:val="baseline"/>
      <w:cs w:val="0"/>
      <w:em w:val="none"/>
      <w:lang w:eastAsia="ar-SA" w:bidi="ar-SA"/>
    </w:rPr>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customStyle="1" w:styleId="14-Normln-tun-velk">
    <w:name w:val="14 - Normální - tučně - velké"/>
    <w:basedOn w:val="Normln"/>
    <w:pPr>
      <w:suppressAutoHyphens/>
      <w:spacing w:line="280" w:lineRule="atLeast"/>
    </w:pPr>
    <w:rPr>
      <w:b/>
      <w:bCs/>
      <w:caps/>
      <w:color w:val="auto"/>
      <w:sz w:val="28"/>
      <w:szCs w:val="24"/>
      <w:lang w:eastAsia="cs-CZ"/>
    </w:rPr>
  </w:style>
  <w:style w:type="paragraph" w:customStyle="1" w:styleId="Normln-tun-velk">
    <w:name w:val="Normální - tučně - velké"/>
    <w:basedOn w:val="Normln"/>
    <w:pPr>
      <w:suppressAutoHyphens/>
      <w:spacing w:line="280" w:lineRule="atLeast"/>
    </w:pPr>
    <w:rPr>
      <w:b/>
      <w:caps/>
      <w:color w:val="auto"/>
      <w:szCs w:val="24"/>
      <w:lang w:eastAsia="cs-CZ"/>
    </w:rPr>
  </w:style>
  <w:style w:type="paragraph" w:customStyle="1" w:styleId="Prvniuroven">
    <w:name w:val="Prvni_uroven"/>
    <w:basedOn w:val="Normln"/>
    <w:next w:val="uroven2"/>
    <w:pPr>
      <w:keepNext/>
      <w:keepLines/>
      <w:numPr>
        <w:numId w:val="2"/>
      </w:numPr>
      <w:suppressAutoHyphens/>
      <w:spacing w:before="480" w:after="240" w:line="280" w:lineRule="atLeast"/>
      <w:ind w:left="-1" w:hanging="1"/>
    </w:pPr>
    <w:rPr>
      <w:b/>
      <w:caps/>
      <w:color w:val="auto"/>
      <w:szCs w:val="24"/>
      <w:lang w:eastAsia="cs-CZ"/>
    </w:rPr>
  </w:style>
  <w:style w:type="paragraph" w:customStyle="1" w:styleId="uroven2">
    <w:name w:val="uroven_2"/>
    <w:basedOn w:val="Normln"/>
    <w:pPr>
      <w:numPr>
        <w:ilvl w:val="1"/>
        <w:numId w:val="2"/>
      </w:numPr>
      <w:suppressAutoHyphens/>
      <w:spacing w:before="240" w:after="240"/>
      <w:ind w:left="901" w:hanging="544"/>
      <w:outlineLvl w:val="1"/>
    </w:pPr>
    <w:rPr>
      <w:color w:val="auto"/>
      <w:szCs w:val="24"/>
      <w:lang w:eastAsia="cs-CZ"/>
    </w:rPr>
  </w:style>
  <w:style w:type="character" w:customStyle="1" w:styleId="uroven2Char">
    <w:name w:val="uroven_2 Char"/>
    <w:rPr>
      <w:rFonts w:ascii="Garamond" w:hAnsi="Garamond"/>
      <w:w w:val="100"/>
      <w:position w:val="-1"/>
      <w:sz w:val="24"/>
      <w:szCs w:val="24"/>
      <w:effect w:val="none"/>
      <w:vertAlign w:val="baseline"/>
      <w:cs w:val="0"/>
      <w:em w:val="none"/>
      <w:lang w:val="cs-CZ" w:eastAsia="cs-CZ" w:bidi="ar-SA"/>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pPr>
      <w:spacing w:line="280" w:lineRule="atLeast"/>
    </w:pPr>
    <w:rPr>
      <w:color w:val="auto"/>
      <w:sz w:val="20"/>
    </w:rPr>
  </w:style>
  <w:style w:type="character" w:customStyle="1" w:styleId="TextkomenteChar">
    <w:name w:val="Text komentáře Char"/>
    <w:rPr>
      <w:rFonts w:ascii="Garamond" w:hAnsi="Garamond" w:cs="Times New Roman"/>
      <w:w w:val="100"/>
      <w:position w:val="-1"/>
      <w:effect w:val="none"/>
      <w:vertAlign w:val="baseline"/>
      <w:cs w:val="0"/>
      <w:em w:val="none"/>
      <w:lang w:val="cs-CZ" w:eastAsia="ar-SA" w:bidi="ar-SA"/>
    </w:rPr>
  </w:style>
  <w:style w:type="paragraph" w:styleId="Textbubliny">
    <w:name w:val="Balloon Text"/>
    <w:basedOn w:val="Normln"/>
    <w:rPr>
      <w:rFonts w:ascii="Tahoma" w:hAnsi="Tahoma" w:cs="Tahoma"/>
      <w:sz w:val="16"/>
      <w:szCs w:val="16"/>
    </w:rPr>
  </w:style>
  <w:style w:type="paragraph" w:customStyle="1" w:styleId="uroven3">
    <w:name w:val="uroven_3"/>
    <w:basedOn w:val="uroven2"/>
    <w:pPr>
      <w:tabs>
        <w:tab w:val="num" w:pos="1474"/>
      </w:tabs>
      <w:ind w:left="1474" w:hanging="623"/>
    </w:pPr>
  </w:style>
  <w:style w:type="paragraph" w:customStyle="1" w:styleId="uroven4">
    <w:name w:val="uroven_4"/>
    <w:basedOn w:val="uroven3"/>
    <w:pPr>
      <w:tabs>
        <w:tab w:val="clear" w:pos="1474"/>
        <w:tab w:val="num" w:pos="2268"/>
      </w:tabs>
      <w:ind w:left="2268" w:hanging="794"/>
    </w:pPr>
    <w:rPr>
      <w:rFonts w:cs="Arial"/>
    </w:rPr>
  </w:style>
  <w:style w:type="paragraph" w:styleId="Pedmtkomente">
    <w:name w:val="annotation subject"/>
    <w:basedOn w:val="Textkomente"/>
    <w:next w:val="Textkomente"/>
    <w:pPr>
      <w:spacing w:line="300" w:lineRule="atLeast"/>
    </w:pPr>
    <w:rPr>
      <w:b/>
      <w:bCs/>
      <w:color w:val="000000"/>
    </w:rPr>
  </w:style>
  <w:style w:type="character" w:customStyle="1" w:styleId="PedmtkomenteChar">
    <w:name w:val="Předmět komentáře Char"/>
    <w:rPr>
      <w:rFonts w:ascii="Garamond" w:eastAsia="Times New Roman" w:hAnsi="Garamond" w:cs="Times New Roman"/>
      <w:b/>
      <w:bCs/>
      <w:color w:val="000000"/>
      <w:w w:val="100"/>
      <w:position w:val="-1"/>
      <w:effect w:val="none"/>
      <w:vertAlign w:val="baseline"/>
      <w:cs w:val="0"/>
      <w:em w:val="none"/>
      <w:lang w:val="cs-CZ" w:eastAsia="ar-SA" w:bidi="ar-SA"/>
    </w:rPr>
  </w:style>
  <w:style w:type="character" w:customStyle="1" w:styleId="ZpatChar">
    <w:name w:val="Zápatí Char"/>
    <w:rPr>
      <w:rFonts w:ascii="Garamond" w:hAnsi="Garamond"/>
      <w:color w:val="000000"/>
      <w:w w:val="100"/>
      <w:position w:val="-1"/>
      <w:sz w:val="24"/>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jafjP61Fl0ar65R2ALUnqRuww==">AMUW2mUiaiUzt01jwuRBBCtrTnoAa4g41xmXW1vU6CwTtl1ynURIEwxNqHK9kePaTKrK6sBPSMG3ia71FQdRLUaWBt7lLDAXA6mNXlmchH23ebvdahsTWD7riGOg+V2SChxBga/zXlldXzgd8klfxiTPgvOBxu9Xj5kC//brCW8vSDDt1yKeJH0=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5434</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Aujezdský</dc:creator>
  <cp:lastModifiedBy>Monika Bazantova</cp:lastModifiedBy>
  <cp:revision>3</cp:revision>
  <dcterms:created xsi:type="dcterms:W3CDTF">2020-04-14T07:31:00Z</dcterms:created>
  <dcterms:modified xsi:type="dcterms:W3CDTF">2020-04-15T06:21:00Z</dcterms:modified>
</cp:coreProperties>
</file>