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pPr w:leftFromText="181" w:rightFromText="181" w:vertAnchor="page" w:tblpY="568"/>
        <w:tblOverlap w:val="never"/>
        <w:tblW w:w="9924" w:type="dxa"/>
        <w:tblLayout w:type="fixed"/>
        <w:tblCellMar>
          <w:left w:w="0" w:type="dxa"/>
          <w:right w:w="0" w:type="dxa"/>
        </w:tblCellMar>
        <w:tblLook w:val="04A0" w:firstRow="1" w:lastRow="0" w:firstColumn="1" w:lastColumn="0" w:noHBand="0" w:noVBand="1"/>
      </w:tblPr>
      <w:tblGrid>
        <w:gridCol w:w="6526"/>
        <w:gridCol w:w="3398"/>
      </w:tblGrid>
      <w:tr w:rsidR="000A53E2" w:rsidRPr="00C46460" w14:paraId="0995D4DB" w14:textId="77777777" w:rsidTr="00793BFF">
        <w:trPr>
          <w:trHeight w:hRule="exact" w:val="962"/>
        </w:trPr>
        <w:tc>
          <w:tcPr>
            <w:tcW w:w="6526" w:type="dxa"/>
          </w:tcPr>
          <w:p w14:paraId="08165E70" w14:textId="77777777" w:rsidR="000A53E2" w:rsidRPr="00C46460" w:rsidRDefault="000A53E2" w:rsidP="00C91E9C">
            <w:pPr>
              <w:rPr>
                <w:rFonts w:ascii="Verdana" w:hAnsi="Verdana"/>
                <w:lang w:val="cs-CZ"/>
              </w:rPr>
            </w:pPr>
            <w:bookmarkStart w:id="0" w:name="_GoBack"/>
            <w:bookmarkEnd w:id="0"/>
          </w:p>
        </w:tc>
        <w:tc>
          <w:tcPr>
            <w:tcW w:w="3398" w:type="dxa"/>
            <w:vMerge w:val="restart"/>
          </w:tcPr>
          <w:p w14:paraId="48071F4E" w14:textId="0DE74186" w:rsidR="00871287" w:rsidRPr="002D5898" w:rsidRDefault="00871287" w:rsidP="00A6224A">
            <w:pPr>
              <w:pStyle w:val="Deloitteaddress"/>
              <w:rPr>
                <w:rFonts w:ascii="Verdana" w:hAnsi="Verdana"/>
                <w:b/>
                <w:sz w:val="16"/>
                <w:szCs w:val="16"/>
                <w:lang w:val="cs-CZ"/>
              </w:rPr>
            </w:pPr>
            <w:r w:rsidRPr="002D5898">
              <w:rPr>
                <w:rFonts w:ascii="Verdana" w:hAnsi="Verdana"/>
                <w:b/>
                <w:sz w:val="16"/>
                <w:szCs w:val="16"/>
                <w:lang w:val="cs-CZ"/>
              </w:rPr>
              <w:t xml:space="preserve">PO </w:t>
            </w:r>
            <w:r w:rsidR="004B1C98" w:rsidRPr="002D5898">
              <w:rPr>
                <w:rFonts w:ascii="Verdana" w:hAnsi="Verdana"/>
                <w:b/>
                <w:sz w:val="16"/>
                <w:szCs w:val="16"/>
                <w:lang w:val="cs-CZ"/>
              </w:rPr>
              <w:t>2036/S/19</w:t>
            </w:r>
          </w:p>
          <w:p w14:paraId="0907FC9C" w14:textId="77777777" w:rsidR="00871287" w:rsidRDefault="00871287" w:rsidP="00A6224A">
            <w:pPr>
              <w:pStyle w:val="Deloitteaddress"/>
              <w:rPr>
                <w:rFonts w:ascii="Verdana" w:hAnsi="Verdana"/>
                <w:lang w:val="cs-CZ"/>
              </w:rPr>
            </w:pPr>
          </w:p>
          <w:p w14:paraId="5D31A2E9" w14:textId="64A92541" w:rsidR="00A6224A" w:rsidRPr="00C46460" w:rsidRDefault="00625328" w:rsidP="00A6224A">
            <w:pPr>
              <w:pStyle w:val="Deloitteaddress"/>
              <w:rPr>
                <w:rFonts w:ascii="Verdana" w:hAnsi="Verdana"/>
                <w:lang w:val="cs-CZ"/>
              </w:rPr>
            </w:pPr>
            <w:r w:rsidRPr="00C46460">
              <w:rPr>
                <w:rFonts w:ascii="Verdana" w:hAnsi="Verdana"/>
                <w:lang w:val="cs-CZ"/>
              </w:rPr>
              <w:t>Deloitte Legal s.r.o., advokátní kancelář</w:t>
            </w:r>
          </w:p>
          <w:p w14:paraId="5443B5A3" w14:textId="77777777" w:rsidR="00A6224A" w:rsidRPr="00C46460" w:rsidRDefault="00A6224A" w:rsidP="00A6224A">
            <w:pPr>
              <w:pStyle w:val="Deloitteaddress"/>
              <w:rPr>
                <w:rFonts w:ascii="Verdana" w:hAnsi="Verdana"/>
                <w:lang w:val="cs-CZ"/>
              </w:rPr>
            </w:pPr>
          </w:p>
          <w:p w14:paraId="449C04C2" w14:textId="77777777" w:rsidR="00B432C6" w:rsidRPr="00C46460" w:rsidRDefault="00A6224A" w:rsidP="00B432C6">
            <w:pPr>
              <w:pStyle w:val="Deloitteaddress"/>
              <w:rPr>
                <w:rFonts w:ascii="Verdana" w:hAnsi="Verdana"/>
                <w:lang w:val="cs-CZ"/>
              </w:rPr>
            </w:pPr>
            <w:r w:rsidRPr="00C46460">
              <w:rPr>
                <w:rFonts w:ascii="Verdana" w:hAnsi="Verdana"/>
                <w:lang w:val="cs-CZ"/>
              </w:rPr>
              <w:t xml:space="preserve">Sídlo: </w:t>
            </w:r>
            <w:r w:rsidR="00B432C6" w:rsidRPr="00C46460">
              <w:rPr>
                <w:rFonts w:ascii="Verdana" w:hAnsi="Verdana"/>
                <w:lang w:val="cs-CZ"/>
              </w:rPr>
              <w:t>Italská 2581/67, 120 00 Praha 2</w:t>
            </w:r>
          </w:p>
          <w:p w14:paraId="306F5873" w14:textId="77777777" w:rsidR="00A6224A" w:rsidRPr="00C46460" w:rsidRDefault="00A6224A" w:rsidP="00A6224A">
            <w:pPr>
              <w:pStyle w:val="Deloitteaddress"/>
              <w:rPr>
                <w:rFonts w:ascii="Verdana" w:hAnsi="Verdana"/>
                <w:lang w:val="cs-CZ"/>
              </w:rPr>
            </w:pPr>
          </w:p>
          <w:p w14:paraId="3AA102AD" w14:textId="77777777" w:rsidR="00A6224A" w:rsidRPr="00C46460" w:rsidRDefault="00A6224A" w:rsidP="00A6224A">
            <w:pPr>
              <w:pStyle w:val="Deloitteaddress"/>
              <w:rPr>
                <w:rFonts w:ascii="Verdana" w:hAnsi="Verdana"/>
                <w:lang w:val="cs-CZ"/>
              </w:rPr>
            </w:pPr>
            <w:r w:rsidRPr="00C46460">
              <w:rPr>
                <w:rFonts w:ascii="Verdana" w:hAnsi="Verdana"/>
                <w:lang w:val="cs-CZ"/>
              </w:rPr>
              <w:t>Tel.: +420 246 042</w:t>
            </w:r>
            <w:r w:rsidR="00261C2F">
              <w:rPr>
                <w:rFonts w:ascii="Verdana" w:hAnsi="Verdana"/>
                <w:lang w:val="cs-CZ"/>
              </w:rPr>
              <w:t> 5</w:t>
            </w:r>
            <w:r w:rsidRPr="00C46460">
              <w:rPr>
                <w:rFonts w:ascii="Verdana" w:hAnsi="Verdana"/>
                <w:lang w:val="cs-CZ"/>
              </w:rPr>
              <w:t>00</w:t>
            </w:r>
          </w:p>
          <w:p w14:paraId="4DF08AF4" w14:textId="77777777" w:rsidR="00261C2F" w:rsidRDefault="00261C2F" w:rsidP="00A6224A">
            <w:pPr>
              <w:pStyle w:val="Deloitteaddress"/>
              <w:rPr>
                <w:rFonts w:ascii="Verdana" w:hAnsi="Verdana"/>
                <w:lang w:val="cs-CZ"/>
              </w:rPr>
            </w:pPr>
          </w:p>
          <w:p w14:paraId="200F7FE5" w14:textId="77777777" w:rsidR="00A6224A" w:rsidRPr="00C46460" w:rsidRDefault="00A6224A" w:rsidP="00A6224A">
            <w:pPr>
              <w:pStyle w:val="Deloitteaddress"/>
              <w:rPr>
                <w:rFonts w:ascii="Verdana" w:hAnsi="Verdana"/>
                <w:lang w:val="cs-CZ"/>
              </w:rPr>
            </w:pPr>
            <w:r w:rsidRPr="00C46460">
              <w:rPr>
                <w:rFonts w:ascii="Verdana" w:hAnsi="Verdana"/>
                <w:lang w:val="cs-CZ"/>
              </w:rPr>
              <w:t>www.deloittelegal.cz</w:t>
            </w:r>
          </w:p>
          <w:p w14:paraId="0DAA3216" w14:textId="77777777" w:rsidR="00A6224A" w:rsidRPr="00C46460" w:rsidRDefault="00A6224A" w:rsidP="00A6224A">
            <w:pPr>
              <w:pStyle w:val="Deloitteaddress"/>
              <w:rPr>
                <w:rFonts w:ascii="Verdana" w:hAnsi="Verdana"/>
                <w:lang w:val="cs-CZ"/>
              </w:rPr>
            </w:pPr>
          </w:p>
          <w:p w14:paraId="55502AD1" w14:textId="77777777" w:rsidR="00A6224A" w:rsidRPr="00C46460" w:rsidRDefault="00A6224A" w:rsidP="00A6224A">
            <w:pPr>
              <w:pStyle w:val="Deloitteaddress"/>
              <w:rPr>
                <w:rFonts w:ascii="Verdana" w:hAnsi="Verdana"/>
                <w:lang w:val="cs-CZ"/>
              </w:rPr>
            </w:pPr>
            <w:r w:rsidRPr="00C46460">
              <w:rPr>
                <w:rFonts w:ascii="Verdana" w:hAnsi="Verdana"/>
                <w:lang w:val="cs-CZ"/>
              </w:rPr>
              <w:t>Zapsána v obchodním rejstříku Městského</w:t>
            </w:r>
          </w:p>
          <w:p w14:paraId="7F876FEF" w14:textId="77777777" w:rsidR="00A6224A" w:rsidRPr="00C46460" w:rsidRDefault="00A6224A" w:rsidP="00A6224A">
            <w:pPr>
              <w:pStyle w:val="Deloitteaddress"/>
              <w:rPr>
                <w:rFonts w:ascii="Verdana" w:hAnsi="Verdana"/>
                <w:lang w:val="cs-CZ"/>
              </w:rPr>
            </w:pPr>
            <w:r w:rsidRPr="00C46460">
              <w:rPr>
                <w:rFonts w:ascii="Verdana" w:hAnsi="Verdana"/>
                <w:lang w:val="cs-CZ"/>
              </w:rPr>
              <w:t>soudu v Praze, sp. zn. C 163302</w:t>
            </w:r>
          </w:p>
          <w:p w14:paraId="09DE2621" w14:textId="77777777" w:rsidR="00A6224A" w:rsidRPr="00C46460" w:rsidRDefault="00A6224A" w:rsidP="00A6224A">
            <w:pPr>
              <w:pStyle w:val="Deloitteaddress"/>
              <w:rPr>
                <w:rFonts w:ascii="Verdana" w:hAnsi="Verdana"/>
                <w:lang w:val="cs-CZ"/>
              </w:rPr>
            </w:pPr>
            <w:r w:rsidRPr="00C46460">
              <w:rPr>
                <w:rFonts w:ascii="Verdana" w:hAnsi="Verdana"/>
                <w:lang w:val="cs-CZ"/>
              </w:rPr>
              <w:t xml:space="preserve">IČO: 29055130, DIČ: CZ29055130 </w:t>
            </w:r>
          </w:p>
          <w:p w14:paraId="2A696EAC" w14:textId="77777777" w:rsidR="00A6224A" w:rsidRPr="00C46460" w:rsidRDefault="00A6224A" w:rsidP="00A6224A">
            <w:pPr>
              <w:pStyle w:val="Deloitteaddress"/>
              <w:rPr>
                <w:rFonts w:ascii="Verdana" w:hAnsi="Verdana"/>
                <w:lang w:val="cs-CZ"/>
              </w:rPr>
            </w:pPr>
          </w:p>
          <w:p w14:paraId="29C7762E" w14:textId="77777777" w:rsidR="00E41A10" w:rsidRPr="00C46460" w:rsidRDefault="00E41A10" w:rsidP="00A6224A">
            <w:pPr>
              <w:pStyle w:val="Deloitteaddress"/>
              <w:rPr>
                <w:rFonts w:ascii="Verdana" w:hAnsi="Verdana"/>
                <w:lang w:val="cs-CZ"/>
              </w:rPr>
            </w:pPr>
            <w:r w:rsidRPr="00C46460">
              <w:rPr>
                <w:rFonts w:ascii="Verdana" w:hAnsi="Verdana"/>
                <w:lang w:val="cs-CZ"/>
              </w:rPr>
              <w:t>Pobočky:</w:t>
            </w:r>
          </w:p>
          <w:p w14:paraId="640D974E" w14:textId="77777777" w:rsidR="00A6224A" w:rsidRPr="00C46460" w:rsidRDefault="00A6224A" w:rsidP="00A6224A">
            <w:pPr>
              <w:pStyle w:val="Deloitteaddress"/>
              <w:rPr>
                <w:rFonts w:ascii="Verdana" w:hAnsi="Verdana"/>
                <w:lang w:val="cs-CZ"/>
              </w:rPr>
            </w:pPr>
            <w:r w:rsidRPr="00C46460">
              <w:rPr>
                <w:rFonts w:ascii="Verdana" w:hAnsi="Verdana"/>
                <w:lang w:val="cs-CZ"/>
              </w:rPr>
              <w:t>Holandská 1, 639 00 Brno</w:t>
            </w:r>
          </w:p>
          <w:p w14:paraId="787267F2" w14:textId="77777777" w:rsidR="00A6224A" w:rsidRPr="00C46460" w:rsidRDefault="00B36B85" w:rsidP="00B36B85">
            <w:pPr>
              <w:pStyle w:val="Deloitteaddress"/>
              <w:rPr>
                <w:rFonts w:ascii="Verdana" w:hAnsi="Verdana"/>
                <w:lang w:val="cs-CZ"/>
              </w:rPr>
            </w:pPr>
            <w:r w:rsidRPr="00C46460">
              <w:rPr>
                <w:rFonts w:ascii="Verdana" w:hAnsi="Verdana"/>
                <w:lang w:val="cs-CZ"/>
              </w:rPr>
              <w:t>Prokešovo náměstí 2020/6</w:t>
            </w:r>
            <w:r w:rsidR="00A6224A" w:rsidRPr="00C46460">
              <w:rPr>
                <w:rFonts w:ascii="Verdana" w:hAnsi="Verdana"/>
                <w:lang w:val="cs-CZ"/>
              </w:rPr>
              <w:t>, 702 00 Ostrava</w:t>
            </w:r>
          </w:p>
          <w:p w14:paraId="580A9C3C" w14:textId="77777777" w:rsidR="000A53E2" w:rsidRPr="00C46460" w:rsidRDefault="00A6224A" w:rsidP="00A6224A">
            <w:pPr>
              <w:pStyle w:val="Deloitteaddress"/>
              <w:rPr>
                <w:rFonts w:ascii="Verdana" w:hAnsi="Verdana"/>
                <w:lang w:val="cs-CZ"/>
              </w:rPr>
            </w:pPr>
            <w:r w:rsidRPr="00C46460">
              <w:rPr>
                <w:rFonts w:ascii="Verdana" w:hAnsi="Verdana"/>
                <w:lang w:val="cs-CZ"/>
              </w:rPr>
              <w:t>Anglické náb. 1, 301 00 Plzeň</w:t>
            </w:r>
          </w:p>
          <w:p w14:paraId="2A18843D" w14:textId="77777777" w:rsidR="00E41A10" w:rsidRPr="00C46460" w:rsidRDefault="00E41A10" w:rsidP="00E41A10">
            <w:pPr>
              <w:pStyle w:val="Deloitteaddress"/>
              <w:rPr>
                <w:rFonts w:ascii="Verdana" w:hAnsi="Verdana"/>
                <w:lang w:val="cs-CZ"/>
              </w:rPr>
            </w:pPr>
            <w:r w:rsidRPr="00C46460">
              <w:rPr>
                <w:rFonts w:ascii="Verdana" w:hAnsi="Verdana"/>
                <w:lang w:val="cs-CZ"/>
              </w:rPr>
              <w:t>nám. 28. října 20/2, 500 02 Hradec Králové</w:t>
            </w:r>
          </w:p>
        </w:tc>
      </w:tr>
      <w:tr w:rsidR="000A53E2" w:rsidRPr="00C46460" w14:paraId="1E3516BA" w14:textId="77777777" w:rsidTr="00793BFF">
        <w:trPr>
          <w:trHeight w:hRule="exact" w:val="500"/>
        </w:trPr>
        <w:tc>
          <w:tcPr>
            <w:tcW w:w="6526" w:type="dxa"/>
          </w:tcPr>
          <w:p w14:paraId="54138DFB" w14:textId="77777777" w:rsidR="000A53E2" w:rsidRPr="00C46460" w:rsidRDefault="000A53E2" w:rsidP="00C91E9C">
            <w:pPr>
              <w:rPr>
                <w:rFonts w:ascii="Verdana" w:hAnsi="Verdana"/>
                <w:lang w:val="cs-CZ"/>
              </w:rPr>
            </w:pPr>
          </w:p>
        </w:tc>
        <w:tc>
          <w:tcPr>
            <w:tcW w:w="3398" w:type="dxa"/>
            <w:vMerge/>
          </w:tcPr>
          <w:p w14:paraId="0D3AA769" w14:textId="77777777" w:rsidR="000A53E2" w:rsidRPr="00C46460" w:rsidRDefault="000A53E2" w:rsidP="00C91E9C">
            <w:pPr>
              <w:rPr>
                <w:rFonts w:ascii="Verdana" w:hAnsi="Verdana"/>
                <w:lang w:val="cs-CZ"/>
              </w:rPr>
            </w:pPr>
          </w:p>
        </w:tc>
      </w:tr>
      <w:tr w:rsidR="000A53E2" w:rsidRPr="00C46460" w14:paraId="238FAE3D" w14:textId="77777777" w:rsidTr="00793BFF">
        <w:trPr>
          <w:trHeight w:val="1462"/>
        </w:trPr>
        <w:tc>
          <w:tcPr>
            <w:tcW w:w="6526" w:type="dxa"/>
          </w:tcPr>
          <w:p w14:paraId="75B59E28" w14:textId="77777777" w:rsidR="00291EC5" w:rsidRPr="00C46460" w:rsidRDefault="00291EC5" w:rsidP="00C91E9C">
            <w:pPr>
              <w:rPr>
                <w:rFonts w:ascii="Verdana" w:hAnsi="Verdana"/>
                <w:lang w:val="cs-CZ"/>
              </w:rPr>
            </w:pPr>
          </w:p>
        </w:tc>
        <w:tc>
          <w:tcPr>
            <w:tcW w:w="3398" w:type="dxa"/>
            <w:vMerge/>
          </w:tcPr>
          <w:p w14:paraId="53815466" w14:textId="77777777" w:rsidR="000A53E2" w:rsidRPr="00C46460" w:rsidRDefault="000A53E2" w:rsidP="00C91E9C">
            <w:pPr>
              <w:rPr>
                <w:rFonts w:ascii="Verdana" w:hAnsi="Verdana"/>
                <w:lang w:val="cs-CZ"/>
              </w:rPr>
            </w:pPr>
          </w:p>
        </w:tc>
      </w:tr>
    </w:tbl>
    <w:p w14:paraId="5A1C2430" w14:textId="77777777" w:rsidR="00D26C6E" w:rsidRPr="00B27A43" w:rsidRDefault="00147596" w:rsidP="00D26C6E">
      <w:pPr>
        <w:spacing w:before="600"/>
        <w:jc w:val="center"/>
        <w:rPr>
          <w:rFonts w:ascii="Tahoma" w:hAnsi="Tahoma" w:cs="Tahoma"/>
          <w:b/>
          <w:spacing w:val="20"/>
          <w:sz w:val="18"/>
          <w:szCs w:val="18"/>
          <w:lang w:val="cs-CZ"/>
        </w:rPr>
      </w:pPr>
      <w:r w:rsidRPr="00B27A43">
        <w:rPr>
          <w:rFonts w:ascii="Tahoma" w:hAnsi="Tahoma" w:cs="Tahoma"/>
          <w:b/>
          <w:spacing w:val="20"/>
          <w:sz w:val="18"/>
          <w:szCs w:val="18"/>
          <w:lang w:val="cs-CZ"/>
        </w:rPr>
        <w:t>S</w:t>
      </w:r>
      <w:bookmarkStart w:id="1" w:name="_Ref118619091"/>
      <w:bookmarkEnd w:id="1"/>
      <w:r w:rsidRPr="00B27A43">
        <w:rPr>
          <w:rFonts w:ascii="Tahoma" w:hAnsi="Tahoma" w:cs="Tahoma"/>
          <w:b/>
          <w:spacing w:val="20"/>
          <w:sz w:val="18"/>
          <w:szCs w:val="18"/>
          <w:lang w:val="cs-CZ"/>
        </w:rPr>
        <w:t>mlouva o poskytování právních služeb</w:t>
      </w:r>
    </w:p>
    <w:p w14:paraId="04A530F7" w14:textId="77777777" w:rsidR="00E41A10" w:rsidRPr="00B27A43" w:rsidRDefault="00E41A10" w:rsidP="00E41A10">
      <w:pPr>
        <w:rPr>
          <w:rFonts w:ascii="Tahoma" w:hAnsi="Tahoma" w:cs="Tahoma"/>
          <w:sz w:val="16"/>
          <w:szCs w:val="16"/>
          <w:lang w:val="cs-CZ"/>
        </w:rPr>
      </w:pPr>
    </w:p>
    <w:p w14:paraId="505419F1" w14:textId="77777777" w:rsidR="00147596" w:rsidRPr="00B27A43" w:rsidRDefault="00147596" w:rsidP="00147596">
      <w:pPr>
        <w:rPr>
          <w:rFonts w:ascii="Tahoma" w:hAnsi="Tahoma" w:cs="Tahoma"/>
          <w:sz w:val="16"/>
          <w:szCs w:val="16"/>
          <w:lang w:val="cs-CZ"/>
        </w:rPr>
      </w:pPr>
      <w:r w:rsidRPr="00B27A43">
        <w:rPr>
          <w:rFonts w:ascii="Tahoma" w:hAnsi="Tahoma" w:cs="Tahoma"/>
          <w:b/>
          <w:sz w:val="16"/>
          <w:szCs w:val="16"/>
          <w:lang w:val="cs-CZ"/>
        </w:rPr>
        <w:t>Deloitte Legal s.r.o., advokátní kancelář</w:t>
      </w:r>
      <w:r w:rsidRPr="00B27A43">
        <w:rPr>
          <w:rFonts w:ascii="Tahoma" w:hAnsi="Tahoma" w:cs="Tahoma"/>
          <w:sz w:val="16"/>
          <w:szCs w:val="16"/>
          <w:lang w:val="cs-CZ"/>
        </w:rPr>
        <w:t xml:space="preserve"> </w:t>
      </w:r>
    </w:p>
    <w:p w14:paraId="457424D1" w14:textId="77777777" w:rsidR="00147596" w:rsidRPr="00B27A43" w:rsidRDefault="00793BFF" w:rsidP="00147596">
      <w:pPr>
        <w:rPr>
          <w:rFonts w:ascii="Tahoma" w:hAnsi="Tahoma" w:cs="Tahoma"/>
          <w:sz w:val="16"/>
          <w:szCs w:val="16"/>
          <w:lang w:val="cs-CZ"/>
        </w:rPr>
      </w:pPr>
      <w:r w:rsidRPr="00B27A43">
        <w:rPr>
          <w:rFonts w:ascii="Tahoma" w:hAnsi="Tahoma" w:cs="Tahoma"/>
          <w:sz w:val="16"/>
          <w:szCs w:val="16"/>
          <w:lang w:val="cs-CZ"/>
        </w:rPr>
        <w:t>se sídlem Italská 2581/67, 120 00 Praha 2</w:t>
      </w:r>
      <w:r w:rsidR="00147596" w:rsidRPr="00B27A43">
        <w:rPr>
          <w:rFonts w:ascii="Tahoma" w:hAnsi="Tahoma" w:cs="Tahoma"/>
          <w:sz w:val="16"/>
          <w:szCs w:val="16"/>
          <w:lang w:val="cs-CZ"/>
        </w:rPr>
        <w:t>, Česká republika</w:t>
      </w:r>
    </w:p>
    <w:p w14:paraId="13B53FD8" w14:textId="77777777" w:rsidR="00147596" w:rsidRPr="00B27A43" w:rsidRDefault="00147596" w:rsidP="00147596">
      <w:pPr>
        <w:rPr>
          <w:rFonts w:ascii="Tahoma" w:hAnsi="Tahoma" w:cs="Tahoma"/>
          <w:sz w:val="16"/>
          <w:szCs w:val="16"/>
          <w:lang w:val="cs-CZ"/>
        </w:rPr>
      </w:pPr>
      <w:r w:rsidRPr="00B27A43">
        <w:rPr>
          <w:rFonts w:ascii="Tahoma" w:hAnsi="Tahoma" w:cs="Tahoma"/>
          <w:sz w:val="16"/>
          <w:szCs w:val="16"/>
          <w:lang w:val="cs-CZ"/>
        </w:rPr>
        <w:t>IČO: 290 55 130</w:t>
      </w:r>
    </w:p>
    <w:p w14:paraId="2B5EF3BF" w14:textId="77777777" w:rsidR="00147596" w:rsidRPr="00B27A43" w:rsidRDefault="00147596" w:rsidP="00147596">
      <w:pPr>
        <w:rPr>
          <w:rFonts w:ascii="Tahoma" w:hAnsi="Tahoma" w:cs="Tahoma"/>
          <w:sz w:val="16"/>
          <w:szCs w:val="16"/>
          <w:lang w:val="cs-CZ"/>
        </w:rPr>
      </w:pPr>
      <w:r w:rsidRPr="00B27A43">
        <w:rPr>
          <w:rFonts w:ascii="Tahoma" w:hAnsi="Tahoma" w:cs="Tahoma"/>
          <w:sz w:val="16"/>
          <w:szCs w:val="16"/>
          <w:lang w:val="cs-CZ"/>
        </w:rPr>
        <w:t>zapsaná v obchodním rejstříku vedeném Městským soudem v Praze, oddíl C, vložka 163302</w:t>
      </w:r>
    </w:p>
    <w:p w14:paraId="74B9BBA7" w14:textId="746DA045" w:rsidR="00147596" w:rsidRPr="00B27A43" w:rsidRDefault="00FE3B66" w:rsidP="00147596">
      <w:pPr>
        <w:rPr>
          <w:rFonts w:ascii="Tahoma" w:hAnsi="Tahoma" w:cs="Tahoma"/>
          <w:sz w:val="16"/>
          <w:szCs w:val="16"/>
          <w:lang w:val="cs-CZ"/>
        </w:rPr>
      </w:pPr>
      <w:r w:rsidRPr="00B27A43">
        <w:rPr>
          <w:rFonts w:ascii="Tahoma" w:hAnsi="Tahoma" w:cs="Tahoma"/>
          <w:sz w:val="16"/>
          <w:szCs w:val="16"/>
          <w:lang w:val="cs-CZ"/>
        </w:rPr>
        <w:t xml:space="preserve">zastoupená </w:t>
      </w:r>
      <w:r w:rsidR="00B306E2" w:rsidRPr="00B27A43">
        <w:rPr>
          <w:rFonts w:ascii="Tahoma" w:hAnsi="Tahoma" w:cs="Tahoma"/>
          <w:sz w:val="16"/>
          <w:szCs w:val="16"/>
          <w:lang w:val="cs-CZ"/>
        </w:rPr>
        <w:t>JUDr. Martinem Bohuslavem</w:t>
      </w:r>
      <w:r w:rsidR="00147596" w:rsidRPr="00B27A43">
        <w:rPr>
          <w:rFonts w:ascii="Tahoma" w:hAnsi="Tahoma" w:cs="Tahoma"/>
          <w:sz w:val="16"/>
          <w:szCs w:val="16"/>
          <w:lang w:val="cs-CZ"/>
        </w:rPr>
        <w:t>, jednatelem</w:t>
      </w:r>
    </w:p>
    <w:p w14:paraId="1460EAA2" w14:textId="77777777" w:rsidR="00147596" w:rsidRPr="00B27A43" w:rsidRDefault="00147596" w:rsidP="00147596">
      <w:pPr>
        <w:rPr>
          <w:rFonts w:ascii="Tahoma" w:hAnsi="Tahoma" w:cs="Tahoma"/>
          <w:sz w:val="16"/>
          <w:szCs w:val="16"/>
          <w:lang w:val="cs-CZ"/>
        </w:rPr>
      </w:pPr>
    </w:p>
    <w:p w14:paraId="65161128" w14:textId="77777777" w:rsidR="00147596" w:rsidRPr="00B27A43" w:rsidRDefault="00147596" w:rsidP="00147596">
      <w:pPr>
        <w:rPr>
          <w:rFonts w:ascii="Tahoma" w:hAnsi="Tahoma" w:cs="Tahoma"/>
          <w:sz w:val="16"/>
          <w:szCs w:val="16"/>
          <w:lang w:val="cs-CZ"/>
        </w:rPr>
      </w:pPr>
      <w:r w:rsidRPr="00B27A43">
        <w:rPr>
          <w:rFonts w:ascii="Tahoma" w:hAnsi="Tahoma" w:cs="Tahoma"/>
          <w:sz w:val="16"/>
          <w:szCs w:val="16"/>
          <w:lang w:val="cs-CZ"/>
        </w:rPr>
        <w:t>jako poskytovatel služeb</w:t>
      </w:r>
    </w:p>
    <w:p w14:paraId="1A9D103D" w14:textId="77777777" w:rsidR="00147596" w:rsidRPr="00B27A43" w:rsidRDefault="00147596" w:rsidP="00147596">
      <w:pPr>
        <w:rPr>
          <w:rFonts w:ascii="Tahoma" w:hAnsi="Tahoma" w:cs="Tahoma"/>
          <w:sz w:val="16"/>
          <w:szCs w:val="16"/>
          <w:lang w:val="cs-CZ"/>
        </w:rPr>
      </w:pPr>
      <w:r w:rsidRPr="00B27A43">
        <w:rPr>
          <w:rFonts w:ascii="Tahoma" w:hAnsi="Tahoma" w:cs="Tahoma"/>
          <w:sz w:val="16"/>
          <w:szCs w:val="16"/>
          <w:lang w:val="cs-CZ"/>
        </w:rPr>
        <w:t>(„</w:t>
      </w:r>
      <w:r w:rsidRPr="00B27A43">
        <w:rPr>
          <w:rFonts w:ascii="Tahoma" w:hAnsi="Tahoma" w:cs="Tahoma"/>
          <w:b/>
          <w:sz w:val="16"/>
          <w:szCs w:val="16"/>
          <w:lang w:val="cs-CZ"/>
        </w:rPr>
        <w:t>Deloitte Legal</w:t>
      </w:r>
      <w:r w:rsidRPr="00B27A43">
        <w:rPr>
          <w:rFonts w:ascii="Tahoma" w:hAnsi="Tahoma" w:cs="Tahoma"/>
          <w:sz w:val="16"/>
          <w:szCs w:val="16"/>
          <w:lang w:val="cs-CZ"/>
        </w:rPr>
        <w:t>“)</w:t>
      </w:r>
    </w:p>
    <w:p w14:paraId="1684AC6F" w14:textId="77777777" w:rsidR="00147596" w:rsidRPr="00B27A43" w:rsidRDefault="00147596" w:rsidP="00147596">
      <w:pPr>
        <w:rPr>
          <w:rFonts w:ascii="Tahoma" w:hAnsi="Tahoma" w:cs="Tahoma"/>
          <w:sz w:val="16"/>
          <w:szCs w:val="16"/>
          <w:lang w:val="cs-CZ"/>
        </w:rPr>
      </w:pPr>
    </w:p>
    <w:p w14:paraId="7AD7E19B" w14:textId="77777777" w:rsidR="00147596" w:rsidRPr="00B27A43" w:rsidRDefault="00147596" w:rsidP="00147596">
      <w:pPr>
        <w:rPr>
          <w:rFonts w:ascii="Tahoma" w:hAnsi="Tahoma" w:cs="Tahoma"/>
          <w:sz w:val="16"/>
          <w:szCs w:val="16"/>
          <w:lang w:val="cs-CZ"/>
        </w:rPr>
      </w:pPr>
      <w:r w:rsidRPr="00B27A43">
        <w:rPr>
          <w:rFonts w:ascii="Tahoma" w:hAnsi="Tahoma" w:cs="Tahoma"/>
          <w:sz w:val="16"/>
          <w:szCs w:val="16"/>
          <w:lang w:val="cs-CZ"/>
        </w:rPr>
        <w:t xml:space="preserve">a </w:t>
      </w:r>
    </w:p>
    <w:p w14:paraId="46F6FBDB" w14:textId="77777777" w:rsidR="00147596" w:rsidRPr="00B27A43" w:rsidRDefault="00147596" w:rsidP="00147596">
      <w:pPr>
        <w:rPr>
          <w:rFonts w:ascii="Tahoma" w:hAnsi="Tahoma" w:cs="Tahoma"/>
          <w:sz w:val="16"/>
          <w:szCs w:val="16"/>
          <w:lang w:val="cs-CZ"/>
        </w:rPr>
      </w:pPr>
    </w:p>
    <w:p w14:paraId="0C28E6D7" w14:textId="10361925" w:rsidR="00147596" w:rsidRPr="00B27A43" w:rsidRDefault="00FE3B66" w:rsidP="00147596">
      <w:pPr>
        <w:rPr>
          <w:rFonts w:ascii="Tahoma" w:hAnsi="Tahoma" w:cs="Tahoma"/>
          <w:b/>
          <w:sz w:val="16"/>
          <w:szCs w:val="16"/>
          <w:lang w:val="cs-CZ"/>
        </w:rPr>
      </w:pPr>
      <w:r w:rsidRPr="00B27A43">
        <w:rPr>
          <w:rFonts w:ascii="Tahoma" w:hAnsi="Tahoma" w:cs="Tahoma"/>
          <w:b/>
          <w:sz w:val="16"/>
          <w:szCs w:val="16"/>
          <w:lang w:val="cs-CZ"/>
        </w:rPr>
        <w:t>Všeobecná fakultní nemocnice v Praze</w:t>
      </w:r>
    </w:p>
    <w:p w14:paraId="182C7743" w14:textId="31746149" w:rsidR="00147596" w:rsidRPr="00B27A43" w:rsidRDefault="00FE3B66" w:rsidP="00147596">
      <w:pPr>
        <w:rPr>
          <w:rFonts w:ascii="Tahoma" w:hAnsi="Tahoma" w:cs="Tahoma"/>
          <w:sz w:val="16"/>
          <w:szCs w:val="16"/>
          <w:lang w:val="cs-CZ"/>
        </w:rPr>
      </w:pPr>
      <w:r w:rsidRPr="00B27A43">
        <w:rPr>
          <w:rFonts w:ascii="Tahoma" w:hAnsi="Tahoma" w:cs="Tahoma"/>
          <w:sz w:val="16"/>
          <w:szCs w:val="16"/>
          <w:lang w:val="cs-CZ"/>
        </w:rPr>
        <w:t>se sídlem U Nemocnice 499/2, 128 08 Praha 2, Česká republika</w:t>
      </w:r>
    </w:p>
    <w:p w14:paraId="7CE7FECE" w14:textId="61E752E9" w:rsidR="00147596" w:rsidRPr="00B27A43" w:rsidRDefault="00147596" w:rsidP="00147596">
      <w:pPr>
        <w:rPr>
          <w:rFonts w:ascii="Tahoma" w:hAnsi="Tahoma" w:cs="Tahoma"/>
          <w:sz w:val="16"/>
          <w:szCs w:val="16"/>
          <w:lang w:val="cs-CZ"/>
        </w:rPr>
      </w:pPr>
      <w:r w:rsidRPr="00B27A43">
        <w:rPr>
          <w:rFonts w:ascii="Tahoma" w:hAnsi="Tahoma" w:cs="Tahoma"/>
          <w:sz w:val="16"/>
          <w:szCs w:val="16"/>
          <w:lang w:val="cs-CZ"/>
        </w:rPr>
        <w:t xml:space="preserve">IČO: </w:t>
      </w:r>
      <w:r w:rsidR="00FE3B66" w:rsidRPr="00B27A43">
        <w:rPr>
          <w:rFonts w:ascii="Tahoma" w:hAnsi="Tahoma" w:cs="Tahoma"/>
          <w:sz w:val="16"/>
          <w:szCs w:val="16"/>
          <w:lang w:val="cs-CZ"/>
        </w:rPr>
        <w:t>00064165</w:t>
      </w:r>
    </w:p>
    <w:p w14:paraId="59994D60" w14:textId="4CA5ABA2" w:rsidR="00147596" w:rsidRPr="00B27A43" w:rsidRDefault="00D77A87" w:rsidP="00147596">
      <w:pPr>
        <w:rPr>
          <w:rFonts w:ascii="Tahoma" w:hAnsi="Tahoma" w:cs="Tahoma"/>
          <w:sz w:val="16"/>
          <w:szCs w:val="16"/>
          <w:lang w:val="cs-CZ"/>
        </w:rPr>
      </w:pPr>
      <w:r w:rsidRPr="00B27A43">
        <w:rPr>
          <w:rFonts w:ascii="Tahoma" w:hAnsi="Tahoma" w:cs="Tahoma"/>
          <w:sz w:val="16"/>
          <w:szCs w:val="16"/>
          <w:lang w:val="cs-CZ"/>
        </w:rPr>
        <w:t>Z</w:t>
      </w:r>
      <w:r w:rsidR="00147596" w:rsidRPr="00B27A43">
        <w:rPr>
          <w:rFonts w:ascii="Tahoma" w:hAnsi="Tahoma" w:cs="Tahoma"/>
          <w:sz w:val="16"/>
          <w:szCs w:val="16"/>
          <w:lang w:val="cs-CZ"/>
        </w:rPr>
        <w:t>astoupená</w:t>
      </w:r>
      <w:r w:rsidRPr="00B27A43">
        <w:rPr>
          <w:rFonts w:ascii="Tahoma" w:hAnsi="Tahoma" w:cs="Tahoma"/>
          <w:sz w:val="16"/>
          <w:szCs w:val="16"/>
          <w:lang w:val="cs-CZ"/>
        </w:rPr>
        <w:t xml:space="preserve"> prof. MUDr. Davidem Feltlem, Ph.D., MBA, ředitelem</w:t>
      </w:r>
      <w:r w:rsidR="00147596" w:rsidRPr="00B27A43">
        <w:rPr>
          <w:rFonts w:ascii="Tahoma" w:hAnsi="Tahoma" w:cs="Tahoma"/>
          <w:sz w:val="16"/>
          <w:szCs w:val="16"/>
          <w:lang w:val="cs-CZ"/>
        </w:rPr>
        <w:t xml:space="preserve"> </w:t>
      </w:r>
    </w:p>
    <w:p w14:paraId="693A2FB8" w14:textId="77777777" w:rsidR="00147596" w:rsidRPr="00B27A43" w:rsidRDefault="00147596" w:rsidP="00147596">
      <w:pPr>
        <w:rPr>
          <w:rFonts w:ascii="Tahoma" w:hAnsi="Tahoma" w:cs="Tahoma"/>
          <w:sz w:val="16"/>
          <w:szCs w:val="16"/>
          <w:lang w:val="cs-CZ"/>
        </w:rPr>
      </w:pPr>
    </w:p>
    <w:p w14:paraId="7845897F" w14:textId="77777777" w:rsidR="00147596" w:rsidRPr="00B27A43" w:rsidRDefault="00147596" w:rsidP="00147596">
      <w:pPr>
        <w:rPr>
          <w:rFonts w:ascii="Tahoma" w:hAnsi="Tahoma" w:cs="Tahoma"/>
          <w:sz w:val="16"/>
          <w:szCs w:val="16"/>
          <w:lang w:val="cs-CZ"/>
        </w:rPr>
      </w:pPr>
      <w:r w:rsidRPr="00B27A43">
        <w:rPr>
          <w:rFonts w:ascii="Tahoma" w:hAnsi="Tahoma" w:cs="Tahoma"/>
          <w:sz w:val="16"/>
          <w:szCs w:val="16"/>
          <w:lang w:val="cs-CZ"/>
        </w:rPr>
        <w:t>jako objednatel služeb</w:t>
      </w:r>
    </w:p>
    <w:p w14:paraId="1EB8BD4F" w14:textId="68AB0BEB" w:rsidR="00147596" w:rsidRPr="00B27A43" w:rsidRDefault="00147596" w:rsidP="00147596">
      <w:pPr>
        <w:rPr>
          <w:rFonts w:ascii="Tahoma" w:hAnsi="Tahoma" w:cs="Tahoma"/>
          <w:sz w:val="16"/>
          <w:szCs w:val="16"/>
          <w:lang w:val="cs-CZ"/>
        </w:rPr>
      </w:pPr>
      <w:r w:rsidRPr="00B27A43">
        <w:rPr>
          <w:rFonts w:ascii="Tahoma" w:hAnsi="Tahoma" w:cs="Tahoma"/>
          <w:sz w:val="16"/>
          <w:szCs w:val="16"/>
          <w:lang w:val="cs-CZ"/>
        </w:rPr>
        <w:t>(„</w:t>
      </w:r>
      <w:r w:rsidRPr="00B27A43">
        <w:rPr>
          <w:rFonts w:ascii="Tahoma" w:hAnsi="Tahoma" w:cs="Tahoma"/>
          <w:b/>
          <w:sz w:val="16"/>
          <w:szCs w:val="16"/>
          <w:lang w:val="cs-CZ"/>
        </w:rPr>
        <w:t>Objednatel</w:t>
      </w:r>
      <w:r w:rsidRPr="00B27A43">
        <w:rPr>
          <w:rFonts w:ascii="Tahoma" w:hAnsi="Tahoma" w:cs="Tahoma"/>
          <w:sz w:val="16"/>
          <w:szCs w:val="16"/>
          <w:lang w:val="cs-CZ"/>
        </w:rPr>
        <w:t>“)</w:t>
      </w:r>
      <w:r w:rsidR="006316AC" w:rsidRPr="00B27A43">
        <w:rPr>
          <w:rFonts w:ascii="Tahoma" w:hAnsi="Tahoma" w:cs="Tahoma"/>
          <w:sz w:val="16"/>
          <w:szCs w:val="16"/>
          <w:lang w:val="cs-CZ"/>
        </w:rPr>
        <w:t>,</w:t>
      </w:r>
    </w:p>
    <w:p w14:paraId="30433007" w14:textId="77777777" w:rsidR="00147596" w:rsidRPr="00B27A43" w:rsidRDefault="00147596" w:rsidP="00147596">
      <w:pPr>
        <w:rPr>
          <w:rFonts w:ascii="Tahoma" w:hAnsi="Tahoma" w:cs="Tahoma"/>
          <w:sz w:val="16"/>
          <w:szCs w:val="16"/>
          <w:lang w:val="cs-CZ"/>
        </w:rPr>
      </w:pPr>
    </w:p>
    <w:p w14:paraId="493AE96C" w14:textId="26B7B78B" w:rsidR="00F80EB4" w:rsidRPr="00B27A43" w:rsidRDefault="00CB0732" w:rsidP="00CB0732">
      <w:pPr>
        <w:rPr>
          <w:rFonts w:ascii="Tahoma" w:hAnsi="Tahoma" w:cs="Tahoma"/>
          <w:sz w:val="16"/>
          <w:szCs w:val="16"/>
          <w:lang w:val="cs-CZ"/>
        </w:rPr>
      </w:pPr>
      <w:r w:rsidRPr="00B27A43">
        <w:rPr>
          <w:rFonts w:ascii="Tahoma" w:hAnsi="Tahoma" w:cs="Tahoma"/>
          <w:sz w:val="16"/>
          <w:szCs w:val="16"/>
          <w:lang w:val="cs-CZ"/>
        </w:rPr>
        <w:t>(n</w:t>
      </w:r>
      <w:r w:rsidR="00147596" w:rsidRPr="00B27A43">
        <w:rPr>
          <w:rFonts w:ascii="Tahoma" w:hAnsi="Tahoma" w:cs="Tahoma"/>
          <w:sz w:val="16"/>
          <w:szCs w:val="16"/>
          <w:lang w:val="cs-CZ"/>
        </w:rPr>
        <w:t>a Deloitte Legal a Objednatele je dále také odkazováno jako na „</w:t>
      </w:r>
      <w:r w:rsidR="00147596" w:rsidRPr="00B27A43">
        <w:rPr>
          <w:rFonts w:ascii="Tahoma" w:hAnsi="Tahoma" w:cs="Tahoma"/>
          <w:b/>
          <w:sz w:val="16"/>
          <w:szCs w:val="16"/>
          <w:lang w:val="cs-CZ"/>
        </w:rPr>
        <w:t>Smluvní strany</w:t>
      </w:r>
      <w:r w:rsidR="00147596" w:rsidRPr="00B27A43">
        <w:rPr>
          <w:rFonts w:ascii="Tahoma" w:hAnsi="Tahoma" w:cs="Tahoma"/>
          <w:sz w:val="16"/>
          <w:szCs w:val="16"/>
          <w:lang w:val="cs-CZ"/>
        </w:rPr>
        <w:t>“</w:t>
      </w:r>
      <w:r w:rsidRPr="00B27A43">
        <w:rPr>
          <w:rFonts w:ascii="Tahoma" w:hAnsi="Tahoma" w:cs="Tahoma"/>
          <w:sz w:val="16"/>
          <w:szCs w:val="16"/>
          <w:lang w:val="cs-CZ"/>
        </w:rPr>
        <w:t>),</w:t>
      </w:r>
    </w:p>
    <w:p w14:paraId="710925E3" w14:textId="3104201E" w:rsidR="00CB0732" w:rsidRPr="00B27A43" w:rsidRDefault="00CB0732" w:rsidP="00CB0732">
      <w:pPr>
        <w:rPr>
          <w:rFonts w:ascii="Tahoma" w:hAnsi="Tahoma" w:cs="Tahoma"/>
          <w:sz w:val="16"/>
          <w:szCs w:val="16"/>
          <w:lang w:val="cs-CZ"/>
        </w:rPr>
      </w:pPr>
    </w:p>
    <w:p w14:paraId="20435535" w14:textId="66C87ECD" w:rsidR="00147596" w:rsidRPr="00B27A43" w:rsidRDefault="00CB0732" w:rsidP="00CB0732">
      <w:pPr>
        <w:rPr>
          <w:rFonts w:ascii="Tahoma" w:hAnsi="Tahoma" w:cs="Tahoma"/>
          <w:sz w:val="16"/>
          <w:szCs w:val="16"/>
          <w:lang w:val="cs-CZ"/>
        </w:rPr>
      </w:pPr>
      <w:r w:rsidRPr="00B27A43">
        <w:rPr>
          <w:rFonts w:ascii="Tahoma" w:hAnsi="Tahoma" w:cs="Tahoma"/>
          <w:sz w:val="16"/>
          <w:szCs w:val="16"/>
          <w:lang w:val="cs-CZ"/>
        </w:rPr>
        <w:t>tímto uzavírají Smlouvu o poskytování právních služeb v následujícím znění:</w:t>
      </w:r>
      <w:r w:rsidR="00F80EB4" w:rsidRPr="00B27A43">
        <w:rPr>
          <w:rFonts w:ascii="Tahoma" w:hAnsi="Tahoma" w:cs="Tahoma"/>
          <w:sz w:val="16"/>
          <w:szCs w:val="16"/>
          <w:lang w:val="cs-CZ"/>
        </w:rPr>
        <w:br w:type="page"/>
      </w:r>
    </w:p>
    <w:p w14:paraId="1112650A" w14:textId="77777777" w:rsidR="00147596" w:rsidRPr="00B27A43" w:rsidRDefault="00147596" w:rsidP="00F80EB4">
      <w:pPr>
        <w:pStyle w:val="smlouvaheading1"/>
        <w:ind w:left="709" w:hanging="709"/>
        <w:rPr>
          <w:rFonts w:ascii="Tahoma" w:hAnsi="Tahoma" w:cs="Tahoma"/>
          <w:sz w:val="16"/>
          <w:szCs w:val="16"/>
        </w:rPr>
      </w:pPr>
      <w:r w:rsidRPr="00B27A43">
        <w:rPr>
          <w:rFonts w:ascii="Tahoma" w:hAnsi="Tahoma" w:cs="Tahoma"/>
          <w:sz w:val="16"/>
          <w:szCs w:val="16"/>
        </w:rPr>
        <w:lastRenderedPageBreak/>
        <w:t>Předmět smlouvy</w:t>
      </w:r>
    </w:p>
    <w:p w14:paraId="09BAE888" w14:textId="77777777"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Deloitte Legal  se zavazuje poskytovat Objednateli právní služby v rozsahu vymezeném v článcích 2.1 a 2.2 této smlouvy.</w:t>
      </w:r>
    </w:p>
    <w:p w14:paraId="62777036" w14:textId="77777777"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Objednatel se zavazuje poskytnout Deloitte Legal veškerou součinnost potřebnou k řádnému poskytnutí předmětných právních služeb a uhradit odměnu v souladu s článkem III. této smlouvy.</w:t>
      </w:r>
    </w:p>
    <w:p w14:paraId="1B18BA69" w14:textId="77777777" w:rsidR="00147596" w:rsidRPr="00B27A43" w:rsidRDefault="00147596" w:rsidP="00F80EB4">
      <w:pPr>
        <w:pStyle w:val="smlouvaheading1"/>
        <w:ind w:left="709" w:hanging="709"/>
        <w:rPr>
          <w:rFonts w:ascii="Tahoma" w:hAnsi="Tahoma" w:cs="Tahoma"/>
          <w:sz w:val="16"/>
          <w:szCs w:val="16"/>
        </w:rPr>
      </w:pPr>
      <w:r w:rsidRPr="00B27A43">
        <w:rPr>
          <w:rFonts w:ascii="Tahoma" w:hAnsi="Tahoma" w:cs="Tahoma"/>
          <w:sz w:val="16"/>
          <w:szCs w:val="16"/>
        </w:rPr>
        <w:t>Rozsah služeb</w:t>
      </w:r>
    </w:p>
    <w:p w14:paraId="7C417053" w14:textId="1F83DA31" w:rsidR="00147596" w:rsidRPr="00B27A43" w:rsidRDefault="00147596" w:rsidP="00F80EB4">
      <w:pPr>
        <w:pStyle w:val="smlouvaheading2"/>
        <w:spacing w:after="120"/>
        <w:rPr>
          <w:rFonts w:ascii="Tahoma" w:hAnsi="Tahoma" w:cs="Tahoma"/>
          <w:sz w:val="16"/>
          <w:szCs w:val="16"/>
        </w:rPr>
      </w:pPr>
      <w:bookmarkStart w:id="2" w:name="_Ref118619073"/>
      <w:r w:rsidRPr="00B27A43">
        <w:rPr>
          <w:rFonts w:ascii="Tahoma" w:hAnsi="Tahoma" w:cs="Tahoma"/>
          <w:sz w:val="16"/>
          <w:szCs w:val="16"/>
        </w:rPr>
        <w:t xml:space="preserve">Deloitte Legal poskytne </w:t>
      </w:r>
      <w:r w:rsidR="00F80EB4" w:rsidRPr="00B27A43">
        <w:rPr>
          <w:rFonts w:ascii="Tahoma" w:hAnsi="Tahoma" w:cs="Tahoma"/>
          <w:sz w:val="16"/>
          <w:szCs w:val="16"/>
        </w:rPr>
        <w:t>Objednateli právní služby spočívající v administraci veřejné zakázky na dodávku Nemocničního informačního systému. Obsahem služeb v rámci administrace veřejné zakázky bude zajištění níže uvedených činností</w:t>
      </w:r>
      <w:r w:rsidRPr="00B27A43">
        <w:rPr>
          <w:rFonts w:ascii="Tahoma" w:hAnsi="Tahoma" w:cs="Tahoma"/>
          <w:sz w:val="16"/>
          <w:szCs w:val="16"/>
        </w:rPr>
        <w:t>:</w:t>
      </w:r>
      <w:bookmarkEnd w:id="2"/>
    </w:p>
    <w:p w14:paraId="2D5164FF" w14:textId="7E6F730C" w:rsidR="00F80EB4" w:rsidRPr="00B27A43" w:rsidRDefault="00F80EB4" w:rsidP="008235A2">
      <w:pPr>
        <w:ind w:left="1134" w:hanging="283"/>
        <w:jc w:val="both"/>
        <w:rPr>
          <w:rFonts w:ascii="Tahoma" w:hAnsi="Tahoma" w:cs="Tahoma"/>
          <w:sz w:val="16"/>
          <w:szCs w:val="16"/>
          <w:lang w:val="cs-CZ"/>
        </w:rPr>
      </w:pPr>
      <w:r w:rsidRPr="00B27A43">
        <w:rPr>
          <w:rFonts w:ascii="Tahoma" w:hAnsi="Tahoma" w:cs="Tahoma"/>
          <w:sz w:val="16"/>
          <w:szCs w:val="16"/>
          <w:lang w:val="cs-CZ"/>
        </w:rPr>
        <w:t>-</w:t>
      </w:r>
      <w:r w:rsidRPr="00B27A43">
        <w:rPr>
          <w:rFonts w:ascii="Tahoma" w:hAnsi="Tahoma" w:cs="Tahoma"/>
          <w:sz w:val="16"/>
          <w:szCs w:val="16"/>
          <w:lang w:val="cs-CZ"/>
        </w:rPr>
        <w:tab/>
        <w:t>uveřejnění</w:t>
      </w:r>
      <w:r w:rsidR="008235A2" w:rsidRPr="00B27A43">
        <w:rPr>
          <w:rFonts w:ascii="Tahoma" w:hAnsi="Tahoma" w:cs="Tahoma"/>
          <w:sz w:val="16"/>
          <w:szCs w:val="16"/>
          <w:lang w:val="cs-CZ"/>
        </w:rPr>
        <w:t xml:space="preserve"> zadávacího řízení</w:t>
      </w:r>
      <w:r w:rsidRPr="00B27A43">
        <w:rPr>
          <w:rFonts w:ascii="Tahoma" w:hAnsi="Tahoma" w:cs="Tahoma"/>
          <w:sz w:val="16"/>
          <w:szCs w:val="16"/>
          <w:lang w:val="cs-CZ"/>
        </w:rPr>
        <w:t xml:space="preserve"> ve Věstníku veřejných zakázek a TED - oznámení o zahájení;</w:t>
      </w:r>
    </w:p>
    <w:p w14:paraId="269C6082" w14:textId="344AA089" w:rsidR="00F80EB4" w:rsidRPr="00B27A43" w:rsidRDefault="00F80EB4" w:rsidP="008235A2">
      <w:pPr>
        <w:ind w:left="1134" w:hanging="283"/>
        <w:jc w:val="both"/>
        <w:rPr>
          <w:rFonts w:ascii="Tahoma" w:hAnsi="Tahoma" w:cs="Tahoma"/>
          <w:sz w:val="16"/>
          <w:szCs w:val="16"/>
          <w:lang w:val="cs-CZ"/>
        </w:rPr>
      </w:pPr>
      <w:r w:rsidRPr="00B27A43">
        <w:rPr>
          <w:rFonts w:ascii="Tahoma" w:hAnsi="Tahoma" w:cs="Tahoma"/>
          <w:sz w:val="16"/>
          <w:szCs w:val="16"/>
          <w:lang w:val="cs-CZ"/>
        </w:rPr>
        <w:t>-</w:t>
      </w:r>
      <w:r w:rsidRPr="00B27A43">
        <w:rPr>
          <w:rFonts w:ascii="Tahoma" w:hAnsi="Tahoma" w:cs="Tahoma"/>
          <w:sz w:val="16"/>
          <w:szCs w:val="16"/>
          <w:lang w:val="cs-CZ"/>
        </w:rPr>
        <w:tab/>
        <w:t xml:space="preserve">uveřejnění </w:t>
      </w:r>
      <w:r w:rsidR="008235A2" w:rsidRPr="00B27A43">
        <w:rPr>
          <w:rFonts w:ascii="Tahoma" w:hAnsi="Tahoma" w:cs="Tahoma"/>
          <w:sz w:val="16"/>
          <w:szCs w:val="16"/>
          <w:lang w:val="cs-CZ"/>
        </w:rPr>
        <w:t>zadávací dokumentace</w:t>
      </w:r>
      <w:r w:rsidRPr="00B27A43">
        <w:rPr>
          <w:rFonts w:ascii="Tahoma" w:hAnsi="Tahoma" w:cs="Tahoma"/>
          <w:sz w:val="16"/>
          <w:szCs w:val="16"/>
          <w:lang w:val="cs-CZ"/>
        </w:rPr>
        <w:t xml:space="preserve"> na profilu zadavatele, vyplnění informací k zakázce na profilu zadavatele - Tender areně;</w:t>
      </w:r>
    </w:p>
    <w:p w14:paraId="582F14D8" w14:textId="787148E7" w:rsidR="00F80EB4" w:rsidRPr="00B27A43" w:rsidRDefault="00F80EB4" w:rsidP="008235A2">
      <w:pPr>
        <w:ind w:left="1134" w:hanging="283"/>
        <w:jc w:val="both"/>
        <w:rPr>
          <w:rFonts w:ascii="Tahoma" w:hAnsi="Tahoma" w:cs="Tahoma"/>
          <w:sz w:val="16"/>
          <w:szCs w:val="16"/>
          <w:lang w:val="cs-CZ"/>
        </w:rPr>
      </w:pPr>
      <w:r w:rsidRPr="00B27A43">
        <w:rPr>
          <w:rFonts w:ascii="Tahoma" w:hAnsi="Tahoma" w:cs="Tahoma"/>
          <w:sz w:val="16"/>
          <w:szCs w:val="16"/>
          <w:lang w:val="cs-CZ"/>
        </w:rPr>
        <w:t>-</w:t>
      </w:r>
      <w:r w:rsidRPr="00B27A43">
        <w:rPr>
          <w:rFonts w:ascii="Tahoma" w:hAnsi="Tahoma" w:cs="Tahoma"/>
          <w:sz w:val="16"/>
          <w:szCs w:val="16"/>
          <w:lang w:val="cs-CZ"/>
        </w:rPr>
        <w:tab/>
        <w:t xml:space="preserve">zastoupení zadavatele v průběhu trvání lhůty pro podání nabídek – </w:t>
      </w:r>
      <w:r w:rsidR="008235A2" w:rsidRPr="00B27A43">
        <w:rPr>
          <w:rFonts w:ascii="Tahoma" w:hAnsi="Tahoma" w:cs="Tahoma"/>
          <w:sz w:val="16"/>
          <w:szCs w:val="16"/>
          <w:lang w:val="cs-CZ"/>
        </w:rPr>
        <w:t>Deloitte Legal zajistí</w:t>
      </w:r>
      <w:r w:rsidRPr="00B27A43">
        <w:rPr>
          <w:rFonts w:ascii="Tahoma" w:hAnsi="Tahoma" w:cs="Tahoma"/>
          <w:sz w:val="16"/>
          <w:szCs w:val="16"/>
          <w:lang w:val="cs-CZ"/>
        </w:rPr>
        <w:t xml:space="preserve"> přímou komunikaci s dodavateli a související uveřejňování v zastoupení </w:t>
      </w:r>
      <w:r w:rsidR="008235A2" w:rsidRPr="00B27A43">
        <w:rPr>
          <w:rFonts w:ascii="Tahoma" w:hAnsi="Tahoma" w:cs="Tahoma"/>
          <w:sz w:val="16"/>
          <w:szCs w:val="16"/>
          <w:lang w:val="cs-CZ"/>
        </w:rPr>
        <w:t>Objednatele</w:t>
      </w:r>
      <w:r w:rsidRPr="00B27A43">
        <w:rPr>
          <w:rFonts w:ascii="Tahoma" w:hAnsi="Tahoma" w:cs="Tahoma"/>
          <w:sz w:val="16"/>
          <w:szCs w:val="16"/>
          <w:lang w:val="cs-CZ"/>
        </w:rPr>
        <w:t xml:space="preserve"> v součinnosti s dotčenými odbornými útvary </w:t>
      </w:r>
      <w:r w:rsidR="008235A2" w:rsidRPr="00B27A43">
        <w:rPr>
          <w:rFonts w:ascii="Tahoma" w:hAnsi="Tahoma" w:cs="Tahoma"/>
          <w:sz w:val="16"/>
          <w:szCs w:val="16"/>
          <w:lang w:val="cs-CZ"/>
        </w:rPr>
        <w:t>Objednatele</w:t>
      </w:r>
      <w:r w:rsidRPr="00B27A43">
        <w:rPr>
          <w:rFonts w:ascii="Tahoma" w:hAnsi="Tahoma" w:cs="Tahoma"/>
          <w:sz w:val="16"/>
          <w:szCs w:val="16"/>
          <w:lang w:val="cs-CZ"/>
        </w:rPr>
        <w:t>;</w:t>
      </w:r>
    </w:p>
    <w:p w14:paraId="213F9676" w14:textId="77777777" w:rsidR="00F80EB4" w:rsidRPr="00B27A43" w:rsidRDefault="00F80EB4" w:rsidP="008235A2">
      <w:pPr>
        <w:ind w:left="1134" w:hanging="283"/>
        <w:jc w:val="both"/>
        <w:rPr>
          <w:rFonts w:ascii="Tahoma" w:hAnsi="Tahoma" w:cs="Tahoma"/>
          <w:sz w:val="16"/>
          <w:szCs w:val="16"/>
          <w:lang w:val="cs-CZ"/>
        </w:rPr>
      </w:pPr>
      <w:r w:rsidRPr="00B27A43">
        <w:rPr>
          <w:rFonts w:ascii="Tahoma" w:hAnsi="Tahoma" w:cs="Tahoma"/>
          <w:sz w:val="16"/>
          <w:szCs w:val="16"/>
          <w:lang w:val="cs-CZ"/>
        </w:rPr>
        <w:t>-</w:t>
      </w:r>
      <w:r w:rsidRPr="00B27A43">
        <w:rPr>
          <w:rFonts w:ascii="Tahoma" w:hAnsi="Tahoma" w:cs="Tahoma"/>
          <w:sz w:val="16"/>
          <w:szCs w:val="16"/>
          <w:lang w:val="cs-CZ"/>
        </w:rPr>
        <w:tab/>
        <w:t>otevření nabídek v elektronické podobě;</w:t>
      </w:r>
    </w:p>
    <w:p w14:paraId="1F7BE73D" w14:textId="77777777" w:rsidR="00F80EB4" w:rsidRPr="00B27A43" w:rsidRDefault="00F80EB4" w:rsidP="008235A2">
      <w:pPr>
        <w:ind w:left="1134" w:hanging="283"/>
        <w:jc w:val="both"/>
        <w:rPr>
          <w:rFonts w:ascii="Tahoma" w:hAnsi="Tahoma" w:cs="Tahoma"/>
          <w:sz w:val="16"/>
          <w:szCs w:val="16"/>
          <w:lang w:val="cs-CZ"/>
        </w:rPr>
      </w:pPr>
      <w:r w:rsidRPr="00B27A43">
        <w:rPr>
          <w:rFonts w:ascii="Tahoma" w:hAnsi="Tahoma" w:cs="Tahoma"/>
          <w:sz w:val="16"/>
          <w:szCs w:val="16"/>
          <w:lang w:val="cs-CZ"/>
        </w:rPr>
        <w:t>-</w:t>
      </w:r>
      <w:r w:rsidRPr="00B27A43">
        <w:rPr>
          <w:rFonts w:ascii="Tahoma" w:hAnsi="Tahoma" w:cs="Tahoma"/>
          <w:sz w:val="16"/>
          <w:szCs w:val="16"/>
          <w:lang w:val="cs-CZ"/>
        </w:rPr>
        <w:tab/>
        <w:t>první právní posouzení nabídek, detailní právní posouzení nabídky, která se umístí jako první v pořadí dle hodnocení ceny;</w:t>
      </w:r>
    </w:p>
    <w:p w14:paraId="6F62D5BD" w14:textId="77777777" w:rsidR="00F80EB4" w:rsidRPr="00B27A43" w:rsidRDefault="00F80EB4" w:rsidP="008235A2">
      <w:pPr>
        <w:ind w:left="1134" w:hanging="283"/>
        <w:jc w:val="both"/>
        <w:rPr>
          <w:rFonts w:ascii="Tahoma" w:hAnsi="Tahoma" w:cs="Tahoma"/>
          <w:sz w:val="16"/>
          <w:szCs w:val="16"/>
          <w:lang w:val="cs-CZ"/>
        </w:rPr>
      </w:pPr>
      <w:r w:rsidRPr="00B27A43">
        <w:rPr>
          <w:rFonts w:ascii="Tahoma" w:hAnsi="Tahoma" w:cs="Tahoma"/>
          <w:sz w:val="16"/>
          <w:szCs w:val="16"/>
          <w:lang w:val="cs-CZ"/>
        </w:rPr>
        <w:t>-</w:t>
      </w:r>
      <w:r w:rsidRPr="00B27A43">
        <w:rPr>
          <w:rFonts w:ascii="Tahoma" w:hAnsi="Tahoma" w:cs="Tahoma"/>
          <w:sz w:val="16"/>
          <w:szCs w:val="16"/>
          <w:lang w:val="cs-CZ"/>
        </w:rPr>
        <w:tab/>
        <w:t>žádost o případné vysvětlení/doplnění nabídky a posouzení jejího naplnění;</w:t>
      </w:r>
    </w:p>
    <w:p w14:paraId="3DAEB7E9" w14:textId="018EA3FF" w:rsidR="00F80EB4" w:rsidRPr="00B27A43" w:rsidRDefault="00F80EB4" w:rsidP="008235A2">
      <w:pPr>
        <w:ind w:left="1134" w:hanging="283"/>
        <w:jc w:val="both"/>
        <w:rPr>
          <w:rFonts w:ascii="Tahoma" w:hAnsi="Tahoma" w:cs="Tahoma"/>
          <w:sz w:val="16"/>
          <w:szCs w:val="16"/>
          <w:lang w:val="cs-CZ"/>
        </w:rPr>
      </w:pPr>
      <w:r w:rsidRPr="00B27A43">
        <w:rPr>
          <w:rFonts w:ascii="Tahoma" w:hAnsi="Tahoma" w:cs="Tahoma"/>
          <w:sz w:val="16"/>
          <w:szCs w:val="16"/>
          <w:lang w:val="cs-CZ"/>
        </w:rPr>
        <w:t>-</w:t>
      </w:r>
      <w:r w:rsidRPr="00B27A43">
        <w:rPr>
          <w:rFonts w:ascii="Tahoma" w:hAnsi="Tahoma" w:cs="Tahoma"/>
          <w:sz w:val="16"/>
          <w:szCs w:val="16"/>
          <w:lang w:val="cs-CZ"/>
        </w:rPr>
        <w:tab/>
        <w:t xml:space="preserve">zpráva o hodnocení nabídek na základě závěrů hodnotící komise </w:t>
      </w:r>
      <w:r w:rsidR="008235A2" w:rsidRPr="00B27A43">
        <w:rPr>
          <w:rFonts w:ascii="Tahoma" w:hAnsi="Tahoma" w:cs="Tahoma"/>
          <w:sz w:val="16"/>
          <w:szCs w:val="16"/>
          <w:lang w:val="cs-CZ"/>
        </w:rPr>
        <w:t>Objednatele</w:t>
      </w:r>
      <w:r w:rsidRPr="00B27A43">
        <w:rPr>
          <w:rFonts w:ascii="Tahoma" w:hAnsi="Tahoma" w:cs="Tahoma"/>
          <w:sz w:val="16"/>
          <w:szCs w:val="16"/>
          <w:lang w:val="cs-CZ"/>
        </w:rPr>
        <w:t>;</w:t>
      </w:r>
    </w:p>
    <w:p w14:paraId="72D2300C" w14:textId="77777777" w:rsidR="00F80EB4" w:rsidRPr="00B27A43" w:rsidRDefault="00F80EB4" w:rsidP="008235A2">
      <w:pPr>
        <w:ind w:left="1134" w:hanging="283"/>
        <w:jc w:val="both"/>
        <w:rPr>
          <w:rFonts w:ascii="Tahoma" w:hAnsi="Tahoma" w:cs="Tahoma"/>
          <w:sz w:val="16"/>
          <w:szCs w:val="16"/>
          <w:lang w:val="cs-CZ"/>
        </w:rPr>
      </w:pPr>
      <w:r w:rsidRPr="00B27A43">
        <w:rPr>
          <w:rFonts w:ascii="Tahoma" w:hAnsi="Tahoma" w:cs="Tahoma"/>
          <w:sz w:val="16"/>
          <w:szCs w:val="16"/>
          <w:lang w:val="cs-CZ"/>
        </w:rPr>
        <w:t>-</w:t>
      </w:r>
      <w:r w:rsidRPr="00B27A43">
        <w:rPr>
          <w:rFonts w:ascii="Tahoma" w:hAnsi="Tahoma" w:cs="Tahoma"/>
          <w:sz w:val="16"/>
          <w:szCs w:val="16"/>
          <w:lang w:val="cs-CZ"/>
        </w:rPr>
        <w:tab/>
        <w:t>výsledek posouzení splnění podmínek účasti vybraného dodavatele (písemné vyhotovení);</w:t>
      </w:r>
    </w:p>
    <w:p w14:paraId="048A245D" w14:textId="77777777" w:rsidR="00F80EB4" w:rsidRPr="00B27A43" w:rsidRDefault="00F80EB4" w:rsidP="008235A2">
      <w:pPr>
        <w:ind w:left="1134" w:hanging="283"/>
        <w:jc w:val="both"/>
        <w:rPr>
          <w:rFonts w:ascii="Tahoma" w:hAnsi="Tahoma" w:cs="Tahoma"/>
          <w:sz w:val="16"/>
          <w:szCs w:val="16"/>
          <w:lang w:val="cs-CZ"/>
        </w:rPr>
      </w:pPr>
      <w:r w:rsidRPr="00B27A43">
        <w:rPr>
          <w:rFonts w:ascii="Tahoma" w:hAnsi="Tahoma" w:cs="Tahoma"/>
          <w:sz w:val="16"/>
          <w:szCs w:val="16"/>
          <w:lang w:val="cs-CZ"/>
        </w:rPr>
        <w:t>-</w:t>
      </w:r>
      <w:r w:rsidRPr="00B27A43">
        <w:rPr>
          <w:rFonts w:ascii="Tahoma" w:hAnsi="Tahoma" w:cs="Tahoma"/>
          <w:sz w:val="16"/>
          <w:szCs w:val="16"/>
          <w:lang w:val="cs-CZ"/>
        </w:rPr>
        <w:tab/>
        <w:t>řešení případné mimořádně nízké nabídkové ceny a případná žádost o zdůvodnění včetně právního zpracování jejího posouzení a související komunikace;</w:t>
      </w:r>
    </w:p>
    <w:p w14:paraId="42A1BBC2" w14:textId="11878B54" w:rsidR="00F80EB4" w:rsidRPr="00B27A43" w:rsidRDefault="00F80EB4" w:rsidP="008235A2">
      <w:pPr>
        <w:ind w:left="1134" w:hanging="283"/>
        <w:jc w:val="both"/>
        <w:rPr>
          <w:rFonts w:ascii="Tahoma" w:hAnsi="Tahoma" w:cs="Tahoma"/>
          <w:sz w:val="16"/>
          <w:szCs w:val="16"/>
          <w:lang w:val="cs-CZ"/>
        </w:rPr>
      </w:pPr>
      <w:r w:rsidRPr="00B27A43">
        <w:rPr>
          <w:rFonts w:ascii="Tahoma" w:hAnsi="Tahoma" w:cs="Tahoma"/>
          <w:sz w:val="16"/>
          <w:szCs w:val="16"/>
          <w:lang w:val="cs-CZ"/>
        </w:rPr>
        <w:t>-</w:t>
      </w:r>
      <w:r w:rsidRPr="00B27A43">
        <w:rPr>
          <w:rFonts w:ascii="Tahoma" w:hAnsi="Tahoma" w:cs="Tahoma"/>
          <w:sz w:val="16"/>
          <w:szCs w:val="16"/>
          <w:lang w:val="cs-CZ"/>
        </w:rPr>
        <w:tab/>
        <w:t xml:space="preserve">rozhodnutí a oznámení o výběru </w:t>
      </w:r>
      <w:r w:rsidR="008235A2" w:rsidRPr="00B27A43">
        <w:rPr>
          <w:rFonts w:ascii="Tahoma" w:hAnsi="Tahoma" w:cs="Tahoma"/>
          <w:sz w:val="16"/>
          <w:szCs w:val="16"/>
          <w:lang w:val="cs-CZ"/>
        </w:rPr>
        <w:t>nejvhodnější nabídky a</w:t>
      </w:r>
      <w:r w:rsidRPr="00B27A43">
        <w:rPr>
          <w:rFonts w:ascii="Tahoma" w:hAnsi="Tahoma" w:cs="Tahoma"/>
          <w:sz w:val="16"/>
          <w:szCs w:val="16"/>
          <w:lang w:val="cs-CZ"/>
        </w:rPr>
        <w:t xml:space="preserve"> vypořádání případných námitek proti rozhodnutí zadavatele</w:t>
      </w:r>
      <w:r w:rsidR="008235A2" w:rsidRPr="00B27A43">
        <w:rPr>
          <w:rFonts w:ascii="Tahoma" w:hAnsi="Tahoma" w:cs="Tahoma"/>
          <w:sz w:val="16"/>
          <w:szCs w:val="16"/>
          <w:lang w:val="cs-CZ"/>
        </w:rPr>
        <w:t>, popř. rozhodnutí o zrušení zadávacího řízení</w:t>
      </w:r>
      <w:r w:rsidRPr="00B27A43">
        <w:rPr>
          <w:rFonts w:ascii="Tahoma" w:hAnsi="Tahoma" w:cs="Tahoma"/>
          <w:sz w:val="16"/>
          <w:szCs w:val="16"/>
          <w:lang w:val="cs-CZ"/>
        </w:rPr>
        <w:t>;</w:t>
      </w:r>
    </w:p>
    <w:p w14:paraId="51ACCF40" w14:textId="77777777" w:rsidR="00F80EB4" w:rsidRPr="00B27A43" w:rsidRDefault="00F80EB4" w:rsidP="008235A2">
      <w:pPr>
        <w:ind w:left="1134" w:hanging="283"/>
        <w:jc w:val="both"/>
        <w:rPr>
          <w:rFonts w:ascii="Tahoma" w:hAnsi="Tahoma" w:cs="Tahoma"/>
          <w:sz w:val="16"/>
          <w:szCs w:val="16"/>
          <w:lang w:val="cs-CZ"/>
        </w:rPr>
      </w:pPr>
      <w:r w:rsidRPr="00B27A43">
        <w:rPr>
          <w:rFonts w:ascii="Tahoma" w:hAnsi="Tahoma" w:cs="Tahoma"/>
          <w:sz w:val="16"/>
          <w:szCs w:val="16"/>
          <w:lang w:val="cs-CZ"/>
        </w:rPr>
        <w:t>-</w:t>
      </w:r>
      <w:r w:rsidRPr="00B27A43">
        <w:rPr>
          <w:rFonts w:ascii="Tahoma" w:hAnsi="Tahoma" w:cs="Tahoma"/>
          <w:sz w:val="16"/>
          <w:szCs w:val="16"/>
          <w:lang w:val="cs-CZ"/>
        </w:rPr>
        <w:tab/>
        <w:t>výzva k součinnosti dle § 122 ZZVZ;</w:t>
      </w:r>
    </w:p>
    <w:p w14:paraId="6D97B8EB" w14:textId="1AF45495" w:rsidR="00F80EB4" w:rsidRPr="00B27A43" w:rsidRDefault="00F80EB4" w:rsidP="008235A2">
      <w:pPr>
        <w:ind w:left="1134" w:hanging="283"/>
        <w:jc w:val="both"/>
        <w:rPr>
          <w:rFonts w:ascii="Tahoma" w:hAnsi="Tahoma" w:cs="Tahoma"/>
          <w:sz w:val="16"/>
          <w:szCs w:val="16"/>
          <w:lang w:val="cs-CZ"/>
        </w:rPr>
      </w:pPr>
      <w:r w:rsidRPr="00B27A43">
        <w:rPr>
          <w:rFonts w:ascii="Tahoma" w:hAnsi="Tahoma" w:cs="Tahoma"/>
          <w:sz w:val="16"/>
          <w:szCs w:val="16"/>
          <w:lang w:val="cs-CZ"/>
        </w:rPr>
        <w:t>-</w:t>
      </w:r>
      <w:r w:rsidRPr="00B27A43">
        <w:rPr>
          <w:rFonts w:ascii="Tahoma" w:hAnsi="Tahoma" w:cs="Tahoma"/>
          <w:sz w:val="16"/>
          <w:szCs w:val="16"/>
          <w:lang w:val="cs-CZ"/>
        </w:rPr>
        <w:tab/>
        <w:t>zpracování písemné zprávy</w:t>
      </w:r>
      <w:r w:rsidR="008235A2" w:rsidRPr="00B27A43">
        <w:rPr>
          <w:rFonts w:ascii="Tahoma" w:hAnsi="Tahoma" w:cs="Tahoma"/>
          <w:sz w:val="16"/>
          <w:szCs w:val="16"/>
          <w:lang w:val="cs-CZ"/>
        </w:rPr>
        <w:t xml:space="preserve"> ve smyslu ZZVZ</w:t>
      </w:r>
      <w:r w:rsidRPr="00B27A43">
        <w:rPr>
          <w:rFonts w:ascii="Tahoma" w:hAnsi="Tahoma" w:cs="Tahoma"/>
          <w:sz w:val="16"/>
          <w:szCs w:val="16"/>
          <w:lang w:val="cs-CZ"/>
        </w:rPr>
        <w:t>;</w:t>
      </w:r>
    </w:p>
    <w:p w14:paraId="20564765" w14:textId="03616396" w:rsidR="00F80EB4" w:rsidRPr="00B27A43" w:rsidRDefault="00F80EB4" w:rsidP="008235A2">
      <w:pPr>
        <w:spacing w:after="120"/>
        <w:ind w:left="1135" w:hanging="284"/>
        <w:jc w:val="both"/>
        <w:rPr>
          <w:rFonts w:ascii="Tahoma" w:hAnsi="Tahoma" w:cs="Tahoma"/>
          <w:sz w:val="16"/>
          <w:szCs w:val="16"/>
          <w:lang w:val="cs-CZ"/>
        </w:rPr>
      </w:pPr>
      <w:r w:rsidRPr="00B27A43">
        <w:rPr>
          <w:rFonts w:ascii="Tahoma" w:hAnsi="Tahoma" w:cs="Tahoma"/>
          <w:sz w:val="16"/>
          <w:szCs w:val="16"/>
          <w:lang w:val="cs-CZ"/>
        </w:rPr>
        <w:t>-</w:t>
      </w:r>
      <w:r w:rsidRPr="00B27A43">
        <w:rPr>
          <w:rFonts w:ascii="Tahoma" w:hAnsi="Tahoma" w:cs="Tahoma"/>
          <w:sz w:val="16"/>
          <w:szCs w:val="16"/>
          <w:lang w:val="cs-CZ"/>
        </w:rPr>
        <w:tab/>
        <w:t xml:space="preserve">oznámení o výsledku </w:t>
      </w:r>
      <w:r w:rsidR="008235A2" w:rsidRPr="00B27A43">
        <w:rPr>
          <w:rFonts w:ascii="Tahoma" w:hAnsi="Tahoma" w:cs="Tahoma"/>
          <w:sz w:val="16"/>
          <w:szCs w:val="16"/>
          <w:lang w:val="cs-CZ"/>
        </w:rPr>
        <w:t xml:space="preserve">řízení </w:t>
      </w:r>
      <w:r w:rsidRPr="00B27A43">
        <w:rPr>
          <w:rFonts w:ascii="Tahoma" w:hAnsi="Tahoma" w:cs="Tahoma"/>
          <w:sz w:val="16"/>
          <w:szCs w:val="16"/>
          <w:lang w:val="cs-CZ"/>
        </w:rPr>
        <w:t>ve Věstníku veřejných zakázek a v TED.</w:t>
      </w:r>
    </w:p>
    <w:p w14:paraId="50736D8C" w14:textId="2A60B817" w:rsidR="006316AC" w:rsidRPr="00B27A43" w:rsidRDefault="009B7701" w:rsidP="006316AC">
      <w:pPr>
        <w:spacing w:after="120"/>
        <w:ind w:left="720"/>
        <w:jc w:val="both"/>
        <w:rPr>
          <w:rFonts w:ascii="Tahoma" w:hAnsi="Tahoma" w:cs="Tahoma"/>
          <w:sz w:val="16"/>
          <w:szCs w:val="16"/>
          <w:lang w:val="cs-CZ"/>
        </w:rPr>
      </w:pPr>
      <w:r w:rsidRPr="00B27A43">
        <w:rPr>
          <w:rFonts w:ascii="Tahoma" w:hAnsi="Tahoma" w:cs="Tahoma"/>
          <w:sz w:val="16"/>
          <w:szCs w:val="16"/>
          <w:lang w:val="cs-CZ"/>
        </w:rPr>
        <w:t>Právní s</w:t>
      </w:r>
      <w:r w:rsidR="006316AC" w:rsidRPr="00B27A43">
        <w:rPr>
          <w:rFonts w:ascii="Tahoma" w:hAnsi="Tahoma" w:cs="Tahoma"/>
          <w:sz w:val="16"/>
          <w:szCs w:val="16"/>
          <w:lang w:val="cs-CZ"/>
        </w:rPr>
        <w:t>lužby poskytované dle tohoto článku (2.1) smlouvy nezahrnují překladatelské služby, ani případné zpracování změnových formulářů, pokud by bylo nutné provést změny v zadávacích podmínkách.</w:t>
      </w:r>
    </w:p>
    <w:p w14:paraId="757F1E67" w14:textId="2BAAD472" w:rsidR="00147596" w:rsidRPr="00B27A43" w:rsidRDefault="00147596" w:rsidP="00147596">
      <w:pPr>
        <w:pStyle w:val="smlouvaheading2"/>
        <w:rPr>
          <w:rFonts w:ascii="Tahoma" w:hAnsi="Tahoma" w:cs="Tahoma"/>
          <w:sz w:val="16"/>
          <w:szCs w:val="16"/>
        </w:rPr>
      </w:pPr>
      <w:bookmarkStart w:id="3" w:name="_Ref118619115"/>
      <w:r w:rsidRPr="00B27A43">
        <w:rPr>
          <w:rFonts w:ascii="Tahoma" w:hAnsi="Tahoma" w:cs="Tahoma"/>
          <w:sz w:val="16"/>
          <w:szCs w:val="16"/>
        </w:rPr>
        <w:t xml:space="preserve">Objednatel a Deloitte Legal se mohou operativně dohodnout i na poskytnutí dalších služeb nad rozsah služeb vymezených v článku </w:t>
      </w:r>
      <w:r w:rsidRPr="00B27A43">
        <w:rPr>
          <w:rFonts w:ascii="Tahoma" w:hAnsi="Tahoma" w:cs="Tahoma"/>
          <w:sz w:val="16"/>
          <w:szCs w:val="16"/>
        </w:rPr>
        <w:fldChar w:fldCharType="begin"/>
      </w:r>
      <w:r w:rsidRPr="00B27A43">
        <w:rPr>
          <w:rFonts w:ascii="Tahoma" w:hAnsi="Tahoma" w:cs="Tahoma"/>
          <w:sz w:val="16"/>
          <w:szCs w:val="16"/>
        </w:rPr>
        <w:instrText xml:space="preserve"> REF _Ref118619073 \r \h  \* MERGEFORMAT </w:instrText>
      </w:r>
      <w:r w:rsidRPr="00B27A43">
        <w:rPr>
          <w:rFonts w:ascii="Tahoma" w:hAnsi="Tahoma" w:cs="Tahoma"/>
          <w:sz w:val="16"/>
          <w:szCs w:val="16"/>
        </w:rPr>
      </w:r>
      <w:r w:rsidRPr="00B27A43">
        <w:rPr>
          <w:rFonts w:ascii="Tahoma" w:hAnsi="Tahoma" w:cs="Tahoma"/>
          <w:sz w:val="16"/>
          <w:szCs w:val="16"/>
        </w:rPr>
        <w:fldChar w:fldCharType="separate"/>
      </w:r>
      <w:r w:rsidRPr="00B27A43">
        <w:rPr>
          <w:rFonts w:ascii="Tahoma" w:hAnsi="Tahoma" w:cs="Tahoma"/>
          <w:sz w:val="16"/>
          <w:szCs w:val="16"/>
        </w:rPr>
        <w:t>2.1</w:t>
      </w:r>
      <w:r w:rsidRPr="00B27A43">
        <w:rPr>
          <w:rFonts w:ascii="Tahoma" w:hAnsi="Tahoma" w:cs="Tahoma"/>
          <w:sz w:val="16"/>
          <w:szCs w:val="16"/>
        </w:rPr>
        <w:fldChar w:fldCharType="end"/>
      </w:r>
      <w:r w:rsidRPr="00B27A43">
        <w:rPr>
          <w:rFonts w:ascii="Tahoma" w:hAnsi="Tahoma" w:cs="Tahoma"/>
          <w:sz w:val="16"/>
          <w:szCs w:val="16"/>
        </w:rPr>
        <w:t xml:space="preserve"> této smlouvy dle aktuálních požadavků a potřeb Objednatele, a to na základě jednotlivých dílčích objednávek</w:t>
      </w:r>
      <w:r w:rsidR="00535BB4" w:rsidRPr="00B27A43">
        <w:rPr>
          <w:rFonts w:ascii="Tahoma" w:hAnsi="Tahoma" w:cs="Tahoma"/>
          <w:sz w:val="16"/>
          <w:szCs w:val="16"/>
        </w:rPr>
        <w:t xml:space="preserve"> </w:t>
      </w:r>
      <w:r w:rsidR="00DB52D6" w:rsidRPr="00B27A43">
        <w:rPr>
          <w:rFonts w:ascii="Tahoma" w:hAnsi="Tahoma" w:cs="Tahoma"/>
          <w:sz w:val="16"/>
          <w:szCs w:val="16"/>
        </w:rPr>
        <w:t xml:space="preserve">Objednatele </w:t>
      </w:r>
      <w:r w:rsidR="00535BB4" w:rsidRPr="00B27A43">
        <w:rPr>
          <w:rFonts w:ascii="Tahoma" w:hAnsi="Tahoma" w:cs="Tahoma"/>
          <w:sz w:val="16"/>
          <w:szCs w:val="16"/>
        </w:rPr>
        <w:t xml:space="preserve">zaslaných </w:t>
      </w:r>
      <w:r w:rsidR="00DB52D6" w:rsidRPr="00B27A43">
        <w:rPr>
          <w:rFonts w:ascii="Tahoma" w:hAnsi="Tahoma" w:cs="Tahoma"/>
          <w:sz w:val="16"/>
          <w:szCs w:val="16"/>
        </w:rPr>
        <w:t>na adresu</w:t>
      </w:r>
      <w:r w:rsidR="007A495A" w:rsidRPr="00B27A43">
        <w:rPr>
          <w:rFonts w:ascii="Tahoma" w:hAnsi="Tahoma" w:cs="Tahoma"/>
          <w:sz w:val="16"/>
          <w:szCs w:val="16"/>
        </w:rPr>
        <w:t xml:space="preserve"> sídla</w:t>
      </w:r>
      <w:r w:rsidR="00DB52D6" w:rsidRPr="00B27A43">
        <w:rPr>
          <w:rFonts w:ascii="Tahoma" w:hAnsi="Tahoma" w:cs="Tahoma"/>
          <w:sz w:val="16"/>
          <w:szCs w:val="16"/>
        </w:rPr>
        <w:t xml:space="preserve"> </w:t>
      </w:r>
      <w:r w:rsidR="00535BB4" w:rsidRPr="00B27A43">
        <w:rPr>
          <w:rFonts w:ascii="Tahoma" w:hAnsi="Tahoma" w:cs="Tahoma"/>
          <w:sz w:val="16"/>
          <w:szCs w:val="16"/>
        </w:rPr>
        <w:t xml:space="preserve">Deloitte Legal </w:t>
      </w:r>
      <w:r w:rsidR="00DB52D6" w:rsidRPr="00B27A43">
        <w:rPr>
          <w:rFonts w:ascii="Tahoma" w:hAnsi="Tahoma" w:cs="Tahoma"/>
          <w:sz w:val="16"/>
          <w:szCs w:val="16"/>
        </w:rPr>
        <w:t>uvedenou v záhlaví této smlouvy</w:t>
      </w:r>
      <w:r w:rsidR="00535BB4" w:rsidRPr="00B27A43">
        <w:rPr>
          <w:rFonts w:ascii="Tahoma" w:hAnsi="Tahoma" w:cs="Tahoma"/>
          <w:sz w:val="16"/>
          <w:szCs w:val="16"/>
        </w:rPr>
        <w:t xml:space="preserve">. Na základě </w:t>
      </w:r>
      <w:r w:rsidR="00DB52D6" w:rsidRPr="00B27A43">
        <w:rPr>
          <w:rFonts w:ascii="Tahoma" w:hAnsi="Tahoma" w:cs="Tahoma"/>
          <w:sz w:val="16"/>
          <w:szCs w:val="16"/>
        </w:rPr>
        <w:t xml:space="preserve">takové </w:t>
      </w:r>
      <w:r w:rsidR="00535BB4" w:rsidRPr="00B27A43">
        <w:rPr>
          <w:rFonts w:ascii="Tahoma" w:hAnsi="Tahoma" w:cs="Tahoma"/>
          <w:sz w:val="16"/>
          <w:szCs w:val="16"/>
        </w:rPr>
        <w:t>objednávky provede Deloitte Lega</w:t>
      </w:r>
      <w:r w:rsidR="00DB52D6" w:rsidRPr="00B27A43">
        <w:rPr>
          <w:rFonts w:ascii="Tahoma" w:hAnsi="Tahoma" w:cs="Tahoma"/>
          <w:sz w:val="16"/>
          <w:szCs w:val="16"/>
        </w:rPr>
        <w:t>l</w:t>
      </w:r>
      <w:r w:rsidR="00535BB4" w:rsidRPr="00B27A43">
        <w:rPr>
          <w:rFonts w:ascii="Tahoma" w:hAnsi="Tahoma" w:cs="Tahoma"/>
          <w:sz w:val="16"/>
          <w:szCs w:val="16"/>
        </w:rPr>
        <w:t xml:space="preserve"> analýzu a návrh předpokládaného rozsahu </w:t>
      </w:r>
      <w:r w:rsidR="00A0391B" w:rsidRPr="00B27A43">
        <w:rPr>
          <w:rFonts w:ascii="Tahoma" w:hAnsi="Tahoma" w:cs="Tahoma"/>
          <w:sz w:val="16"/>
          <w:szCs w:val="16"/>
        </w:rPr>
        <w:t>dalších služeb</w:t>
      </w:r>
      <w:r w:rsidR="00535BB4" w:rsidRPr="00B27A43">
        <w:rPr>
          <w:rFonts w:ascii="Tahoma" w:hAnsi="Tahoma" w:cs="Tahoma"/>
          <w:sz w:val="16"/>
          <w:szCs w:val="16"/>
        </w:rPr>
        <w:t xml:space="preserve">, který </w:t>
      </w:r>
      <w:r w:rsidR="007002F2" w:rsidRPr="00B27A43">
        <w:rPr>
          <w:rFonts w:ascii="Tahoma" w:hAnsi="Tahoma" w:cs="Tahoma"/>
          <w:sz w:val="16"/>
          <w:szCs w:val="16"/>
        </w:rPr>
        <w:t>následně</w:t>
      </w:r>
      <w:r w:rsidR="00535BB4" w:rsidRPr="00B27A43">
        <w:rPr>
          <w:rFonts w:ascii="Tahoma" w:hAnsi="Tahoma" w:cs="Tahoma"/>
          <w:sz w:val="16"/>
          <w:szCs w:val="16"/>
        </w:rPr>
        <w:t xml:space="preserve"> </w:t>
      </w:r>
      <w:r w:rsidR="007002F2" w:rsidRPr="00B27A43">
        <w:rPr>
          <w:rFonts w:ascii="Tahoma" w:hAnsi="Tahoma" w:cs="Tahoma"/>
          <w:sz w:val="16"/>
          <w:szCs w:val="16"/>
        </w:rPr>
        <w:t xml:space="preserve">předloží k </w:t>
      </w:r>
      <w:r w:rsidR="00535BB4" w:rsidRPr="00B27A43">
        <w:rPr>
          <w:rFonts w:ascii="Tahoma" w:hAnsi="Tahoma" w:cs="Tahoma"/>
          <w:sz w:val="16"/>
          <w:szCs w:val="16"/>
        </w:rPr>
        <w:t>odsouhlasen</w:t>
      </w:r>
      <w:r w:rsidR="007002F2" w:rsidRPr="00B27A43">
        <w:rPr>
          <w:rFonts w:ascii="Tahoma" w:hAnsi="Tahoma" w:cs="Tahoma"/>
          <w:sz w:val="16"/>
          <w:szCs w:val="16"/>
        </w:rPr>
        <w:t>í</w:t>
      </w:r>
      <w:r w:rsidR="00535BB4" w:rsidRPr="00B27A43">
        <w:rPr>
          <w:rFonts w:ascii="Tahoma" w:hAnsi="Tahoma" w:cs="Tahoma"/>
          <w:sz w:val="16"/>
          <w:szCs w:val="16"/>
        </w:rPr>
        <w:t xml:space="preserve"> Objednatel</w:t>
      </w:r>
      <w:r w:rsidR="007002F2" w:rsidRPr="00B27A43">
        <w:rPr>
          <w:rFonts w:ascii="Tahoma" w:hAnsi="Tahoma" w:cs="Tahoma"/>
          <w:sz w:val="16"/>
          <w:szCs w:val="16"/>
        </w:rPr>
        <w:t>i</w:t>
      </w:r>
      <w:r w:rsidR="00535BB4" w:rsidRPr="00B27A43">
        <w:rPr>
          <w:rFonts w:ascii="Tahoma" w:hAnsi="Tahoma" w:cs="Tahoma"/>
          <w:sz w:val="16"/>
          <w:szCs w:val="16"/>
        </w:rPr>
        <w:t xml:space="preserve">. </w:t>
      </w:r>
      <w:bookmarkEnd w:id="3"/>
      <w:r w:rsidR="00821072" w:rsidRPr="00B27A43">
        <w:rPr>
          <w:rFonts w:ascii="Tahoma" w:hAnsi="Tahoma" w:cs="Tahoma"/>
          <w:sz w:val="16"/>
          <w:szCs w:val="16"/>
        </w:rPr>
        <w:t xml:space="preserve"> Maximální rozsah takto poskytnutých </w:t>
      </w:r>
      <w:r w:rsidR="00F95B7A" w:rsidRPr="00B27A43">
        <w:rPr>
          <w:rFonts w:ascii="Tahoma" w:hAnsi="Tahoma" w:cs="Tahoma"/>
          <w:sz w:val="16"/>
          <w:szCs w:val="16"/>
        </w:rPr>
        <w:t xml:space="preserve">dalších </w:t>
      </w:r>
      <w:r w:rsidR="00821072" w:rsidRPr="00B27A43">
        <w:rPr>
          <w:rFonts w:ascii="Tahoma" w:hAnsi="Tahoma" w:cs="Tahoma"/>
          <w:sz w:val="16"/>
          <w:szCs w:val="16"/>
        </w:rPr>
        <w:t xml:space="preserve">služeb je </w:t>
      </w:r>
      <w:r w:rsidR="00F95B7A" w:rsidRPr="00B27A43">
        <w:rPr>
          <w:rFonts w:ascii="Tahoma" w:hAnsi="Tahoma" w:cs="Tahoma"/>
          <w:sz w:val="16"/>
          <w:szCs w:val="16"/>
        </w:rPr>
        <w:t>100 hodin</w:t>
      </w:r>
      <w:r w:rsidR="00821072" w:rsidRPr="00B27A43">
        <w:rPr>
          <w:rFonts w:ascii="Tahoma" w:hAnsi="Tahoma" w:cs="Tahoma"/>
          <w:sz w:val="16"/>
          <w:szCs w:val="16"/>
        </w:rPr>
        <w:t>.</w:t>
      </w:r>
    </w:p>
    <w:p w14:paraId="2949421D" w14:textId="77777777" w:rsidR="00147596" w:rsidRPr="00B27A43" w:rsidRDefault="00147596" w:rsidP="00F80EB4">
      <w:pPr>
        <w:pStyle w:val="smlouvaheading1"/>
        <w:ind w:left="709" w:hanging="709"/>
        <w:rPr>
          <w:rFonts w:ascii="Tahoma" w:hAnsi="Tahoma" w:cs="Tahoma"/>
          <w:sz w:val="16"/>
          <w:szCs w:val="16"/>
        </w:rPr>
      </w:pPr>
      <w:r w:rsidRPr="00B27A43">
        <w:rPr>
          <w:rFonts w:ascii="Tahoma" w:hAnsi="Tahoma" w:cs="Tahoma"/>
          <w:sz w:val="16"/>
          <w:szCs w:val="16"/>
        </w:rPr>
        <w:t>Smluvní odměna</w:t>
      </w:r>
    </w:p>
    <w:p w14:paraId="7A7A19DD" w14:textId="0569A0A6"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 xml:space="preserve">Odměna za právní služby uvedené v článku 2.1 této smlouvy bude činit </w:t>
      </w:r>
      <w:r w:rsidR="006316AC" w:rsidRPr="00B27A43">
        <w:rPr>
          <w:rFonts w:ascii="Tahoma" w:hAnsi="Tahoma" w:cs="Tahoma"/>
          <w:sz w:val="16"/>
          <w:szCs w:val="16"/>
        </w:rPr>
        <w:t>160 000</w:t>
      </w:r>
      <w:r w:rsidRPr="00B27A43">
        <w:rPr>
          <w:rFonts w:ascii="Tahoma" w:hAnsi="Tahoma" w:cs="Tahoma"/>
          <w:sz w:val="16"/>
          <w:szCs w:val="16"/>
        </w:rPr>
        <w:t xml:space="preserve"> Kč</w:t>
      </w:r>
      <w:r w:rsidR="006316AC" w:rsidRPr="00B27A43">
        <w:rPr>
          <w:rFonts w:ascii="Tahoma" w:hAnsi="Tahoma" w:cs="Tahoma"/>
          <w:sz w:val="16"/>
          <w:szCs w:val="16"/>
        </w:rPr>
        <w:t xml:space="preserve"> bez DPH.</w:t>
      </w:r>
    </w:p>
    <w:p w14:paraId="393F307E" w14:textId="0B8C35A9"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Odměna za právní služby poskytnuté Objednateli dle článku 2.2 této smlouvy přesahující rozsah služeb uvedený výše</w:t>
      </w:r>
      <w:r w:rsidRPr="00B27A43">
        <w:rPr>
          <w:rFonts w:ascii="Tahoma" w:hAnsi="Tahoma" w:cs="Tahoma"/>
          <w:i/>
          <w:sz w:val="16"/>
          <w:szCs w:val="16"/>
        </w:rPr>
        <w:t xml:space="preserve"> </w:t>
      </w:r>
      <w:r w:rsidRPr="00B27A43">
        <w:rPr>
          <w:rFonts w:ascii="Tahoma" w:hAnsi="Tahoma" w:cs="Tahoma"/>
          <w:sz w:val="16"/>
          <w:szCs w:val="16"/>
        </w:rPr>
        <w:t>bude vypočtena na základě pevné hodinové sazby</w:t>
      </w:r>
      <w:r w:rsidR="006316AC" w:rsidRPr="00B27A43">
        <w:rPr>
          <w:rFonts w:ascii="Tahoma" w:hAnsi="Tahoma" w:cs="Tahoma"/>
          <w:sz w:val="16"/>
          <w:szCs w:val="16"/>
        </w:rPr>
        <w:t xml:space="preserve"> ve výši</w:t>
      </w:r>
      <w:r w:rsidRPr="00B27A43">
        <w:rPr>
          <w:rFonts w:ascii="Tahoma" w:hAnsi="Tahoma" w:cs="Tahoma"/>
          <w:sz w:val="16"/>
          <w:szCs w:val="16"/>
        </w:rPr>
        <w:t xml:space="preserve"> </w:t>
      </w:r>
      <w:r w:rsidR="006316AC" w:rsidRPr="00B27A43">
        <w:rPr>
          <w:rFonts w:ascii="Tahoma" w:hAnsi="Tahoma" w:cs="Tahoma"/>
          <w:sz w:val="16"/>
          <w:szCs w:val="16"/>
        </w:rPr>
        <w:t>1 250</w:t>
      </w:r>
      <w:r w:rsidRPr="00B27A43">
        <w:rPr>
          <w:rFonts w:ascii="Tahoma" w:hAnsi="Tahoma" w:cs="Tahoma"/>
          <w:sz w:val="16"/>
          <w:szCs w:val="16"/>
        </w:rPr>
        <w:t xml:space="preserve"> Kč</w:t>
      </w:r>
      <w:r w:rsidR="006316AC" w:rsidRPr="00B27A43">
        <w:rPr>
          <w:rFonts w:ascii="Tahoma" w:hAnsi="Tahoma" w:cs="Tahoma"/>
          <w:sz w:val="16"/>
          <w:szCs w:val="16"/>
        </w:rPr>
        <w:t xml:space="preserve"> bez DPH</w:t>
      </w:r>
      <w:r w:rsidRPr="00B27A43">
        <w:rPr>
          <w:rFonts w:ascii="Tahoma" w:hAnsi="Tahoma" w:cs="Tahoma"/>
          <w:sz w:val="16"/>
          <w:szCs w:val="16"/>
        </w:rPr>
        <w:t xml:space="preserve"> za hodinu a času, který vynaloží Deloitte Legal při řešení dané záležitosti, včetně příprav, zpracování zpráv a případných řešení právních otázek souvisejících s danou záležitostí (pokud budou v daném případě nezbytná).</w:t>
      </w:r>
    </w:p>
    <w:p w14:paraId="42B65FBC" w14:textId="77777777"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Pokud bude možno určit předem rozsah dalších právních služeb neobsažených ve výše uvedeném rozsahu, je možno pro takovéto další služby dohodnout též pevně stanovenou smluvní odměnu místo odměny vypočtené dle hodinových sazeb.</w:t>
      </w:r>
    </w:p>
    <w:p w14:paraId="736AD554" w14:textId="5C191E8B"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 xml:space="preserve">Faktury bude Deloitte Legal vystavovat </w:t>
      </w:r>
      <w:r w:rsidR="00626661" w:rsidRPr="00B27A43">
        <w:rPr>
          <w:rFonts w:ascii="Tahoma" w:hAnsi="Tahoma" w:cs="Tahoma"/>
          <w:sz w:val="16"/>
          <w:szCs w:val="16"/>
        </w:rPr>
        <w:t xml:space="preserve">tak, že </w:t>
      </w:r>
      <w:r w:rsidR="00DA3812" w:rsidRPr="00B27A43">
        <w:rPr>
          <w:rFonts w:ascii="Tahoma" w:hAnsi="Tahoma" w:cs="Tahoma"/>
          <w:sz w:val="16"/>
          <w:szCs w:val="16"/>
        </w:rPr>
        <w:t>po poskytnutí služeb uvedených v článku 2.1 této smlouvy</w:t>
      </w:r>
      <w:r w:rsidR="00626661" w:rsidRPr="00B27A43">
        <w:rPr>
          <w:rFonts w:ascii="Tahoma" w:hAnsi="Tahoma" w:cs="Tahoma"/>
          <w:sz w:val="16"/>
          <w:szCs w:val="16"/>
        </w:rPr>
        <w:t xml:space="preserve"> vystaví první fakturu,</w:t>
      </w:r>
      <w:r w:rsidR="00DA3812" w:rsidRPr="00B27A43">
        <w:rPr>
          <w:rFonts w:ascii="Tahoma" w:hAnsi="Tahoma" w:cs="Tahoma"/>
          <w:sz w:val="16"/>
          <w:szCs w:val="16"/>
        </w:rPr>
        <w:t xml:space="preserve"> a následně vždy po poskytnutí dalších služeb uvedených v článku 2.2 této smlouvy </w:t>
      </w:r>
      <w:r w:rsidR="000E253D" w:rsidRPr="00B27A43">
        <w:rPr>
          <w:rFonts w:ascii="Tahoma" w:hAnsi="Tahoma" w:cs="Tahoma"/>
          <w:sz w:val="16"/>
          <w:szCs w:val="16"/>
        </w:rPr>
        <w:t xml:space="preserve">bude </w:t>
      </w:r>
      <w:r w:rsidR="00DA3812" w:rsidRPr="00B27A43">
        <w:rPr>
          <w:rFonts w:ascii="Tahoma" w:hAnsi="Tahoma" w:cs="Tahoma"/>
          <w:sz w:val="16"/>
          <w:szCs w:val="16"/>
        </w:rPr>
        <w:t>na základě</w:t>
      </w:r>
      <w:r w:rsidR="000E253D" w:rsidRPr="00B27A43">
        <w:rPr>
          <w:rFonts w:ascii="Tahoma" w:hAnsi="Tahoma" w:cs="Tahoma"/>
          <w:sz w:val="16"/>
          <w:szCs w:val="16"/>
        </w:rPr>
        <w:t xml:space="preserve"> Objednatelem</w:t>
      </w:r>
      <w:r w:rsidR="00DA3812" w:rsidRPr="00B27A43">
        <w:rPr>
          <w:rFonts w:ascii="Tahoma" w:hAnsi="Tahoma" w:cs="Tahoma"/>
          <w:sz w:val="16"/>
          <w:szCs w:val="16"/>
        </w:rPr>
        <w:t xml:space="preserve"> odsouhlasen</w:t>
      </w:r>
      <w:r w:rsidR="00401EE8" w:rsidRPr="00B27A43">
        <w:rPr>
          <w:rFonts w:ascii="Tahoma" w:hAnsi="Tahoma" w:cs="Tahoma"/>
          <w:sz w:val="16"/>
          <w:szCs w:val="16"/>
        </w:rPr>
        <w:t>ých</w:t>
      </w:r>
      <w:r w:rsidR="00DA3812" w:rsidRPr="00B27A43">
        <w:rPr>
          <w:rFonts w:ascii="Tahoma" w:hAnsi="Tahoma" w:cs="Tahoma"/>
          <w:sz w:val="16"/>
          <w:szCs w:val="16"/>
        </w:rPr>
        <w:t xml:space="preserve"> výkaz</w:t>
      </w:r>
      <w:r w:rsidR="00401EE8" w:rsidRPr="00B27A43">
        <w:rPr>
          <w:rFonts w:ascii="Tahoma" w:hAnsi="Tahoma" w:cs="Tahoma"/>
          <w:sz w:val="16"/>
          <w:szCs w:val="16"/>
        </w:rPr>
        <w:t>ů</w:t>
      </w:r>
      <w:r w:rsidR="00DA3812" w:rsidRPr="00B27A43">
        <w:rPr>
          <w:rFonts w:ascii="Tahoma" w:hAnsi="Tahoma" w:cs="Tahoma"/>
          <w:sz w:val="16"/>
          <w:szCs w:val="16"/>
        </w:rPr>
        <w:t xml:space="preserve"> prací</w:t>
      </w:r>
      <w:r w:rsidR="00401EE8" w:rsidRPr="00B27A43">
        <w:rPr>
          <w:rFonts w:ascii="Tahoma" w:hAnsi="Tahoma" w:cs="Tahoma"/>
          <w:sz w:val="16"/>
          <w:szCs w:val="16"/>
        </w:rPr>
        <w:t xml:space="preserve"> vystavovat další faktury</w:t>
      </w:r>
      <w:r w:rsidRPr="00B27A43">
        <w:rPr>
          <w:rFonts w:ascii="Tahoma" w:hAnsi="Tahoma" w:cs="Tahoma"/>
          <w:sz w:val="16"/>
          <w:szCs w:val="16"/>
        </w:rPr>
        <w:t>. Ke smluvní odměně bude připočtena příslušná daň z přidané hodnoty (v případě, že tak stanoví zákon č. 235/2004 Sb., o dani z přidané hodnoty, v</w:t>
      </w:r>
      <w:r w:rsidR="00783FD8" w:rsidRPr="00B27A43">
        <w:rPr>
          <w:rFonts w:ascii="Tahoma" w:hAnsi="Tahoma" w:cs="Tahoma"/>
          <w:sz w:val="16"/>
          <w:szCs w:val="16"/>
        </w:rPr>
        <w:t>e</w:t>
      </w:r>
      <w:r w:rsidRPr="00B27A43">
        <w:rPr>
          <w:rFonts w:ascii="Tahoma" w:hAnsi="Tahoma" w:cs="Tahoma"/>
          <w:sz w:val="16"/>
          <w:szCs w:val="16"/>
        </w:rPr>
        <w:t xml:space="preserve"> znění</w:t>
      </w:r>
      <w:r w:rsidR="00783FD8" w:rsidRPr="00B27A43">
        <w:rPr>
          <w:rFonts w:ascii="Tahoma" w:hAnsi="Tahoma" w:cs="Tahoma"/>
          <w:sz w:val="16"/>
          <w:szCs w:val="16"/>
        </w:rPr>
        <w:t xml:space="preserve"> pozdějších předpisů</w:t>
      </w:r>
      <w:r w:rsidRPr="00B27A43">
        <w:rPr>
          <w:rFonts w:ascii="Tahoma" w:hAnsi="Tahoma" w:cs="Tahoma"/>
          <w:sz w:val="16"/>
          <w:szCs w:val="16"/>
        </w:rPr>
        <w:t xml:space="preserve">). Z hlediska uplatňování DPH bude Deloitte Legal považovat poskytování služeb za soustavnou činnost, přičemž činnosti specifikované v jednotlivých vystavených fakturách budou představovat dílčí plnění poskytnutých služeb. Každé dílčí plnění bude považováno za uskutečněné dnem vystavení příslušné faktury. Pro usnadnění platby dané faktury může Deloitte Legal Objednateli zaslat elektronickou kopii faktury navíc k jejímu doručení poštou. Faktury Deloitte Legal budou splatné do </w:t>
      </w:r>
      <w:r w:rsidR="00A83A81" w:rsidRPr="00B27A43">
        <w:rPr>
          <w:rFonts w:ascii="Tahoma" w:hAnsi="Tahoma" w:cs="Tahoma"/>
          <w:sz w:val="16"/>
          <w:szCs w:val="16"/>
        </w:rPr>
        <w:t>šedesáti</w:t>
      </w:r>
      <w:r w:rsidRPr="00B27A43">
        <w:rPr>
          <w:rFonts w:ascii="Tahoma" w:hAnsi="Tahoma" w:cs="Tahoma"/>
          <w:sz w:val="16"/>
          <w:szCs w:val="16"/>
        </w:rPr>
        <w:t xml:space="preserve"> (</w:t>
      </w:r>
      <w:r w:rsidR="00347056" w:rsidRPr="00B27A43">
        <w:rPr>
          <w:rFonts w:ascii="Tahoma" w:hAnsi="Tahoma" w:cs="Tahoma"/>
          <w:sz w:val="16"/>
          <w:szCs w:val="16"/>
        </w:rPr>
        <w:t>6</w:t>
      </w:r>
      <w:r w:rsidRPr="00B27A43">
        <w:rPr>
          <w:rFonts w:ascii="Tahoma" w:hAnsi="Tahoma" w:cs="Tahoma"/>
          <w:sz w:val="16"/>
          <w:szCs w:val="16"/>
        </w:rPr>
        <w:t xml:space="preserve">0) dnů od jejich vystavení. K fakturovaným částkám, které nebudou řádně a včas uhrazeny, si Deloitte Legal vyhrazuje právo účtovat úrok z prodlení v sazbě </w:t>
      </w:r>
      <w:r w:rsidR="00347056" w:rsidRPr="00B27A43">
        <w:rPr>
          <w:rFonts w:ascii="Tahoma" w:hAnsi="Tahoma" w:cs="Tahoma"/>
          <w:sz w:val="16"/>
          <w:szCs w:val="16"/>
        </w:rPr>
        <w:t>0,01</w:t>
      </w:r>
      <w:r w:rsidRPr="00B27A43">
        <w:rPr>
          <w:rFonts w:ascii="Tahoma" w:hAnsi="Tahoma" w:cs="Tahoma"/>
          <w:sz w:val="16"/>
          <w:szCs w:val="16"/>
        </w:rPr>
        <w:t>%</w:t>
      </w:r>
      <w:r w:rsidR="00347056" w:rsidRPr="00B27A43">
        <w:rPr>
          <w:rFonts w:ascii="Tahoma" w:hAnsi="Tahoma" w:cs="Tahoma"/>
          <w:sz w:val="16"/>
          <w:szCs w:val="16"/>
        </w:rPr>
        <w:t xml:space="preserve"> z částky, s jejíž platbou je </w:t>
      </w:r>
      <w:r w:rsidR="00A83A81" w:rsidRPr="00B27A43">
        <w:rPr>
          <w:rFonts w:ascii="Tahoma" w:hAnsi="Tahoma" w:cs="Tahoma"/>
          <w:sz w:val="16"/>
          <w:szCs w:val="16"/>
        </w:rPr>
        <w:t>O</w:t>
      </w:r>
      <w:r w:rsidR="00347056" w:rsidRPr="00B27A43">
        <w:rPr>
          <w:rFonts w:ascii="Tahoma" w:hAnsi="Tahoma" w:cs="Tahoma"/>
          <w:sz w:val="16"/>
          <w:szCs w:val="16"/>
        </w:rPr>
        <w:t>bjednatel v prodlení, za každý den takového prodlení</w:t>
      </w:r>
      <w:r w:rsidRPr="00B27A43">
        <w:rPr>
          <w:rFonts w:ascii="Tahoma" w:hAnsi="Tahoma" w:cs="Tahoma"/>
          <w:sz w:val="16"/>
          <w:szCs w:val="16"/>
        </w:rPr>
        <w:t>.</w:t>
      </w:r>
      <w:r w:rsidR="00347056" w:rsidRPr="00B27A43">
        <w:rPr>
          <w:rFonts w:ascii="Tahoma" w:hAnsi="Tahoma" w:cs="Tahoma"/>
          <w:sz w:val="16"/>
          <w:szCs w:val="16"/>
        </w:rPr>
        <w:t xml:space="preserve"> Smluvní </w:t>
      </w:r>
      <w:r w:rsidR="00347056" w:rsidRPr="00B27A43">
        <w:rPr>
          <w:rFonts w:ascii="Tahoma" w:hAnsi="Tahoma" w:cs="Tahoma"/>
          <w:sz w:val="16"/>
          <w:szCs w:val="16"/>
        </w:rPr>
        <w:lastRenderedPageBreak/>
        <w:t xml:space="preserve">strany se dohodly, že </w:t>
      </w:r>
      <w:r w:rsidR="00A83A81" w:rsidRPr="00B27A43">
        <w:rPr>
          <w:rFonts w:ascii="Tahoma" w:hAnsi="Tahoma" w:cs="Tahoma"/>
          <w:sz w:val="16"/>
          <w:szCs w:val="16"/>
        </w:rPr>
        <w:t>Deloitte Legal</w:t>
      </w:r>
      <w:r w:rsidR="00347056" w:rsidRPr="00B27A43">
        <w:rPr>
          <w:rFonts w:ascii="Tahoma" w:hAnsi="Tahoma" w:cs="Tahoma"/>
          <w:sz w:val="16"/>
          <w:szCs w:val="16"/>
        </w:rPr>
        <w:t xml:space="preserve"> je oprávněn požadovat zaplacení úroku z prodlení až po uplynutí 30 dnů od sjednané lhůty splatnosti</w:t>
      </w:r>
      <w:r w:rsidR="00A83A81" w:rsidRPr="00B27A43">
        <w:rPr>
          <w:rFonts w:ascii="Tahoma" w:hAnsi="Tahoma" w:cs="Tahoma"/>
          <w:sz w:val="16"/>
          <w:szCs w:val="16"/>
        </w:rPr>
        <w:t xml:space="preserve"> faktury dle tohoto článku</w:t>
      </w:r>
      <w:r w:rsidR="00347056" w:rsidRPr="00B27A43">
        <w:rPr>
          <w:rFonts w:ascii="Tahoma" w:hAnsi="Tahoma" w:cs="Tahoma"/>
          <w:sz w:val="16"/>
          <w:szCs w:val="16"/>
        </w:rPr>
        <w:t>.</w:t>
      </w:r>
    </w:p>
    <w:p w14:paraId="6486E55C" w14:textId="77777777"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Jako klientovi, jehož pokyny se Deloitte Legal bude řídit, bude Deloitte Legal Objednateli vystavovat faktury i v případě, pokud by měly být hrazeny třetí stranou. Jestliže bude Objednatel požadovat, aby Deloitte Legal vystavila fakturu třetí straně, učiní tak v případě uzavření písemné smlouvy mezi Deloitte Legal a takovouto třetí stranou, přičemž Objednatel</w:t>
      </w:r>
      <w:r w:rsidRPr="00B27A43">
        <w:rPr>
          <w:rFonts w:ascii="Tahoma" w:hAnsi="Tahoma" w:cs="Tahoma"/>
          <w:i/>
          <w:sz w:val="16"/>
          <w:szCs w:val="16"/>
        </w:rPr>
        <w:t xml:space="preserve"> </w:t>
      </w:r>
      <w:r w:rsidRPr="00B27A43">
        <w:rPr>
          <w:rFonts w:ascii="Tahoma" w:hAnsi="Tahoma" w:cs="Tahoma"/>
          <w:sz w:val="16"/>
          <w:szCs w:val="16"/>
        </w:rPr>
        <w:t>zůstane i nadále odpovědný za úhradu faktur Deloitte Legal.</w:t>
      </w:r>
    </w:p>
    <w:p w14:paraId="2619DF5A" w14:textId="77777777" w:rsidR="00147596" w:rsidRPr="00B27A43" w:rsidRDefault="00147596" w:rsidP="00F80EB4">
      <w:pPr>
        <w:pStyle w:val="smlouvaheading1"/>
        <w:ind w:left="709" w:hanging="709"/>
        <w:rPr>
          <w:rFonts w:ascii="Tahoma" w:hAnsi="Tahoma" w:cs="Tahoma"/>
          <w:sz w:val="16"/>
          <w:szCs w:val="16"/>
        </w:rPr>
      </w:pPr>
      <w:r w:rsidRPr="00B27A43">
        <w:rPr>
          <w:rFonts w:ascii="Tahoma" w:hAnsi="Tahoma" w:cs="Tahoma"/>
          <w:sz w:val="16"/>
          <w:szCs w:val="16"/>
        </w:rPr>
        <w:t>Poskytování informací</w:t>
      </w:r>
    </w:p>
    <w:p w14:paraId="499A4CDF" w14:textId="58D1C0F1"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 xml:space="preserve">Pro poskytování právních služeb je velmi důležitá vzájemná fungující komunikace mezi oběma Smluvními stranami. </w:t>
      </w:r>
      <w:r w:rsidR="00157D2D">
        <w:rPr>
          <w:rFonts w:ascii="Tahoma" w:hAnsi="Tahoma" w:cs="Tahoma"/>
          <w:sz w:val="16"/>
          <w:szCs w:val="16"/>
          <w:lang w:eastAsia="cs-CZ"/>
        </w:rPr>
        <w:t>xxxxxxxxxxxxxx</w:t>
      </w:r>
      <w:r w:rsidRPr="00B27A43">
        <w:rPr>
          <w:rFonts w:ascii="Tahoma" w:hAnsi="Tahoma" w:cs="Tahoma"/>
          <w:i/>
          <w:sz w:val="16"/>
          <w:szCs w:val="16"/>
          <w:lang w:eastAsia="cs-CZ"/>
        </w:rPr>
        <w:t xml:space="preserve"> </w:t>
      </w:r>
      <w:r w:rsidRPr="00B27A43">
        <w:rPr>
          <w:rFonts w:ascii="Tahoma" w:hAnsi="Tahoma" w:cs="Tahoma"/>
          <w:sz w:val="16"/>
          <w:szCs w:val="16"/>
        </w:rPr>
        <w:t xml:space="preserve">bude považován za hlavní kontaktní osobu při poskytování služeb Deloitte Legal Objednateli. Pokud nebude dohodnuto jinak, </w:t>
      </w:r>
      <w:r w:rsidR="00157D2D">
        <w:rPr>
          <w:rFonts w:ascii="Tahoma" w:hAnsi="Tahoma" w:cs="Tahoma"/>
          <w:sz w:val="16"/>
          <w:szCs w:val="16"/>
          <w:lang w:eastAsia="cs-CZ"/>
        </w:rPr>
        <w:t>xxxxxxxxxxxxxx</w:t>
      </w:r>
      <w:r w:rsidR="00157D2D" w:rsidRPr="00B27A43">
        <w:rPr>
          <w:rFonts w:ascii="Tahoma" w:hAnsi="Tahoma" w:cs="Tahoma"/>
          <w:i/>
          <w:sz w:val="16"/>
          <w:szCs w:val="16"/>
          <w:lang w:eastAsia="cs-CZ"/>
        </w:rPr>
        <w:t xml:space="preserve"> </w:t>
      </w:r>
      <w:r w:rsidR="009B7701" w:rsidRPr="00B27A43">
        <w:rPr>
          <w:rFonts w:ascii="Tahoma" w:hAnsi="Tahoma" w:cs="Tahoma"/>
          <w:sz w:val="16"/>
          <w:szCs w:val="16"/>
        </w:rPr>
        <w:t>bude hlavní kontaktní osobou</w:t>
      </w:r>
      <w:r w:rsidRPr="00B27A43">
        <w:rPr>
          <w:rFonts w:ascii="Tahoma" w:hAnsi="Tahoma" w:cs="Tahoma"/>
          <w:sz w:val="16"/>
          <w:szCs w:val="16"/>
        </w:rPr>
        <w:t xml:space="preserve"> ze strany Objednatele.</w:t>
      </w:r>
    </w:p>
    <w:p w14:paraId="3F83E44C" w14:textId="37FC7BA8"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Jakýkoliv požadavek změny rozsahu poskytovaných služeb musí být učiněn</w:t>
      </w:r>
      <w:r w:rsidR="00535BB4" w:rsidRPr="00B27A43">
        <w:rPr>
          <w:rFonts w:ascii="Tahoma" w:hAnsi="Tahoma" w:cs="Tahoma"/>
          <w:sz w:val="16"/>
          <w:szCs w:val="16"/>
        </w:rPr>
        <w:t xml:space="preserve"> na základě objednávky způsobem definovaným v čl</w:t>
      </w:r>
      <w:r w:rsidR="00FD0685" w:rsidRPr="00B27A43">
        <w:rPr>
          <w:rFonts w:ascii="Tahoma" w:hAnsi="Tahoma" w:cs="Tahoma"/>
          <w:sz w:val="16"/>
          <w:szCs w:val="16"/>
        </w:rPr>
        <w:t>ánku</w:t>
      </w:r>
      <w:r w:rsidR="00535BB4" w:rsidRPr="00B27A43">
        <w:rPr>
          <w:rFonts w:ascii="Tahoma" w:hAnsi="Tahoma" w:cs="Tahoma"/>
          <w:sz w:val="16"/>
          <w:szCs w:val="16"/>
        </w:rPr>
        <w:t xml:space="preserve"> 2.2 </w:t>
      </w:r>
      <w:r w:rsidR="00FD0685" w:rsidRPr="00B27A43">
        <w:rPr>
          <w:rFonts w:ascii="Tahoma" w:hAnsi="Tahoma" w:cs="Tahoma"/>
          <w:sz w:val="16"/>
          <w:szCs w:val="16"/>
        </w:rPr>
        <w:t>této smlouvy.</w:t>
      </w:r>
    </w:p>
    <w:p w14:paraId="41DA16EB" w14:textId="77777777"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 xml:space="preserve">Jakékoliv ústní rady, návrhy zpráv nebo zápisy z jednání, které Deloitte Legal případně poskytne Objednateli, nebudou definitivní právní radou, stanoviskem ani závěrem. Definitivní právní rada, stanovisko nebo závěr budou obsaženy výhradně v konečném písemném vyjádření Deloitte Legal. </w:t>
      </w:r>
    </w:p>
    <w:p w14:paraId="66AE1102" w14:textId="77777777"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Poskytne-li Objednatel</w:t>
      </w:r>
      <w:r w:rsidRPr="00B27A43">
        <w:rPr>
          <w:rFonts w:ascii="Tahoma" w:hAnsi="Tahoma" w:cs="Tahoma"/>
          <w:i/>
          <w:sz w:val="16"/>
          <w:szCs w:val="16"/>
        </w:rPr>
        <w:t xml:space="preserve"> </w:t>
      </w:r>
      <w:r w:rsidRPr="00B27A43">
        <w:rPr>
          <w:rFonts w:ascii="Tahoma" w:hAnsi="Tahoma" w:cs="Tahoma"/>
          <w:sz w:val="16"/>
          <w:szCs w:val="16"/>
        </w:rPr>
        <w:t>Deloitte Legal faxové spojení či adresu elektronické pošty, předpokládá Deloitte Legal (pokud není oznámen opak), že Objednatel</w:t>
      </w:r>
      <w:r w:rsidRPr="00B27A43">
        <w:rPr>
          <w:rFonts w:ascii="Tahoma" w:hAnsi="Tahoma" w:cs="Tahoma"/>
          <w:i/>
          <w:sz w:val="16"/>
          <w:szCs w:val="16"/>
        </w:rPr>
        <w:t xml:space="preserve"> </w:t>
      </w:r>
      <w:r w:rsidRPr="00B27A43">
        <w:rPr>
          <w:rFonts w:ascii="Tahoma" w:hAnsi="Tahoma" w:cs="Tahoma"/>
          <w:sz w:val="16"/>
          <w:szCs w:val="16"/>
        </w:rPr>
        <w:t>souhlasí s využitím těchto prostředků při vzájemné komunikaci a že považuje tento způsob převodu informací za dostatečně bezpečný a důvěrný s ohledem na ochranu zájmů Objednatele a že Objednatel zajistí ochranu integrity dat (např. antivirovou ochranu). Deloitte Legal bude oprávněna použít toto faxové spojení či adresu elektronické pošty nejenom v souvislosti s poskytovanými právními službami, ale také za účelem zasílání obchodních sdělení týkajících se nabídek dalších služeb, pokud toto Objednatel neodmítne.</w:t>
      </w:r>
    </w:p>
    <w:p w14:paraId="3ECF5930" w14:textId="77777777" w:rsidR="00147596" w:rsidRPr="00B27A43" w:rsidRDefault="00147596" w:rsidP="00B27A43">
      <w:pPr>
        <w:pStyle w:val="smlouvaheading1"/>
        <w:ind w:left="709" w:hanging="709"/>
        <w:rPr>
          <w:rFonts w:ascii="Tahoma" w:hAnsi="Tahoma" w:cs="Tahoma"/>
          <w:sz w:val="16"/>
          <w:szCs w:val="16"/>
        </w:rPr>
      </w:pPr>
      <w:r w:rsidRPr="00B27A43">
        <w:rPr>
          <w:rFonts w:ascii="Tahoma" w:hAnsi="Tahoma" w:cs="Tahoma"/>
          <w:sz w:val="16"/>
          <w:szCs w:val="16"/>
        </w:rPr>
        <w:t>Důvěrnost, ochrana osobních údajů</w:t>
      </w:r>
    </w:p>
    <w:p w14:paraId="339D49A6" w14:textId="3D27A69C"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 xml:space="preserve">Veškeré Objednatelem poskytnuté informace bude Deloitte Legal vždy uchovávat v tajnosti a zajistí, aby její zaměstnanci či spolupracující osoby činily taktéž, pokud Objednatel nebo příslušné právní předpisy nestanoví jinak. Povinnost mlčenlivosti se při zachování souladu s předpisy upravujícími poskytování právních služeb nebude vztahovat na informace, které se staly obecně známými, které Deloitte Legal sama vytvořila bez ohledu na Objednatelem poskytnuté informace, na informace sdělené třetí stranou, jež nemá povinnost mlčenlivosti ohledně takových informací a informace, které je Deloitte Legal v souladu s platnými právními předpisy povinna poskytnout státním či správním orgánům. </w:t>
      </w:r>
      <w:r w:rsidR="00EC0880" w:rsidRPr="00B27A43">
        <w:rPr>
          <w:rFonts w:ascii="Tahoma" w:hAnsi="Tahoma" w:cs="Tahoma"/>
          <w:sz w:val="16"/>
          <w:szCs w:val="16"/>
        </w:rPr>
        <w:t xml:space="preserve">V souladu s případným požadavkem Objednatele bude součástí nebo přílohou daňových dokladů Deloitte Legal popis poskytnutých právních služeb odpovídající fakturované odměně. </w:t>
      </w:r>
      <w:r w:rsidRPr="00B27A43">
        <w:rPr>
          <w:rFonts w:ascii="Tahoma" w:hAnsi="Tahoma" w:cs="Tahoma"/>
          <w:sz w:val="16"/>
          <w:szCs w:val="16"/>
        </w:rPr>
        <w:t>Objednatel souhlasí s tím, že získané informace mohou být sdíleny s jinými odbornými poradci Objednatele spolupracujícími na řešení předmětné záležitosti a též s členy Deloitte</w:t>
      </w:r>
      <w:r w:rsidR="004D2F16" w:rsidRPr="00B27A43">
        <w:rPr>
          <w:rStyle w:val="Znakapoznpodarou"/>
          <w:rFonts w:ascii="Tahoma" w:hAnsi="Tahoma" w:cs="Tahoma"/>
          <w:sz w:val="16"/>
          <w:szCs w:val="16"/>
        </w:rPr>
        <w:footnoteReference w:id="1"/>
      </w:r>
      <w:r w:rsidRPr="00B27A43">
        <w:rPr>
          <w:rFonts w:ascii="Tahoma" w:hAnsi="Tahoma" w:cs="Tahoma"/>
          <w:sz w:val="16"/>
          <w:szCs w:val="16"/>
        </w:rPr>
        <w:t>, pokud je to nutné v souvislosti s poskytnutím právních služeb, případně s dalšími osobami určenými Objednatelem. Objednatel rovněž souhlasí s uvedením krátkého popisu služeb poskytnutých na základě této smlouvy společně s obchodní firmou Objednatele a jeho logem jako referenci prokazující praxi Deloitte Legal. Rovněž může Deloitte Legal požádat Objednatele o poskytnutí specifického písemného souhlasu ohledně poskytnutých služeb.</w:t>
      </w:r>
    </w:p>
    <w:p w14:paraId="341F3C86" w14:textId="77777777" w:rsidR="00147596" w:rsidRPr="00B27A43" w:rsidRDefault="00147596" w:rsidP="004749DA">
      <w:pPr>
        <w:pStyle w:val="smlouvaheading2"/>
        <w:rPr>
          <w:rFonts w:ascii="Tahoma" w:hAnsi="Tahoma" w:cs="Tahoma"/>
          <w:sz w:val="16"/>
          <w:szCs w:val="16"/>
        </w:rPr>
      </w:pPr>
      <w:r w:rsidRPr="00B27A43">
        <w:rPr>
          <w:rFonts w:ascii="Tahoma" w:hAnsi="Tahoma" w:cs="Tahoma"/>
          <w:sz w:val="16"/>
          <w:szCs w:val="16"/>
        </w:rPr>
        <w:t>Ochrana Osobních údajů</w:t>
      </w:r>
    </w:p>
    <w:p w14:paraId="2D61A4A4" w14:textId="77777777" w:rsidR="00147596" w:rsidRPr="00B27A43" w:rsidRDefault="00147596">
      <w:pPr>
        <w:pStyle w:val="smlouvaheading3"/>
        <w:rPr>
          <w:rFonts w:ascii="Tahoma" w:hAnsi="Tahoma" w:cs="Tahoma"/>
          <w:sz w:val="16"/>
          <w:szCs w:val="16"/>
        </w:rPr>
      </w:pPr>
      <w:r w:rsidRPr="00B27A43">
        <w:rPr>
          <w:rFonts w:ascii="Tahoma" w:hAnsi="Tahoma" w:cs="Tahoma"/>
          <w:sz w:val="16"/>
          <w:szCs w:val="16"/>
        </w:rPr>
        <w:t>Definice</w:t>
      </w:r>
    </w:p>
    <w:p w14:paraId="15F5F7C1" w14:textId="77777777" w:rsidR="00147596" w:rsidRPr="00B27A43" w:rsidRDefault="00147596" w:rsidP="0043518E">
      <w:pPr>
        <w:spacing w:line="240" w:lineRule="auto"/>
        <w:ind w:left="720" w:hanging="720"/>
        <w:jc w:val="both"/>
        <w:rPr>
          <w:rFonts w:ascii="Tahoma" w:hAnsi="Tahoma" w:cs="Tahoma"/>
          <w:color w:val="000000" w:themeColor="text1"/>
          <w:sz w:val="16"/>
          <w:szCs w:val="16"/>
          <w:lang w:val="cs-CZ"/>
        </w:rPr>
      </w:pPr>
      <w:r w:rsidRPr="00B27A43">
        <w:rPr>
          <w:rFonts w:ascii="Tahoma" w:hAnsi="Tahoma" w:cs="Tahoma"/>
          <w:color w:val="000000" w:themeColor="text1"/>
          <w:sz w:val="16"/>
          <w:szCs w:val="16"/>
          <w:lang w:val="cs-CZ"/>
        </w:rPr>
        <w:t xml:space="preserve"> </w:t>
      </w:r>
      <w:r w:rsidRPr="00B27A43">
        <w:rPr>
          <w:rFonts w:ascii="Tahoma" w:hAnsi="Tahoma" w:cs="Tahoma"/>
          <w:color w:val="000000" w:themeColor="text1"/>
          <w:sz w:val="16"/>
          <w:szCs w:val="16"/>
          <w:lang w:val="cs-CZ"/>
        </w:rPr>
        <w:tab/>
        <w:t>„</w:t>
      </w:r>
      <w:r w:rsidRPr="00B27A43">
        <w:rPr>
          <w:rFonts w:ascii="Tahoma" w:hAnsi="Tahoma" w:cs="Tahoma"/>
          <w:b/>
          <w:color w:val="000000" w:themeColor="text1"/>
          <w:sz w:val="16"/>
          <w:szCs w:val="16"/>
          <w:lang w:val="cs-CZ"/>
        </w:rPr>
        <w:t>Správce</w:t>
      </w:r>
      <w:r w:rsidRPr="00B27A43">
        <w:rPr>
          <w:rFonts w:ascii="Tahoma" w:hAnsi="Tahoma" w:cs="Tahoma"/>
          <w:color w:val="000000" w:themeColor="text1"/>
          <w:sz w:val="16"/>
          <w:szCs w:val="16"/>
          <w:lang w:val="cs-CZ"/>
        </w:rPr>
        <w:t xml:space="preserve">“ označuje správce nebo správce údajů (jak je definován Právními předpisy v oblasti ochrany osobních údajů). </w:t>
      </w:r>
    </w:p>
    <w:p w14:paraId="182E683B" w14:textId="0349BAF7" w:rsidR="00147596" w:rsidRPr="00B27A43" w:rsidRDefault="00147596" w:rsidP="0043518E">
      <w:pPr>
        <w:spacing w:line="240" w:lineRule="auto"/>
        <w:ind w:left="720" w:hanging="720"/>
        <w:jc w:val="both"/>
        <w:rPr>
          <w:rFonts w:ascii="Tahoma" w:hAnsi="Tahoma" w:cs="Tahoma"/>
          <w:color w:val="000000" w:themeColor="text1"/>
          <w:sz w:val="16"/>
          <w:szCs w:val="16"/>
          <w:lang w:val="cs-CZ"/>
        </w:rPr>
      </w:pPr>
      <w:r w:rsidRPr="00B27A43">
        <w:rPr>
          <w:rFonts w:ascii="Tahoma" w:hAnsi="Tahoma" w:cs="Tahoma"/>
          <w:color w:val="000000" w:themeColor="text1"/>
          <w:sz w:val="16"/>
          <w:szCs w:val="16"/>
          <w:lang w:val="cs-CZ"/>
        </w:rPr>
        <w:tab/>
        <w:t>„</w:t>
      </w:r>
      <w:r w:rsidRPr="00B27A43">
        <w:rPr>
          <w:rFonts w:ascii="Tahoma" w:hAnsi="Tahoma" w:cs="Tahoma"/>
          <w:b/>
          <w:color w:val="000000" w:themeColor="text1"/>
          <w:sz w:val="16"/>
          <w:szCs w:val="16"/>
          <w:lang w:val="cs-CZ"/>
        </w:rPr>
        <w:t>Právní předpisy v oblasti ochrany osobních údajů</w:t>
      </w:r>
      <w:r w:rsidRPr="00B27A43">
        <w:rPr>
          <w:rFonts w:ascii="Tahoma" w:hAnsi="Tahoma" w:cs="Tahoma"/>
          <w:color w:val="000000" w:themeColor="text1"/>
          <w:sz w:val="16"/>
          <w:szCs w:val="16"/>
          <w:lang w:val="cs-CZ"/>
        </w:rPr>
        <w:t>“ označuje následující právní předpisy v rozsahu, v jakém se v příslušném okamžiku aplikují: (a) vnitrostátní právní předpisy implementující Směrnici 2002/58/ES o soukromí a elektronických komunikacích; (b) Obecné nařízení o ochraně osobních údajů ((EU) 2016/679) a (c) jakékoliv další vnitrostátní právní předpisy týkající se ochrany osobních údajů</w:t>
      </w:r>
      <w:r w:rsidR="00535BB4" w:rsidRPr="00B27A43">
        <w:rPr>
          <w:rFonts w:ascii="Tahoma" w:hAnsi="Tahoma" w:cs="Tahoma"/>
          <w:color w:val="000000" w:themeColor="text1"/>
          <w:sz w:val="16"/>
          <w:szCs w:val="16"/>
          <w:lang w:val="cs-CZ"/>
        </w:rPr>
        <w:t>, zejména zákon č. 110/2019 Sb.</w:t>
      </w:r>
      <w:r w:rsidR="004101E2" w:rsidRPr="00B27A43">
        <w:rPr>
          <w:rFonts w:ascii="Tahoma" w:hAnsi="Tahoma" w:cs="Tahoma"/>
          <w:color w:val="000000" w:themeColor="text1"/>
          <w:sz w:val="16"/>
          <w:szCs w:val="16"/>
          <w:lang w:val="cs-CZ"/>
        </w:rPr>
        <w:t>,</w:t>
      </w:r>
      <w:r w:rsidR="00535BB4" w:rsidRPr="00B27A43">
        <w:rPr>
          <w:rFonts w:ascii="Tahoma" w:hAnsi="Tahoma" w:cs="Tahoma"/>
          <w:color w:val="000000" w:themeColor="text1"/>
          <w:sz w:val="16"/>
          <w:szCs w:val="16"/>
          <w:lang w:val="cs-CZ"/>
        </w:rPr>
        <w:t xml:space="preserve"> o zpracování osobních údajů</w:t>
      </w:r>
      <w:r w:rsidR="004101E2" w:rsidRPr="00B27A43">
        <w:rPr>
          <w:rFonts w:ascii="Tahoma" w:hAnsi="Tahoma" w:cs="Tahoma"/>
          <w:color w:val="000000" w:themeColor="text1"/>
          <w:sz w:val="16"/>
          <w:szCs w:val="16"/>
          <w:lang w:val="cs-CZ"/>
        </w:rPr>
        <w:t>,</w:t>
      </w:r>
      <w:r w:rsidR="00535BB4" w:rsidRPr="00B27A43">
        <w:rPr>
          <w:rFonts w:ascii="Tahoma" w:hAnsi="Tahoma" w:cs="Tahoma"/>
          <w:color w:val="000000" w:themeColor="text1"/>
          <w:sz w:val="16"/>
          <w:szCs w:val="16"/>
          <w:lang w:val="cs-CZ"/>
        </w:rPr>
        <w:t xml:space="preserve"> a </w:t>
      </w:r>
      <w:r w:rsidR="004101E2" w:rsidRPr="00B27A43">
        <w:rPr>
          <w:rFonts w:ascii="Tahoma" w:hAnsi="Tahoma" w:cs="Tahoma"/>
          <w:color w:val="000000" w:themeColor="text1"/>
          <w:sz w:val="16"/>
          <w:szCs w:val="16"/>
          <w:lang w:val="cs-CZ"/>
        </w:rPr>
        <w:t xml:space="preserve">právní </w:t>
      </w:r>
      <w:r w:rsidR="00535BB4" w:rsidRPr="00B27A43">
        <w:rPr>
          <w:rFonts w:ascii="Tahoma" w:hAnsi="Tahoma" w:cs="Tahoma"/>
          <w:color w:val="000000" w:themeColor="text1"/>
          <w:sz w:val="16"/>
          <w:szCs w:val="16"/>
          <w:lang w:val="cs-CZ"/>
        </w:rPr>
        <w:t>předpisy související</w:t>
      </w:r>
      <w:r w:rsidRPr="00B27A43">
        <w:rPr>
          <w:rFonts w:ascii="Tahoma" w:hAnsi="Tahoma" w:cs="Tahoma"/>
          <w:color w:val="000000" w:themeColor="text1"/>
          <w:sz w:val="16"/>
          <w:szCs w:val="16"/>
          <w:lang w:val="cs-CZ"/>
        </w:rPr>
        <w:t xml:space="preserve">. </w:t>
      </w:r>
    </w:p>
    <w:p w14:paraId="47614CFD" w14:textId="77777777" w:rsidR="00147596" w:rsidRPr="00B27A43" w:rsidRDefault="00147596" w:rsidP="0043518E">
      <w:pPr>
        <w:spacing w:line="240" w:lineRule="auto"/>
        <w:ind w:left="720" w:hanging="720"/>
        <w:jc w:val="both"/>
        <w:rPr>
          <w:rFonts w:ascii="Tahoma" w:hAnsi="Tahoma" w:cs="Tahoma"/>
          <w:color w:val="000000" w:themeColor="text1"/>
          <w:sz w:val="16"/>
          <w:szCs w:val="16"/>
          <w:lang w:val="cs-CZ"/>
        </w:rPr>
      </w:pPr>
      <w:r w:rsidRPr="00B27A43">
        <w:rPr>
          <w:rFonts w:ascii="Tahoma" w:hAnsi="Tahoma" w:cs="Tahoma"/>
          <w:color w:val="000000" w:themeColor="text1"/>
          <w:sz w:val="16"/>
          <w:szCs w:val="16"/>
          <w:lang w:val="cs-CZ"/>
        </w:rPr>
        <w:tab/>
        <w:t>„</w:t>
      </w:r>
      <w:r w:rsidRPr="00B27A43">
        <w:rPr>
          <w:rFonts w:ascii="Tahoma" w:hAnsi="Tahoma" w:cs="Tahoma"/>
          <w:b/>
          <w:color w:val="000000" w:themeColor="text1"/>
          <w:sz w:val="16"/>
          <w:szCs w:val="16"/>
          <w:lang w:val="cs-CZ"/>
        </w:rPr>
        <w:t>Osobní údaje</w:t>
      </w:r>
      <w:r w:rsidRPr="00B27A43">
        <w:rPr>
          <w:rFonts w:ascii="Tahoma" w:hAnsi="Tahoma" w:cs="Tahoma"/>
          <w:color w:val="000000" w:themeColor="text1"/>
          <w:sz w:val="16"/>
          <w:szCs w:val="16"/>
          <w:lang w:val="cs-CZ"/>
        </w:rPr>
        <w:t xml:space="preserve">“ označují jakékoliv osobní údaje (jak jsou definovány Právními předpisy v oblasti ochrany osobních údajů), kterou jsou zpracovávány v rámci poskytování služeb nebo v souvislosti s poskytováním služeb. </w:t>
      </w:r>
    </w:p>
    <w:p w14:paraId="7AD37088" w14:textId="77777777" w:rsidR="00147596" w:rsidRPr="00B27A43" w:rsidRDefault="00147596" w:rsidP="0043518E">
      <w:pPr>
        <w:spacing w:line="240" w:lineRule="auto"/>
        <w:ind w:left="720" w:hanging="720"/>
        <w:jc w:val="both"/>
        <w:rPr>
          <w:rFonts w:ascii="Tahoma" w:hAnsi="Tahoma" w:cs="Tahoma"/>
          <w:color w:val="000000" w:themeColor="text1"/>
          <w:sz w:val="16"/>
          <w:szCs w:val="16"/>
          <w:lang w:val="cs-CZ"/>
        </w:rPr>
      </w:pPr>
      <w:r w:rsidRPr="00B27A43">
        <w:rPr>
          <w:rFonts w:ascii="Tahoma" w:hAnsi="Tahoma" w:cs="Tahoma"/>
          <w:color w:val="000000" w:themeColor="text1"/>
          <w:sz w:val="16"/>
          <w:szCs w:val="16"/>
          <w:lang w:val="cs-CZ"/>
        </w:rPr>
        <w:tab/>
        <w:t>„</w:t>
      </w:r>
      <w:r w:rsidRPr="00B27A43">
        <w:rPr>
          <w:rFonts w:ascii="Tahoma" w:hAnsi="Tahoma" w:cs="Tahoma"/>
          <w:b/>
          <w:color w:val="000000" w:themeColor="text1"/>
          <w:sz w:val="16"/>
          <w:szCs w:val="16"/>
          <w:lang w:val="cs-CZ"/>
        </w:rPr>
        <w:t>Zpracovatel</w:t>
      </w:r>
      <w:r w:rsidRPr="00B27A43">
        <w:rPr>
          <w:rFonts w:ascii="Tahoma" w:hAnsi="Tahoma" w:cs="Tahoma"/>
          <w:color w:val="000000" w:themeColor="text1"/>
          <w:sz w:val="16"/>
          <w:szCs w:val="16"/>
          <w:lang w:val="cs-CZ"/>
        </w:rPr>
        <w:t>“ označuje zpracovatele údajů nebo zpracovatele (jak je definován Právními předpisy v oblasti ochrany osobních údajů).</w:t>
      </w:r>
    </w:p>
    <w:p w14:paraId="1C90FD75" w14:textId="77777777" w:rsidR="00147596" w:rsidRPr="00B27A43" w:rsidRDefault="00147596" w:rsidP="0043518E">
      <w:pPr>
        <w:spacing w:line="240" w:lineRule="auto"/>
        <w:ind w:left="720" w:hanging="720"/>
        <w:jc w:val="both"/>
        <w:rPr>
          <w:rFonts w:ascii="Tahoma" w:hAnsi="Tahoma" w:cs="Tahoma"/>
          <w:color w:val="000000" w:themeColor="text1"/>
          <w:sz w:val="16"/>
          <w:szCs w:val="16"/>
          <w:lang w:val="cs-CZ"/>
        </w:rPr>
      </w:pPr>
      <w:r w:rsidRPr="00B27A43">
        <w:rPr>
          <w:rFonts w:ascii="Tahoma" w:hAnsi="Tahoma" w:cs="Tahoma"/>
          <w:color w:val="000000" w:themeColor="text1"/>
          <w:sz w:val="16"/>
          <w:szCs w:val="16"/>
          <w:lang w:val="cs-CZ"/>
        </w:rPr>
        <w:tab/>
        <w:t>„</w:t>
      </w:r>
      <w:r w:rsidRPr="00B27A43">
        <w:rPr>
          <w:rFonts w:ascii="Tahoma" w:hAnsi="Tahoma" w:cs="Tahoma"/>
          <w:b/>
          <w:color w:val="000000" w:themeColor="text1"/>
          <w:sz w:val="16"/>
          <w:szCs w:val="16"/>
          <w:lang w:val="cs-CZ"/>
        </w:rPr>
        <w:t>Příjemce</w:t>
      </w:r>
      <w:r w:rsidRPr="00B27A43">
        <w:rPr>
          <w:rFonts w:ascii="Tahoma" w:hAnsi="Tahoma" w:cs="Tahoma"/>
          <w:color w:val="000000" w:themeColor="text1"/>
          <w:sz w:val="16"/>
          <w:szCs w:val="16"/>
          <w:lang w:val="cs-CZ"/>
        </w:rPr>
        <w:t>“ označuje fyzickou nebo právnickou osobu, orgán veřejné moci, agenturu nebo jiný subjekt, jemuž jsou osobní údaje poskytnuty (jak je dále definován Právními předpisy v oblasti ochrany osobních údajů).</w:t>
      </w:r>
    </w:p>
    <w:p w14:paraId="01582249" w14:textId="77777777" w:rsidR="00147596" w:rsidRPr="00B27A43" w:rsidRDefault="00147596" w:rsidP="004749DA">
      <w:pPr>
        <w:pStyle w:val="smlouvaheading3"/>
        <w:rPr>
          <w:rFonts w:ascii="Tahoma" w:hAnsi="Tahoma" w:cs="Tahoma"/>
          <w:sz w:val="16"/>
          <w:szCs w:val="16"/>
        </w:rPr>
      </w:pPr>
      <w:r w:rsidRPr="00B27A43">
        <w:rPr>
          <w:rFonts w:ascii="Tahoma" w:hAnsi="Tahoma" w:cs="Tahoma"/>
          <w:sz w:val="16"/>
          <w:szCs w:val="16"/>
        </w:rPr>
        <w:t>Informace o zpracování Osobních údajů</w:t>
      </w:r>
    </w:p>
    <w:p w14:paraId="2D280783" w14:textId="7F4AF8DF" w:rsidR="00147596" w:rsidRPr="00B27A43" w:rsidRDefault="00FC2DB6">
      <w:pPr>
        <w:pStyle w:val="Odstavecseseznamem"/>
        <w:keepLines/>
        <w:numPr>
          <w:ilvl w:val="0"/>
          <w:numId w:val="26"/>
        </w:numPr>
        <w:tabs>
          <w:tab w:val="left" w:pos="851"/>
        </w:tabs>
        <w:spacing w:before="120" w:line="240" w:lineRule="auto"/>
        <w:ind w:hanging="720"/>
        <w:contextualSpacing w:val="0"/>
        <w:jc w:val="both"/>
        <w:rPr>
          <w:rFonts w:ascii="Tahoma" w:hAnsi="Tahoma" w:cs="Tahoma"/>
          <w:sz w:val="16"/>
          <w:szCs w:val="16"/>
          <w:lang w:val="cs-CZ"/>
        </w:rPr>
      </w:pPr>
      <w:r w:rsidRPr="00B27A43">
        <w:rPr>
          <w:rFonts w:ascii="Tahoma" w:hAnsi="Tahoma" w:cs="Tahoma"/>
          <w:sz w:val="16"/>
          <w:szCs w:val="16"/>
          <w:lang w:val="cs-CZ"/>
        </w:rPr>
        <w:lastRenderedPageBreak/>
        <w:t xml:space="preserve">Smluvní strany </w:t>
      </w:r>
      <w:r w:rsidR="00147596" w:rsidRPr="00B27A43">
        <w:rPr>
          <w:rFonts w:ascii="Tahoma" w:hAnsi="Tahoma" w:cs="Tahoma"/>
          <w:sz w:val="16"/>
          <w:szCs w:val="16"/>
          <w:lang w:val="cs-CZ"/>
        </w:rPr>
        <w:t xml:space="preserve">berou na vědomí, že Osobní údaje poskytnuté Objednatelem, jeho personálem či zástupci budou zpracovány společností Deloitte Legal jakožto Správcem pro následující účely, resp. v souvislosti s následujícím: (i) poskytnutí služeb; (ii) zajištění souladu s příslušnými právními, regulatorními nebo profesními požadavky; (iii) řešení požadavků nebo komunikací od příslušných orgánů; (iv) administrace smluv, finanční účetnictví, soulad s interními předpisy, analýza rizik, a vztahy s klienty; (v) využití systémů a aplikací (hostovaných nebo interních) pro služby informačních technologií </w:t>
      </w:r>
      <w:r w:rsidR="009B7701" w:rsidRPr="00B27A43">
        <w:rPr>
          <w:rFonts w:ascii="Tahoma" w:hAnsi="Tahoma" w:cs="Tahoma"/>
          <w:sz w:val="16"/>
          <w:szCs w:val="16"/>
          <w:lang w:val="cs-CZ"/>
        </w:rPr>
        <w:t>a informačních systémů (</w:t>
      </w:r>
      <w:r w:rsidR="00147596" w:rsidRPr="00B27A43">
        <w:rPr>
          <w:rFonts w:ascii="Tahoma" w:hAnsi="Tahoma" w:cs="Tahoma"/>
          <w:sz w:val="16"/>
          <w:szCs w:val="16"/>
          <w:lang w:val="cs-CZ"/>
        </w:rPr>
        <w:t>„</w:t>
      </w:r>
      <w:r w:rsidR="00147596" w:rsidRPr="00B27A43">
        <w:rPr>
          <w:rFonts w:ascii="Tahoma" w:hAnsi="Tahoma" w:cs="Tahoma"/>
          <w:b/>
          <w:sz w:val="16"/>
          <w:szCs w:val="16"/>
          <w:lang w:val="cs-CZ"/>
        </w:rPr>
        <w:t>Účely</w:t>
      </w:r>
      <w:r w:rsidR="00147596" w:rsidRPr="00B27A43">
        <w:rPr>
          <w:rFonts w:ascii="Tahoma" w:hAnsi="Tahoma" w:cs="Tahoma"/>
          <w:sz w:val="16"/>
          <w:szCs w:val="16"/>
          <w:lang w:val="cs-CZ"/>
        </w:rPr>
        <w:t>“).</w:t>
      </w:r>
    </w:p>
    <w:p w14:paraId="73B500E2" w14:textId="77777777" w:rsidR="00147596" w:rsidRPr="00B27A43" w:rsidRDefault="00147596" w:rsidP="0043518E">
      <w:pPr>
        <w:spacing w:line="240" w:lineRule="auto"/>
        <w:ind w:left="720" w:hanging="720"/>
        <w:jc w:val="both"/>
        <w:rPr>
          <w:rFonts w:ascii="Tahoma" w:hAnsi="Tahoma" w:cs="Tahoma"/>
          <w:sz w:val="16"/>
          <w:szCs w:val="16"/>
          <w:lang w:val="cs-CZ"/>
        </w:rPr>
      </w:pPr>
      <w:r w:rsidRPr="00B27A43">
        <w:rPr>
          <w:rFonts w:ascii="Tahoma" w:hAnsi="Tahoma" w:cs="Tahoma"/>
          <w:sz w:val="16"/>
          <w:szCs w:val="16"/>
          <w:lang w:val="cs-CZ"/>
        </w:rPr>
        <w:tab/>
        <w:t>Pro výše uvedené Účely mohou být Osobní údaje zpřístupněny/předány Příjemcům Osobních údajů (včetně Správců a Zpracovatelů osobních údajů), a mohou být těmito Příjemci zpracovány, jak je uvedeno v Prohlášení Deloitte o ochraně osobních údajů.</w:t>
      </w:r>
    </w:p>
    <w:p w14:paraId="01EFD0B5" w14:textId="77777777" w:rsidR="00147596" w:rsidRPr="00B27A43" w:rsidRDefault="00147596" w:rsidP="004749DA">
      <w:pPr>
        <w:pStyle w:val="Odstavecseseznamem"/>
        <w:keepLines/>
        <w:numPr>
          <w:ilvl w:val="0"/>
          <w:numId w:val="26"/>
        </w:numPr>
        <w:tabs>
          <w:tab w:val="left" w:pos="851"/>
        </w:tabs>
        <w:spacing w:before="120" w:line="240" w:lineRule="auto"/>
        <w:ind w:hanging="720"/>
        <w:contextualSpacing w:val="0"/>
        <w:jc w:val="both"/>
        <w:rPr>
          <w:rFonts w:ascii="Tahoma" w:hAnsi="Tahoma" w:cs="Tahoma"/>
          <w:sz w:val="16"/>
          <w:szCs w:val="16"/>
          <w:lang w:val="cs-CZ"/>
        </w:rPr>
      </w:pPr>
      <w:r w:rsidRPr="00B27A43">
        <w:rPr>
          <w:rFonts w:ascii="Tahoma" w:hAnsi="Tahoma" w:cs="Tahoma"/>
          <w:sz w:val="16"/>
          <w:szCs w:val="16"/>
          <w:lang w:val="cs-CZ"/>
        </w:rPr>
        <w:t>Odstavec 5.2.2 a) je jen shrnutím Prohlášení Deloitte o ochraně osobních údajů, jehož celé znění je k dispozici zde: https://www2.deloitte.com/ce/en/pages/about-deloitte/articles/deloitte-ce-privacy-statement-for-clients.html („</w:t>
      </w:r>
      <w:r w:rsidRPr="00B27A43">
        <w:rPr>
          <w:rFonts w:ascii="Tahoma" w:hAnsi="Tahoma" w:cs="Tahoma"/>
          <w:b/>
          <w:sz w:val="16"/>
          <w:szCs w:val="16"/>
          <w:lang w:val="cs-CZ"/>
        </w:rPr>
        <w:t>Prohlášení Deloitte o ochraně osobních údajů</w:t>
      </w:r>
      <w:r w:rsidRPr="00B27A43">
        <w:rPr>
          <w:rFonts w:ascii="Tahoma" w:hAnsi="Tahoma" w:cs="Tahoma"/>
          <w:sz w:val="16"/>
          <w:szCs w:val="16"/>
          <w:lang w:val="cs-CZ"/>
        </w:rPr>
        <w:t xml:space="preserve">“). Jestliže to nevyžaduje nepřiměřené úsilí, Objednatel zajistí, aby byly subjekty údajů (jeho příslušní zaměstnanci, zástupci, dodavatelé a klienti) informovány o Prohlášení Deloitte o ochraně osobních údajů. </w:t>
      </w:r>
    </w:p>
    <w:p w14:paraId="68266F84" w14:textId="77777777" w:rsidR="00147596" w:rsidRPr="00B27A43" w:rsidRDefault="00147596" w:rsidP="00147596">
      <w:pPr>
        <w:pStyle w:val="Odstavecseseznamem"/>
        <w:keepLines/>
        <w:numPr>
          <w:ilvl w:val="0"/>
          <w:numId w:val="26"/>
        </w:numPr>
        <w:tabs>
          <w:tab w:val="left" w:pos="851"/>
        </w:tabs>
        <w:spacing w:before="120" w:line="240" w:lineRule="auto"/>
        <w:ind w:hanging="720"/>
        <w:contextualSpacing w:val="0"/>
        <w:jc w:val="both"/>
        <w:rPr>
          <w:rFonts w:ascii="Tahoma" w:hAnsi="Tahoma" w:cs="Tahoma"/>
          <w:sz w:val="16"/>
          <w:szCs w:val="16"/>
          <w:lang w:val="cs-CZ"/>
        </w:rPr>
      </w:pPr>
      <w:r w:rsidRPr="00B27A43">
        <w:rPr>
          <w:rFonts w:ascii="Tahoma" w:hAnsi="Tahoma" w:cs="Tahoma"/>
          <w:sz w:val="16"/>
          <w:szCs w:val="16"/>
          <w:lang w:val="cs-CZ"/>
        </w:rPr>
        <w:t xml:space="preserve">Uchovávání údajů: dokumentace související se zakázkou, včetně Osobních údajů, bude uchovávána po dobu 10 let od ukončení smluvního vztahu či po dobu, kterou vyžadují příslušné právní předpisy proti legalizaci výnosů z trestné činnosti či jakékoliv jiné platné zákony a právní předpisy. </w:t>
      </w:r>
    </w:p>
    <w:p w14:paraId="25910AE6" w14:textId="77777777" w:rsidR="00147596" w:rsidRPr="00B27A43" w:rsidRDefault="00147596" w:rsidP="00147596">
      <w:pPr>
        <w:pStyle w:val="Odstavecseseznamem"/>
        <w:keepLines/>
        <w:numPr>
          <w:ilvl w:val="0"/>
          <w:numId w:val="26"/>
        </w:numPr>
        <w:tabs>
          <w:tab w:val="left" w:pos="851"/>
        </w:tabs>
        <w:spacing w:before="120" w:line="240" w:lineRule="auto"/>
        <w:ind w:hanging="720"/>
        <w:contextualSpacing w:val="0"/>
        <w:jc w:val="both"/>
        <w:rPr>
          <w:rFonts w:ascii="Tahoma" w:hAnsi="Tahoma" w:cs="Tahoma"/>
          <w:sz w:val="16"/>
          <w:szCs w:val="16"/>
          <w:lang w:val="cs-CZ"/>
        </w:rPr>
      </w:pPr>
      <w:r w:rsidRPr="00B27A43">
        <w:rPr>
          <w:rFonts w:ascii="Tahoma" w:hAnsi="Tahoma" w:cs="Tahoma"/>
          <w:sz w:val="16"/>
          <w:szCs w:val="16"/>
          <w:lang w:val="cs-CZ"/>
        </w:rPr>
        <w:t xml:space="preserve">Každá Smluvní strana musí při zpracování Osobních údajů dodržovat Právní předpisy v oblasti ochrany osobních údajů. </w:t>
      </w:r>
    </w:p>
    <w:p w14:paraId="485BF245" w14:textId="755E6C5D"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Služby Deloitte Legal budou určeny pouze Objednateli</w:t>
      </w:r>
      <w:r w:rsidR="00D51EEC" w:rsidRPr="00B27A43">
        <w:rPr>
          <w:rFonts w:ascii="Tahoma" w:hAnsi="Tahoma" w:cs="Tahoma"/>
          <w:sz w:val="16"/>
          <w:szCs w:val="16"/>
        </w:rPr>
        <w:t>. Objednatel může veškerý obsah uvedený ve výstupech</w:t>
      </w:r>
      <w:r w:rsidR="009D0FA8" w:rsidRPr="00B27A43">
        <w:rPr>
          <w:rFonts w:ascii="Tahoma" w:hAnsi="Tahoma" w:cs="Tahoma"/>
          <w:sz w:val="16"/>
          <w:szCs w:val="16"/>
        </w:rPr>
        <w:t xml:space="preserve"> služeb</w:t>
      </w:r>
      <w:r w:rsidR="00D51EEC" w:rsidRPr="00B27A43">
        <w:rPr>
          <w:rFonts w:ascii="Tahoma" w:hAnsi="Tahoma" w:cs="Tahoma"/>
          <w:sz w:val="16"/>
          <w:szCs w:val="16"/>
        </w:rPr>
        <w:t xml:space="preserve"> Deloitte Legal použít dle svých potřeb včetně dalšího zpracování k účelu, pro který byl</w:t>
      </w:r>
      <w:r w:rsidR="009D0FA8" w:rsidRPr="00B27A43">
        <w:rPr>
          <w:rFonts w:ascii="Tahoma" w:hAnsi="Tahoma" w:cs="Tahoma"/>
          <w:sz w:val="16"/>
          <w:szCs w:val="16"/>
        </w:rPr>
        <w:t>y</w:t>
      </w:r>
      <w:r w:rsidR="00D51EEC" w:rsidRPr="00B27A43">
        <w:rPr>
          <w:rFonts w:ascii="Tahoma" w:hAnsi="Tahoma" w:cs="Tahoma"/>
          <w:sz w:val="16"/>
          <w:szCs w:val="16"/>
        </w:rPr>
        <w:t xml:space="preserve"> </w:t>
      </w:r>
      <w:r w:rsidR="009D0FA8" w:rsidRPr="00B27A43">
        <w:rPr>
          <w:rFonts w:ascii="Tahoma" w:hAnsi="Tahoma" w:cs="Tahoma"/>
          <w:sz w:val="16"/>
          <w:szCs w:val="16"/>
        </w:rPr>
        <w:t xml:space="preserve">takové </w:t>
      </w:r>
      <w:r w:rsidR="00D51EEC" w:rsidRPr="00B27A43">
        <w:rPr>
          <w:rFonts w:ascii="Tahoma" w:hAnsi="Tahoma" w:cs="Tahoma"/>
          <w:sz w:val="16"/>
          <w:szCs w:val="16"/>
        </w:rPr>
        <w:t>výstup</w:t>
      </w:r>
      <w:r w:rsidR="009D0FA8" w:rsidRPr="00B27A43">
        <w:rPr>
          <w:rFonts w:ascii="Tahoma" w:hAnsi="Tahoma" w:cs="Tahoma"/>
          <w:sz w:val="16"/>
          <w:szCs w:val="16"/>
        </w:rPr>
        <w:t>y</w:t>
      </w:r>
      <w:r w:rsidR="00D51EEC" w:rsidRPr="00B27A43">
        <w:rPr>
          <w:rFonts w:ascii="Tahoma" w:hAnsi="Tahoma" w:cs="Tahoma"/>
          <w:sz w:val="16"/>
          <w:szCs w:val="16"/>
        </w:rPr>
        <w:t xml:space="preserve"> </w:t>
      </w:r>
      <w:r w:rsidR="009D0FA8" w:rsidRPr="00B27A43">
        <w:rPr>
          <w:rFonts w:ascii="Tahoma" w:hAnsi="Tahoma" w:cs="Tahoma"/>
          <w:sz w:val="16"/>
          <w:szCs w:val="16"/>
        </w:rPr>
        <w:t xml:space="preserve">služeb </w:t>
      </w:r>
      <w:r w:rsidR="00D51EEC" w:rsidRPr="00B27A43">
        <w:rPr>
          <w:rFonts w:ascii="Tahoma" w:hAnsi="Tahoma" w:cs="Tahoma"/>
          <w:sz w:val="16"/>
          <w:szCs w:val="16"/>
        </w:rPr>
        <w:t>vytvořen</w:t>
      </w:r>
      <w:r w:rsidR="009D0FA8" w:rsidRPr="00B27A43">
        <w:rPr>
          <w:rFonts w:ascii="Tahoma" w:hAnsi="Tahoma" w:cs="Tahoma"/>
          <w:sz w:val="16"/>
          <w:szCs w:val="16"/>
        </w:rPr>
        <w:t xml:space="preserve">y, to však pouze za předpokladu, že z nich </w:t>
      </w:r>
      <w:r w:rsidR="00230089" w:rsidRPr="00B27A43">
        <w:rPr>
          <w:rFonts w:ascii="Tahoma" w:hAnsi="Tahoma" w:cs="Tahoma"/>
          <w:sz w:val="16"/>
          <w:szCs w:val="16"/>
        </w:rPr>
        <w:t xml:space="preserve">Objednatel </w:t>
      </w:r>
      <w:r w:rsidR="009D0FA8" w:rsidRPr="00B27A43">
        <w:rPr>
          <w:rFonts w:ascii="Tahoma" w:hAnsi="Tahoma" w:cs="Tahoma"/>
          <w:sz w:val="16"/>
          <w:szCs w:val="16"/>
        </w:rPr>
        <w:t xml:space="preserve">před jakýmkoli takovým použitím případně odstraní </w:t>
      </w:r>
      <w:r w:rsidR="00166CF6" w:rsidRPr="00B27A43">
        <w:rPr>
          <w:rFonts w:ascii="Tahoma" w:hAnsi="Tahoma" w:cs="Tahoma"/>
          <w:sz w:val="16"/>
          <w:szCs w:val="16"/>
        </w:rPr>
        <w:t xml:space="preserve">(i) </w:t>
      </w:r>
      <w:r w:rsidR="009D0FA8" w:rsidRPr="00B27A43">
        <w:rPr>
          <w:rFonts w:ascii="Tahoma" w:hAnsi="Tahoma" w:cs="Tahoma"/>
          <w:sz w:val="16"/>
          <w:szCs w:val="16"/>
        </w:rPr>
        <w:t xml:space="preserve">veškerá loga Deloitte Legal a/nebo jiných členů Deloitte a </w:t>
      </w:r>
      <w:r w:rsidR="00166CF6" w:rsidRPr="00B27A43">
        <w:rPr>
          <w:rFonts w:ascii="Tahoma" w:hAnsi="Tahoma" w:cs="Tahoma"/>
          <w:sz w:val="16"/>
          <w:szCs w:val="16"/>
        </w:rPr>
        <w:t xml:space="preserve">(ii) </w:t>
      </w:r>
      <w:r w:rsidR="009D0FA8" w:rsidRPr="00B27A43">
        <w:rPr>
          <w:rFonts w:ascii="Tahoma" w:hAnsi="Tahoma" w:cs="Tahoma"/>
          <w:sz w:val="16"/>
          <w:szCs w:val="16"/>
        </w:rPr>
        <w:t xml:space="preserve">veškeré odkazy na Deloitte Legal, </w:t>
      </w:r>
      <w:r w:rsidR="005D46AF" w:rsidRPr="00B27A43">
        <w:rPr>
          <w:rFonts w:ascii="Tahoma" w:hAnsi="Tahoma" w:cs="Tahoma"/>
          <w:sz w:val="16"/>
          <w:szCs w:val="16"/>
        </w:rPr>
        <w:t xml:space="preserve">na </w:t>
      </w:r>
      <w:r w:rsidR="009D0FA8" w:rsidRPr="00B27A43">
        <w:rPr>
          <w:rFonts w:ascii="Tahoma" w:hAnsi="Tahoma" w:cs="Tahoma"/>
          <w:sz w:val="16"/>
          <w:szCs w:val="16"/>
        </w:rPr>
        <w:t>jiné členy Deloitte a/nebo</w:t>
      </w:r>
      <w:r w:rsidR="005D46AF" w:rsidRPr="00B27A43">
        <w:rPr>
          <w:rFonts w:ascii="Tahoma" w:hAnsi="Tahoma" w:cs="Tahoma"/>
          <w:sz w:val="16"/>
          <w:szCs w:val="16"/>
        </w:rPr>
        <w:t xml:space="preserve"> na jejich společníky, advokáty, zaměstnance či spolupracující osoby</w:t>
      </w:r>
      <w:r w:rsidR="00D51EEC" w:rsidRPr="00B27A43">
        <w:rPr>
          <w:rFonts w:ascii="Tahoma" w:hAnsi="Tahoma" w:cs="Tahoma"/>
          <w:sz w:val="16"/>
          <w:szCs w:val="16"/>
        </w:rPr>
        <w:t>.</w:t>
      </w:r>
      <w:r w:rsidR="00EC0880" w:rsidRPr="00B27A43">
        <w:rPr>
          <w:rFonts w:ascii="Tahoma" w:hAnsi="Tahoma" w:cs="Tahoma"/>
          <w:sz w:val="16"/>
          <w:szCs w:val="16"/>
        </w:rPr>
        <w:t>;</w:t>
      </w:r>
      <w:r w:rsidR="00147A4F" w:rsidRPr="00B27A43">
        <w:rPr>
          <w:rFonts w:ascii="Tahoma" w:hAnsi="Tahoma" w:cs="Tahoma"/>
          <w:sz w:val="16"/>
          <w:szCs w:val="16"/>
        </w:rPr>
        <w:t xml:space="preserve"> toto nemá vliv na případné plnění zákonné povinnosti Objednatele popř. jeho jiných poradců zpřístupnit výstupy právních služeb Deloitte Legal či informace o nich jiné straně, zejména příslušným správním orgánům.</w:t>
      </w:r>
      <w:r w:rsidRPr="00B27A43">
        <w:rPr>
          <w:rFonts w:ascii="Tahoma" w:hAnsi="Tahoma" w:cs="Tahoma"/>
          <w:sz w:val="16"/>
          <w:szCs w:val="16"/>
        </w:rPr>
        <w:t xml:space="preserve"> Deloitte Legal neponese odpovědnost za použití či spoléhání se na výstupy použité jakoukoli jinou stranou či pro jakýkoli jiný účel, než bylo Deloitte Legal výslovně schváleno.</w:t>
      </w:r>
    </w:p>
    <w:p w14:paraId="0A6A1D4F" w14:textId="77777777" w:rsidR="00147596" w:rsidRPr="00B27A43" w:rsidRDefault="00147596" w:rsidP="00FE3B66">
      <w:pPr>
        <w:pStyle w:val="smlouvaheading1"/>
        <w:ind w:left="709" w:hanging="709"/>
        <w:rPr>
          <w:rFonts w:ascii="Tahoma" w:hAnsi="Tahoma" w:cs="Tahoma"/>
          <w:sz w:val="16"/>
          <w:szCs w:val="16"/>
        </w:rPr>
      </w:pPr>
      <w:r w:rsidRPr="00B27A43">
        <w:rPr>
          <w:rFonts w:ascii="Tahoma" w:hAnsi="Tahoma" w:cs="Tahoma"/>
          <w:sz w:val="16"/>
          <w:szCs w:val="16"/>
        </w:rPr>
        <w:t>Střet zájmů</w:t>
      </w:r>
    </w:p>
    <w:p w14:paraId="23F303D1" w14:textId="77777777"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I přes striktní dodržování právních předpisů a interních postupů ohledně střetu zájmů nelze plně zaručit, že Deloitte Legal předem identifikuje všechny případy potenciálního střetu zájmů, zejména pak v situacích, kdy není zcela zřejmé, co konkrétně je ze strany daného klienta za střet zájmů považováno. Pokud Objednateli jsou či budou známy okolnosti, které mohou v souvislosti s poskytováním služeb Deloitte Legal vést ke střetu zájmů, je Objednatel</w:t>
      </w:r>
      <w:r w:rsidRPr="00B27A43">
        <w:rPr>
          <w:rFonts w:ascii="Tahoma" w:hAnsi="Tahoma" w:cs="Tahoma"/>
          <w:i/>
          <w:sz w:val="16"/>
          <w:szCs w:val="16"/>
        </w:rPr>
        <w:t xml:space="preserve"> </w:t>
      </w:r>
      <w:r w:rsidRPr="00B27A43">
        <w:rPr>
          <w:rFonts w:ascii="Tahoma" w:hAnsi="Tahoma" w:cs="Tahoma"/>
          <w:sz w:val="16"/>
          <w:szCs w:val="16"/>
        </w:rPr>
        <w:t xml:space="preserve">povinen o nich neprodleně informovat Deloitte Legal. V případě, že taková situace nastane, projedná Deloitte Legal s Objednatelem stav a dosavadní vývoj záležitostí a dohodne další vhodný postup. Za určitých okolností může dojít k tomu, že s ohledem na ochranu zájmů Objednatele bude Deloitte Legal nucena ukončit poskytování služeb Objednateli. </w:t>
      </w:r>
    </w:p>
    <w:p w14:paraId="3CE63188" w14:textId="77777777"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Na základě předpisů ohledně nezávislosti auditora může dojít k situaci, kdy Objednatel nebude moci využívat služeb Deloitte Legal jakožto služeb poskytovaných advokátní kanceláří přidruženou k Deloitte, popřípadě může být možnost poskytování služeb ze strany Deloitte Legal Objednateli omezena. Pokud takováto situace nastane, je Objednatel povinen o ní Deloitte Legal neprodleně informovat, aby bylo možné společně přijmout vhodná opatření v souladu s příslušnými právními předpisy.</w:t>
      </w:r>
    </w:p>
    <w:p w14:paraId="6607089E" w14:textId="77777777" w:rsidR="00147596" w:rsidRPr="00B27A43" w:rsidRDefault="00147596" w:rsidP="00B27A43">
      <w:pPr>
        <w:pStyle w:val="smlouvaheading1"/>
        <w:ind w:left="357" w:hanging="357"/>
        <w:rPr>
          <w:rFonts w:ascii="Tahoma" w:hAnsi="Tahoma" w:cs="Tahoma"/>
          <w:sz w:val="16"/>
          <w:szCs w:val="16"/>
        </w:rPr>
      </w:pPr>
      <w:r w:rsidRPr="00B27A43">
        <w:rPr>
          <w:rFonts w:ascii="Tahoma" w:hAnsi="Tahoma" w:cs="Tahoma"/>
          <w:sz w:val="16"/>
          <w:szCs w:val="16"/>
        </w:rPr>
        <w:t>Profesionální standardy</w:t>
      </w:r>
    </w:p>
    <w:p w14:paraId="36E289EA" w14:textId="77777777" w:rsidR="00147596" w:rsidRPr="00B27A43" w:rsidRDefault="00147596" w:rsidP="00EC0880">
      <w:pPr>
        <w:pStyle w:val="smlouvaheading2"/>
        <w:rPr>
          <w:rFonts w:ascii="Tahoma" w:hAnsi="Tahoma" w:cs="Tahoma"/>
          <w:sz w:val="16"/>
          <w:szCs w:val="16"/>
        </w:rPr>
      </w:pPr>
      <w:r w:rsidRPr="00B27A43">
        <w:rPr>
          <w:rFonts w:ascii="Tahoma" w:hAnsi="Tahoma" w:cs="Tahoma"/>
          <w:sz w:val="16"/>
          <w:szCs w:val="16"/>
        </w:rPr>
        <w:t>Právní služby bude Deloitte Legal Objednateli poskytovat v souladu se svým chápáním správného výkladu práva a současné právní praxe.</w:t>
      </w:r>
      <w:r w:rsidR="00C46460" w:rsidRPr="00B27A43">
        <w:rPr>
          <w:rFonts w:ascii="Tahoma" w:hAnsi="Tahoma" w:cs="Tahoma"/>
          <w:sz w:val="16"/>
          <w:szCs w:val="16"/>
        </w:rPr>
        <w:t xml:space="preserve"> Dle právních předpisů upravujících výkon advokacie není Deloitte Legal oprávněn</w:t>
      </w:r>
      <w:r w:rsidR="00EC0880" w:rsidRPr="00B27A43">
        <w:rPr>
          <w:rFonts w:ascii="Tahoma" w:hAnsi="Tahoma" w:cs="Tahoma"/>
          <w:sz w:val="16"/>
          <w:szCs w:val="16"/>
        </w:rPr>
        <w:t>a</w:t>
      </w:r>
      <w:r w:rsidR="00C46460" w:rsidRPr="00B27A43">
        <w:rPr>
          <w:rFonts w:ascii="Tahoma" w:hAnsi="Tahoma" w:cs="Tahoma"/>
          <w:sz w:val="16"/>
          <w:szCs w:val="16"/>
        </w:rPr>
        <w:t xml:space="preserve"> bez souhlasu Objednatele ověřovat pravdivost nebo úplnost skutkových informací, které Objednatel sdělí Deloitte Legal</w:t>
      </w:r>
      <w:r w:rsidRPr="00B27A43">
        <w:rPr>
          <w:rFonts w:ascii="Tahoma" w:hAnsi="Tahoma" w:cs="Tahoma"/>
          <w:sz w:val="16"/>
          <w:szCs w:val="16"/>
        </w:rPr>
        <w:t xml:space="preserve"> </w:t>
      </w:r>
      <w:r w:rsidR="00C46460" w:rsidRPr="00B27A43">
        <w:rPr>
          <w:rFonts w:ascii="Tahoma" w:hAnsi="Tahoma" w:cs="Tahoma"/>
          <w:sz w:val="16"/>
          <w:szCs w:val="16"/>
        </w:rPr>
        <w:t>p</w:t>
      </w:r>
      <w:r w:rsidRPr="00B27A43">
        <w:rPr>
          <w:rFonts w:ascii="Tahoma" w:hAnsi="Tahoma" w:cs="Tahoma"/>
          <w:sz w:val="16"/>
          <w:szCs w:val="16"/>
        </w:rPr>
        <w:t>ři poskytování</w:t>
      </w:r>
      <w:r w:rsidR="00C46460" w:rsidRPr="00B27A43">
        <w:rPr>
          <w:rFonts w:ascii="Tahoma" w:hAnsi="Tahoma" w:cs="Tahoma"/>
          <w:sz w:val="16"/>
          <w:szCs w:val="16"/>
        </w:rPr>
        <w:t xml:space="preserve"> právních služeb, proto</w:t>
      </w:r>
      <w:r w:rsidRPr="00B27A43">
        <w:rPr>
          <w:rFonts w:ascii="Tahoma" w:hAnsi="Tahoma" w:cs="Tahoma"/>
          <w:sz w:val="16"/>
          <w:szCs w:val="16"/>
        </w:rPr>
        <w:t xml:space="preserve"> bude Deloitte Legal spoléhat na správnost a úplnost informací a dokumentů, které </w:t>
      </w:r>
      <w:r w:rsidR="00C46460" w:rsidRPr="00B27A43">
        <w:rPr>
          <w:rFonts w:ascii="Tahoma" w:hAnsi="Tahoma" w:cs="Tahoma"/>
          <w:sz w:val="16"/>
          <w:szCs w:val="16"/>
        </w:rPr>
        <w:t xml:space="preserve">od Objednatele </w:t>
      </w:r>
      <w:r w:rsidRPr="00B27A43">
        <w:rPr>
          <w:rFonts w:ascii="Tahoma" w:hAnsi="Tahoma" w:cs="Tahoma"/>
          <w:sz w:val="16"/>
          <w:szCs w:val="16"/>
        </w:rPr>
        <w:t>obdrží</w:t>
      </w:r>
      <w:r w:rsidR="00C46460" w:rsidRPr="00B27A43">
        <w:rPr>
          <w:rFonts w:ascii="Tahoma" w:hAnsi="Tahoma" w:cs="Tahoma"/>
          <w:sz w:val="16"/>
          <w:szCs w:val="16"/>
        </w:rPr>
        <w:t>.</w:t>
      </w:r>
      <w:r w:rsidRPr="00B27A43">
        <w:rPr>
          <w:rFonts w:ascii="Tahoma" w:hAnsi="Tahoma" w:cs="Tahoma"/>
          <w:sz w:val="16"/>
          <w:szCs w:val="16"/>
        </w:rPr>
        <w:t xml:space="preserve"> </w:t>
      </w:r>
      <w:r w:rsidR="00C46460" w:rsidRPr="00B27A43">
        <w:rPr>
          <w:rFonts w:ascii="Tahoma" w:hAnsi="Tahoma" w:cs="Tahoma"/>
          <w:sz w:val="16"/>
          <w:szCs w:val="16"/>
        </w:rPr>
        <w:t>Pokud bude Deloitte Legal zastupovat Objednatele v soudním, rozhodčím či správním řízení, má Objednatel povinnost sdělit Deloitte Legal jemu známé informace o možnosti, že by vůči předloženým důkazům mohlo být namítnuto, že jsou padělané anebo pozměněné, a pro takový případ s Deloitte Legal projednat vhodný postup; bez tohoto upozornění Deloitte Legal neodpovídá za věcnou správnost a autentičnost důkazů,</w:t>
      </w:r>
      <w:r w:rsidR="00EC0880" w:rsidRPr="00B27A43">
        <w:rPr>
          <w:rFonts w:ascii="Tahoma" w:hAnsi="Tahoma" w:cs="Tahoma"/>
          <w:sz w:val="16"/>
          <w:szCs w:val="16"/>
        </w:rPr>
        <w:t xml:space="preserve"> které </w:t>
      </w:r>
      <w:r w:rsidR="002C3E31" w:rsidRPr="00B27A43">
        <w:rPr>
          <w:rFonts w:ascii="Tahoma" w:hAnsi="Tahoma" w:cs="Tahoma"/>
          <w:sz w:val="16"/>
          <w:szCs w:val="16"/>
        </w:rPr>
        <w:t>po</w:t>
      </w:r>
      <w:r w:rsidR="00EC0880" w:rsidRPr="00B27A43">
        <w:rPr>
          <w:rFonts w:ascii="Tahoma" w:hAnsi="Tahoma" w:cs="Tahoma"/>
          <w:sz w:val="16"/>
          <w:szCs w:val="16"/>
        </w:rPr>
        <w:t xml:space="preserve">dle pokynů Objednatele předloží. </w:t>
      </w:r>
      <w:r w:rsidR="0043518E" w:rsidRPr="00B27A43">
        <w:rPr>
          <w:rFonts w:ascii="Tahoma" w:hAnsi="Tahoma" w:cs="Tahoma"/>
          <w:sz w:val="16"/>
          <w:szCs w:val="16"/>
        </w:rPr>
        <w:t>V souladu s doporučením České advokátní komory</w:t>
      </w:r>
      <w:r w:rsidR="0048651C" w:rsidRPr="00B27A43">
        <w:rPr>
          <w:rFonts w:ascii="Tahoma" w:hAnsi="Tahoma" w:cs="Tahoma"/>
          <w:sz w:val="16"/>
          <w:szCs w:val="16"/>
        </w:rPr>
        <w:t xml:space="preserve"> Deloitte Legal upozorňuje Objednatele</w:t>
      </w:r>
      <w:r w:rsidR="00EC0880" w:rsidRPr="00B27A43">
        <w:rPr>
          <w:rFonts w:ascii="Tahoma" w:hAnsi="Tahoma" w:cs="Tahoma"/>
          <w:sz w:val="16"/>
          <w:szCs w:val="16"/>
        </w:rPr>
        <w:t>, že předložením padělaného nebo pozměněného důkazního prostředku v soudním či obdobném řízení se může dopustit trestného činu maření spravedlnosti.</w:t>
      </w:r>
      <w:r w:rsidR="00EC0880" w:rsidRPr="00B27A43">
        <w:rPr>
          <w:rStyle w:val="Znakapoznpodarou"/>
          <w:rFonts w:ascii="Tahoma" w:hAnsi="Tahoma" w:cs="Tahoma"/>
          <w:sz w:val="16"/>
          <w:szCs w:val="16"/>
        </w:rPr>
        <w:footnoteReference w:id="2"/>
      </w:r>
      <w:r w:rsidR="00C46460" w:rsidRPr="00B27A43">
        <w:rPr>
          <w:rFonts w:ascii="Tahoma" w:hAnsi="Tahoma" w:cs="Tahoma"/>
          <w:sz w:val="16"/>
          <w:szCs w:val="16"/>
        </w:rPr>
        <w:t xml:space="preserve"> </w:t>
      </w:r>
      <w:r w:rsidRPr="00B27A43">
        <w:rPr>
          <w:rFonts w:ascii="Tahoma" w:hAnsi="Tahoma" w:cs="Tahoma"/>
          <w:sz w:val="16"/>
          <w:szCs w:val="16"/>
        </w:rPr>
        <w:t>Objednatel bude odpovídat za oznámení všech změn týkajících se již poskytnutých informací a dokumentů.</w:t>
      </w:r>
    </w:p>
    <w:p w14:paraId="70E797F9" w14:textId="77777777"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V souladu s právní úpravou advokacie nebude Deloitte Legal vázána těmi příkazy Objednatele, které budou protiprávní nebo v rozporu se stavovským předpisem České advokátní komory.</w:t>
      </w:r>
    </w:p>
    <w:p w14:paraId="5141786A" w14:textId="77777777" w:rsidR="00B27A43" w:rsidRDefault="00B27A43" w:rsidP="00B27A43">
      <w:pPr>
        <w:pStyle w:val="smlouvaheading1"/>
        <w:numPr>
          <w:ilvl w:val="0"/>
          <w:numId w:val="0"/>
        </w:numPr>
        <w:ind w:left="360"/>
        <w:rPr>
          <w:rFonts w:ascii="Tahoma" w:hAnsi="Tahoma" w:cs="Tahoma"/>
          <w:sz w:val="16"/>
          <w:szCs w:val="16"/>
        </w:rPr>
      </w:pPr>
    </w:p>
    <w:p w14:paraId="7FBE29DC" w14:textId="1A0F1FBE" w:rsidR="00147596" w:rsidRPr="00B27A43" w:rsidRDefault="00147596" w:rsidP="00147596">
      <w:pPr>
        <w:pStyle w:val="smlouvaheading1"/>
        <w:rPr>
          <w:rFonts w:ascii="Tahoma" w:hAnsi="Tahoma" w:cs="Tahoma"/>
          <w:sz w:val="16"/>
          <w:szCs w:val="16"/>
        </w:rPr>
      </w:pPr>
      <w:r w:rsidRPr="00B27A43">
        <w:rPr>
          <w:rFonts w:ascii="Tahoma" w:hAnsi="Tahoma" w:cs="Tahoma"/>
          <w:sz w:val="16"/>
          <w:szCs w:val="16"/>
        </w:rPr>
        <w:lastRenderedPageBreak/>
        <w:t>Omezení odpovědnosti</w:t>
      </w:r>
    </w:p>
    <w:p w14:paraId="3D58C73F" w14:textId="37FD4144"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 xml:space="preserve">Při dodržení ustanovení zákona o advokacii a dalších právních předpisů odpovědnost Deloitte Legal za veškerou majetkovou a nemajetkovou újmu (ať již např. za skutečnou škodu, ušlý zisk či vynaložené náklady v souvislosti s poskytovanými službami) nepřesáhne částku odpovídající pětinásobku fakturované odměny za příslušnou službu, nebude však nikdy vyšší než </w:t>
      </w:r>
      <w:r w:rsidR="000C048E" w:rsidRPr="00B27A43">
        <w:rPr>
          <w:rFonts w:ascii="Tahoma" w:hAnsi="Tahoma" w:cs="Tahoma"/>
          <w:sz w:val="16"/>
          <w:szCs w:val="16"/>
        </w:rPr>
        <w:t>10</w:t>
      </w:r>
      <w:r w:rsidR="00AB68B0" w:rsidRPr="00B27A43">
        <w:rPr>
          <w:rFonts w:ascii="Tahoma" w:hAnsi="Tahoma" w:cs="Tahoma"/>
          <w:sz w:val="16"/>
          <w:szCs w:val="16"/>
        </w:rPr>
        <w:t> 000 000</w:t>
      </w:r>
      <w:r w:rsidR="000C048E" w:rsidRPr="00B27A43">
        <w:rPr>
          <w:rFonts w:ascii="Tahoma" w:hAnsi="Tahoma" w:cs="Tahoma"/>
          <w:sz w:val="16"/>
          <w:szCs w:val="16"/>
        </w:rPr>
        <w:t xml:space="preserve"> Kč</w:t>
      </w:r>
      <w:r w:rsidRPr="00B27A43">
        <w:rPr>
          <w:rFonts w:ascii="Tahoma" w:hAnsi="Tahoma" w:cs="Tahoma"/>
          <w:sz w:val="16"/>
          <w:szCs w:val="16"/>
        </w:rPr>
        <w:t>. Objednatel souhlasí, že odměna Deloitte Legal byla stanovena s ohledem na omezení odpovědnosti dle ustanovení předchozí věty.</w:t>
      </w:r>
    </w:p>
    <w:p w14:paraId="11E08C23" w14:textId="09BDAEE4"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Jakýkoliv nárok založený na této smlouvě musí být vznesen vůči Deloitte Legal, tzn. nikoliv vůči jejím společníkům, advokátům, zaměstnancům a spolupracujícím osobám či jiným členům Deloitte. V této souvislosti Objednatel souhlasí, že, s výjimkou Deloitte Legal, členové Deloitte vůči Objednateli nenesou jakoukoliv odpovědnost za služby, které jsou nebo budou poskytovány dle této smlouvy. Proto Objednatel souhlasí, že žádný z členů Deloitte (vyjma Deloitte Legal) vůči němu nemá jakýkoli závazek, že nevznese žádný nárok a nezahájí soudní, rozhodčí či jiné obdobné řízení proti jakémukoli členovi Deloitte (vyjma Deloitte Legal) v souvislosti s touto smlouvou.</w:t>
      </w:r>
    </w:p>
    <w:p w14:paraId="6E6CE2CB" w14:textId="08D311C6"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Objednatel se zavazuje vyvinout veškeré úsilí k tomu, aby nebyly Deloitte Legal  ani jinému členu Deloitte způsobeny škody.</w:t>
      </w:r>
    </w:p>
    <w:p w14:paraId="62457BE8" w14:textId="77777777" w:rsidR="00147596" w:rsidRPr="00B27A43" w:rsidRDefault="00147596" w:rsidP="00B27A43">
      <w:pPr>
        <w:pStyle w:val="smlouvaheading1"/>
        <w:ind w:left="709" w:hanging="709"/>
        <w:rPr>
          <w:rFonts w:ascii="Tahoma" w:hAnsi="Tahoma" w:cs="Tahoma"/>
          <w:sz w:val="16"/>
          <w:szCs w:val="16"/>
        </w:rPr>
      </w:pPr>
      <w:r w:rsidRPr="00B27A43">
        <w:rPr>
          <w:rFonts w:ascii="Tahoma" w:hAnsi="Tahoma" w:cs="Tahoma"/>
          <w:sz w:val="16"/>
          <w:szCs w:val="16"/>
        </w:rPr>
        <w:t>Právní úprava proti legalizaci výnosů z trestné činnosti</w:t>
      </w:r>
    </w:p>
    <w:p w14:paraId="1EAF5E5B" w14:textId="77777777"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V souladu s platnou právní úpravou proti legalizaci výnosů z trestné činnosti (zejména zákonem č. 253/2008 Sb., o některých opatřeních proti legalizaci výnosů z trestné činnosti a financování terorismu, v</w:t>
      </w:r>
      <w:r w:rsidR="006E785A" w:rsidRPr="00B27A43">
        <w:rPr>
          <w:rFonts w:ascii="Tahoma" w:hAnsi="Tahoma" w:cs="Tahoma"/>
          <w:sz w:val="16"/>
          <w:szCs w:val="16"/>
        </w:rPr>
        <w:t>e</w:t>
      </w:r>
      <w:r w:rsidRPr="00B27A43">
        <w:rPr>
          <w:rFonts w:ascii="Tahoma" w:hAnsi="Tahoma" w:cs="Tahoma"/>
          <w:sz w:val="16"/>
          <w:szCs w:val="16"/>
        </w:rPr>
        <w:t> znění</w:t>
      </w:r>
      <w:r w:rsidR="006E785A" w:rsidRPr="00B27A43">
        <w:rPr>
          <w:rFonts w:ascii="Tahoma" w:hAnsi="Tahoma" w:cs="Tahoma"/>
          <w:sz w:val="16"/>
          <w:szCs w:val="16"/>
        </w:rPr>
        <w:t xml:space="preserve"> pozdějších předpisů</w:t>
      </w:r>
      <w:r w:rsidRPr="00B27A43">
        <w:rPr>
          <w:rFonts w:ascii="Tahoma" w:hAnsi="Tahoma" w:cs="Tahoma"/>
          <w:sz w:val="16"/>
          <w:szCs w:val="16"/>
        </w:rPr>
        <w:t>) může být Deloitte Legal povinna identifikovat zástupce a statutární orgán Objednatele. V takovém případě Deloitte Legal požádá Objednatele o spolupráci při plnění této zákonné povinnosti vyplněním formuláře poskytnutého ze strany Deloitte Legal Objednateli a potvrzením správnosti vložených dat připojením podpisu statutárního orgánu nebo oprávněného zástupce.</w:t>
      </w:r>
    </w:p>
    <w:p w14:paraId="48C39230" w14:textId="77777777" w:rsidR="00147596" w:rsidRPr="00B27A43" w:rsidRDefault="00147596" w:rsidP="00B27A43">
      <w:pPr>
        <w:pStyle w:val="smlouvaheading1"/>
        <w:ind w:left="709" w:hanging="709"/>
        <w:rPr>
          <w:rFonts w:ascii="Tahoma" w:hAnsi="Tahoma" w:cs="Tahoma"/>
          <w:sz w:val="16"/>
          <w:szCs w:val="16"/>
        </w:rPr>
      </w:pPr>
      <w:r w:rsidRPr="00B27A43">
        <w:rPr>
          <w:rFonts w:ascii="Tahoma" w:hAnsi="Tahoma" w:cs="Tahoma"/>
          <w:sz w:val="16"/>
          <w:szCs w:val="16"/>
        </w:rPr>
        <w:t>Ukončení smluvního vztahu</w:t>
      </w:r>
    </w:p>
    <w:p w14:paraId="11CC2012" w14:textId="363D41B5"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 xml:space="preserve">Smluvní vztah vzniklý na základě této smlouvy bude skončen </w:t>
      </w:r>
      <w:r w:rsidR="005E5E3B" w:rsidRPr="00B27A43">
        <w:rPr>
          <w:rFonts w:ascii="Tahoma" w:hAnsi="Tahoma" w:cs="Tahoma"/>
          <w:sz w:val="16"/>
          <w:szCs w:val="16"/>
        </w:rPr>
        <w:t xml:space="preserve">splněním </w:t>
      </w:r>
      <w:r w:rsidR="00F24393" w:rsidRPr="00B27A43">
        <w:rPr>
          <w:rFonts w:ascii="Tahoma" w:hAnsi="Tahoma" w:cs="Tahoma"/>
          <w:sz w:val="16"/>
          <w:szCs w:val="16"/>
        </w:rPr>
        <w:t>všech povinností vyplývajících z této smlouvy oběma Smluvními stranami</w:t>
      </w:r>
      <w:r w:rsidR="005E5E3B" w:rsidRPr="00B27A43">
        <w:rPr>
          <w:rFonts w:ascii="Tahoma" w:hAnsi="Tahoma" w:cs="Tahoma"/>
          <w:sz w:val="16"/>
          <w:szCs w:val="16"/>
        </w:rPr>
        <w:t xml:space="preserve">, </w:t>
      </w:r>
      <w:r w:rsidRPr="00B27A43">
        <w:rPr>
          <w:rFonts w:ascii="Tahoma" w:hAnsi="Tahoma" w:cs="Tahoma"/>
          <w:sz w:val="16"/>
          <w:szCs w:val="16"/>
        </w:rPr>
        <w:t>dohodou či doručením písemné výpovědi bez výpovědní doby kteroukoliv ze Smluvních stran druhé Smluvní straně. Pokud neinstruuje Objednatel Deloitte Legal jinak, bude Deloitte Legal (v souladu s právní úpravou advokacie) činit veškeré neodkladné úkony tak, aby Objednatel neutrpěl na svých právech či oprávněných zájmech újmu, po dobu 15 dní poté, co smluvní vztah založený touto smlouvou zanikl</w:t>
      </w:r>
      <w:r w:rsidR="00EE389F" w:rsidRPr="00B27A43">
        <w:rPr>
          <w:rFonts w:ascii="Tahoma" w:hAnsi="Tahoma" w:cs="Tahoma"/>
          <w:sz w:val="16"/>
          <w:szCs w:val="16"/>
        </w:rPr>
        <w:t xml:space="preserve"> jinak než splněním</w:t>
      </w:r>
      <w:r w:rsidR="00F24393" w:rsidRPr="00B27A43">
        <w:rPr>
          <w:rFonts w:ascii="Tahoma" w:hAnsi="Tahoma" w:cs="Tahoma"/>
          <w:sz w:val="16"/>
          <w:szCs w:val="16"/>
        </w:rPr>
        <w:t xml:space="preserve"> všech povinností vyplývajících z této Smlouvy oběma Smluvními stranami</w:t>
      </w:r>
      <w:r w:rsidRPr="00B27A43">
        <w:rPr>
          <w:rFonts w:ascii="Tahoma" w:hAnsi="Tahoma" w:cs="Tahoma"/>
          <w:sz w:val="16"/>
          <w:szCs w:val="16"/>
        </w:rPr>
        <w:t>.</w:t>
      </w:r>
    </w:p>
    <w:p w14:paraId="5EF703D7" w14:textId="77777777"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 xml:space="preserve">V případě skončení smluvního vztahu Objednatel uhradí smluvní odměnu a veškeré výdaje vzniklé v souvislosti s poskytováním služeb na základě této smlouvy.   </w:t>
      </w:r>
    </w:p>
    <w:p w14:paraId="455B3CE0" w14:textId="77777777"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Ustanovení týkající se důvěrnosti a mlčenlivosti, odpovědnosti a rozhodného práva a soudní pravomoci zůstávají v účinnosti bez ohledu na ukončení této smlouvy či skončení poskytování služeb.</w:t>
      </w:r>
    </w:p>
    <w:p w14:paraId="583B3B2F" w14:textId="77777777" w:rsidR="00147596" w:rsidRPr="00B27A43" w:rsidRDefault="00147596" w:rsidP="00FE3B66">
      <w:pPr>
        <w:pStyle w:val="smlouvaheading1"/>
        <w:ind w:left="709" w:hanging="709"/>
        <w:rPr>
          <w:rFonts w:ascii="Tahoma" w:hAnsi="Tahoma" w:cs="Tahoma"/>
          <w:sz w:val="16"/>
          <w:szCs w:val="16"/>
        </w:rPr>
      </w:pPr>
      <w:r w:rsidRPr="00B27A43">
        <w:rPr>
          <w:rFonts w:ascii="Tahoma" w:hAnsi="Tahoma" w:cs="Tahoma"/>
          <w:sz w:val="16"/>
          <w:szCs w:val="16"/>
        </w:rPr>
        <w:t>Rozhodné právo a soudní pravomoc</w:t>
      </w:r>
    </w:p>
    <w:p w14:paraId="735A63CC" w14:textId="77777777"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 xml:space="preserve">Smluvní vztah založený na základě této smlouvy se bude řídit českým právem. </w:t>
      </w:r>
    </w:p>
    <w:p w14:paraId="6DB36E43" w14:textId="77777777"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Jakýkoliv spor vzniklý v souvislosti s touto smlouvou a/nebo dalšími souvisejícími dohodami bude spadat do soudní pravomoci českého soudu místně příslušného dle sídla Deloitte Legal.</w:t>
      </w:r>
    </w:p>
    <w:p w14:paraId="297BEEE4" w14:textId="02CB0069" w:rsidR="00AD5721" w:rsidRPr="00B27A43" w:rsidRDefault="00AD5721" w:rsidP="00147596">
      <w:pPr>
        <w:pStyle w:val="smlouvaheading1"/>
        <w:rPr>
          <w:rFonts w:ascii="Tahoma" w:hAnsi="Tahoma" w:cs="Tahoma"/>
          <w:sz w:val="16"/>
          <w:szCs w:val="16"/>
        </w:rPr>
      </w:pPr>
      <w:r w:rsidRPr="00B27A43">
        <w:rPr>
          <w:rFonts w:ascii="Tahoma" w:hAnsi="Tahoma" w:cs="Tahoma"/>
          <w:sz w:val="16"/>
          <w:szCs w:val="16"/>
        </w:rPr>
        <w:t>sankce</w:t>
      </w:r>
    </w:p>
    <w:p w14:paraId="1F1A762A" w14:textId="76B71502" w:rsidR="00862ED2" w:rsidRPr="00B27A43" w:rsidRDefault="00862ED2" w:rsidP="00862ED2">
      <w:pPr>
        <w:pStyle w:val="smlouvaheading2"/>
        <w:rPr>
          <w:rFonts w:ascii="Tahoma" w:hAnsi="Tahoma" w:cs="Tahoma"/>
          <w:sz w:val="16"/>
          <w:szCs w:val="16"/>
        </w:rPr>
      </w:pPr>
      <w:r w:rsidRPr="00B27A43">
        <w:rPr>
          <w:rFonts w:ascii="Tahoma" w:hAnsi="Tahoma" w:cs="Tahoma"/>
          <w:sz w:val="16"/>
          <w:szCs w:val="16"/>
        </w:rPr>
        <w:t>V případě nedodržení povinnosti stanovené v čl</w:t>
      </w:r>
      <w:r w:rsidR="00E66CC8" w:rsidRPr="00B27A43">
        <w:rPr>
          <w:rFonts w:ascii="Tahoma" w:hAnsi="Tahoma" w:cs="Tahoma"/>
          <w:sz w:val="16"/>
          <w:szCs w:val="16"/>
        </w:rPr>
        <w:t>ánku</w:t>
      </w:r>
      <w:r w:rsidRPr="00B27A43">
        <w:rPr>
          <w:rFonts w:ascii="Tahoma" w:hAnsi="Tahoma" w:cs="Tahoma"/>
          <w:sz w:val="16"/>
          <w:szCs w:val="16"/>
        </w:rPr>
        <w:t xml:space="preserve"> 13.2 smlouvy má Objednatel právo účtovat</w:t>
      </w:r>
      <w:r w:rsidR="00E2529A" w:rsidRPr="00B27A43">
        <w:rPr>
          <w:rFonts w:ascii="Tahoma" w:hAnsi="Tahoma" w:cs="Tahoma"/>
          <w:sz w:val="16"/>
          <w:szCs w:val="16"/>
        </w:rPr>
        <w:t xml:space="preserve"> Deloitte Legal</w:t>
      </w:r>
      <w:r w:rsidRPr="00B27A43">
        <w:rPr>
          <w:rFonts w:ascii="Tahoma" w:hAnsi="Tahoma" w:cs="Tahoma"/>
          <w:sz w:val="16"/>
          <w:szCs w:val="16"/>
        </w:rPr>
        <w:t xml:space="preserve"> smluvní pokutu ve výši pohledávky, která byla postoupena v rozporu s touto smlouv</w:t>
      </w:r>
      <w:r w:rsidR="00E44646" w:rsidRPr="00B27A43">
        <w:rPr>
          <w:rFonts w:ascii="Tahoma" w:hAnsi="Tahoma" w:cs="Tahoma"/>
          <w:sz w:val="16"/>
          <w:szCs w:val="16"/>
        </w:rPr>
        <w:t>o</w:t>
      </w:r>
      <w:r w:rsidRPr="00B27A43">
        <w:rPr>
          <w:rFonts w:ascii="Tahoma" w:hAnsi="Tahoma" w:cs="Tahoma"/>
          <w:sz w:val="16"/>
          <w:szCs w:val="16"/>
        </w:rPr>
        <w:t xml:space="preserve">u. </w:t>
      </w:r>
    </w:p>
    <w:p w14:paraId="0C4EF7BE" w14:textId="77777777" w:rsidR="00E44646" w:rsidRPr="00B27A43" w:rsidRDefault="00C20D02" w:rsidP="002D5898">
      <w:pPr>
        <w:pStyle w:val="smlouvaheading2"/>
        <w:rPr>
          <w:rFonts w:ascii="Tahoma" w:hAnsi="Tahoma" w:cs="Tahoma"/>
          <w:sz w:val="16"/>
          <w:szCs w:val="16"/>
        </w:rPr>
      </w:pPr>
      <w:r w:rsidRPr="00B27A43">
        <w:rPr>
          <w:rFonts w:ascii="Tahoma" w:hAnsi="Tahoma" w:cs="Tahoma"/>
          <w:sz w:val="16"/>
          <w:szCs w:val="16"/>
        </w:rPr>
        <w:t>Smluvní pokuta bude vyúčtovaná samostatným daňovým dokladem a její splatnost činí 30 dní ode dne doručení daňového dokladu.</w:t>
      </w:r>
    </w:p>
    <w:p w14:paraId="291FE5F7" w14:textId="4B6A771E" w:rsidR="00C20D02" w:rsidRPr="00B27A43" w:rsidRDefault="00C12557" w:rsidP="002D5898">
      <w:pPr>
        <w:pStyle w:val="smlouvaheading2"/>
        <w:rPr>
          <w:rFonts w:ascii="Tahoma" w:hAnsi="Tahoma" w:cs="Tahoma"/>
          <w:sz w:val="16"/>
          <w:szCs w:val="16"/>
        </w:rPr>
      </w:pPr>
      <w:r w:rsidRPr="00B27A43">
        <w:rPr>
          <w:rFonts w:ascii="Tahoma" w:hAnsi="Tahoma" w:cs="Tahoma"/>
          <w:sz w:val="16"/>
          <w:szCs w:val="16"/>
        </w:rPr>
        <w:t>Objednatel m</w:t>
      </w:r>
      <w:r w:rsidR="00E44646" w:rsidRPr="00B27A43">
        <w:rPr>
          <w:rFonts w:ascii="Tahoma" w:hAnsi="Tahoma" w:cs="Tahoma"/>
          <w:sz w:val="16"/>
          <w:szCs w:val="16"/>
        </w:rPr>
        <w:t xml:space="preserve">á právo na náhradu škody způsobené porušením </w:t>
      </w:r>
      <w:r w:rsidR="00555434" w:rsidRPr="00B27A43">
        <w:rPr>
          <w:rFonts w:ascii="Tahoma" w:hAnsi="Tahoma" w:cs="Tahoma"/>
          <w:sz w:val="16"/>
          <w:szCs w:val="16"/>
        </w:rPr>
        <w:t>povinnosti stanovené v článku 13.2 smlouvy</w:t>
      </w:r>
      <w:r w:rsidR="00780E64" w:rsidRPr="00B27A43">
        <w:rPr>
          <w:rFonts w:ascii="Tahoma" w:hAnsi="Tahoma" w:cs="Tahoma"/>
          <w:sz w:val="16"/>
          <w:szCs w:val="16"/>
        </w:rPr>
        <w:t xml:space="preserve"> ze strany Deloitte Legal</w:t>
      </w:r>
      <w:r w:rsidR="00E44646" w:rsidRPr="00B27A43">
        <w:rPr>
          <w:rFonts w:ascii="Tahoma" w:hAnsi="Tahoma" w:cs="Tahoma"/>
          <w:sz w:val="16"/>
          <w:szCs w:val="16"/>
        </w:rPr>
        <w:t xml:space="preserve"> v</w:t>
      </w:r>
      <w:r w:rsidR="00F71037" w:rsidRPr="00B27A43">
        <w:rPr>
          <w:rFonts w:ascii="Tahoma" w:hAnsi="Tahoma" w:cs="Tahoma"/>
          <w:sz w:val="16"/>
          <w:szCs w:val="16"/>
        </w:rPr>
        <w:t>e</w:t>
      </w:r>
      <w:r w:rsidR="00E44646" w:rsidRPr="00B27A43">
        <w:rPr>
          <w:rFonts w:ascii="Tahoma" w:hAnsi="Tahoma" w:cs="Tahoma"/>
          <w:sz w:val="16"/>
          <w:szCs w:val="16"/>
        </w:rPr>
        <w:t xml:space="preserve"> výši </w:t>
      </w:r>
      <w:r w:rsidR="00371CFF" w:rsidRPr="00B27A43">
        <w:rPr>
          <w:rFonts w:ascii="Tahoma" w:hAnsi="Tahoma" w:cs="Tahoma"/>
          <w:sz w:val="16"/>
          <w:szCs w:val="16"/>
        </w:rPr>
        <w:t>přesahující</w:t>
      </w:r>
      <w:r w:rsidR="00E44646" w:rsidRPr="00B27A43">
        <w:rPr>
          <w:rFonts w:ascii="Tahoma" w:hAnsi="Tahoma" w:cs="Tahoma"/>
          <w:sz w:val="16"/>
          <w:szCs w:val="16"/>
        </w:rPr>
        <w:t xml:space="preserve"> smluvn</w:t>
      </w:r>
      <w:r w:rsidR="00371CFF" w:rsidRPr="00B27A43">
        <w:rPr>
          <w:rFonts w:ascii="Tahoma" w:hAnsi="Tahoma" w:cs="Tahoma"/>
          <w:sz w:val="16"/>
          <w:szCs w:val="16"/>
        </w:rPr>
        <w:t>í</w:t>
      </w:r>
      <w:r w:rsidR="00E44646" w:rsidRPr="00B27A43">
        <w:rPr>
          <w:rFonts w:ascii="Tahoma" w:hAnsi="Tahoma" w:cs="Tahoma"/>
          <w:sz w:val="16"/>
          <w:szCs w:val="16"/>
        </w:rPr>
        <w:t xml:space="preserve"> pokut</w:t>
      </w:r>
      <w:r w:rsidR="00371CFF" w:rsidRPr="00B27A43">
        <w:rPr>
          <w:rFonts w:ascii="Tahoma" w:hAnsi="Tahoma" w:cs="Tahoma"/>
          <w:sz w:val="16"/>
          <w:szCs w:val="16"/>
        </w:rPr>
        <w:t>u</w:t>
      </w:r>
      <w:r w:rsidRPr="00B27A43">
        <w:rPr>
          <w:rFonts w:ascii="Tahoma" w:hAnsi="Tahoma" w:cs="Tahoma"/>
          <w:sz w:val="16"/>
          <w:szCs w:val="16"/>
        </w:rPr>
        <w:t xml:space="preserve"> uhrazenou ze strany Deloitte Legal</w:t>
      </w:r>
      <w:r w:rsidR="00555434" w:rsidRPr="00B27A43">
        <w:rPr>
          <w:rFonts w:ascii="Tahoma" w:hAnsi="Tahoma" w:cs="Tahoma"/>
          <w:sz w:val="16"/>
          <w:szCs w:val="16"/>
        </w:rPr>
        <w:t xml:space="preserve"> za porušení této povinnosti dle článku 12.1 této smlouvy</w:t>
      </w:r>
      <w:r w:rsidR="00E44646" w:rsidRPr="00B27A43">
        <w:rPr>
          <w:rFonts w:ascii="Tahoma" w:hAnsi="Tahoma" w:cs="Tahoma"/>
          <w:sz w:val="16"/>
          <w:szCs w:val="16"/>
        </w:rPr>
        <w:t>.</w:t>
      </w:r>
      <w:r w:rsidR="00C20D02" w:rsidRPr="00B27A43">
        <w:rPr>
          <w:rFonts w:ascii="Tahoma" w:hAnsi="Tahoma" w:cs="Tahoma"/>
          <w:sz w:val="16"/>
          <w:szCs w:val="16"/>
        </w:rPr>
        <w:t xml:space="preserve"> </w:t>
      </w:r>
    </w:p>
    <w:p w14:paraId="1799E293" w14:textId="11901A01" w:rsidR="00147596" w:rsidRPr="00B27A43" w:rsidRDefault="00147596" w:rsidP="00147596">
      <w:pPr>
        <w:pStyle w:val="smlouvaheading1"/>
        <w:rPr>
          <w:rFonts w:ascii="Tahoma" w:hAnsi="Tahoma" w:cs="Tahoma"/>
          <w:sz w:val="16"/>
          <w:szCs w:val="16"/>
        </w:rPr>
      </w:pPr>
      <w:r w:rsidRPr="00B27A43">
        <w:rPr>
          <w:rFonts w:ascii="Tahoma" w:hAnsi="Tahoma" w:cs="Tahoma"/>
          <w:sz w:val="16"/>
          <w:szCs w:val="16"/>
        </w:rPr>
        <w:t>Závěrečná ustanovení</w:t>
      </w:r>
    </w:p>
    <w:p w14:paraId="0595D9FA" w14:textId="61112644"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Tato smlouva se bude na poskytování služeb vztahovat s účinností od</w:t>
      </w:r>
      <w:r w:rsidR="00AD5721" w:rsidRPr="00B27A43">
        <w:rPr>
          <w:rFonts w:ascii="Tahoma" w:hAnsi="Tahoma" w:cs="Tahoma"/>
          <w:sz w:val="16"/>
          <w:szCs w:val="16"/>
        </w:rPr>
        <w:t>e dne jejího uveřejnění v registru smluv</w:t>
      </w:r>
      <w:r w:rsidR="00923233" w:rsidRPr="00B27A43">
        <w:rPr>
          <w:rFonts w:ascii="Tahoma" w:hAnsi="Tahoma" w:cs="Tahoma"/>
          <w:sz w:val="16"/>
          <w:szCs w:val="16"/>
        </w:rPr>
        <w:t>.</w:t>
      </w:r>
      <w:r w:rsidRPr="00B27A43">
        <w:rPr>
          <w:rFonts w:ascii="Tahoma" w:hAnsi="Tahoma" w:cs="Tahoma"/>
          <w:sz w:val="16"/>
          <w:szCs w:val="16"/>
        </w:rPr>
        <w:t xml:space="preserve"> </w:t>
      </w:r>
    </w:p>
    <w:p w14:paraId="4B963074" w14:textId="7BA4966C" w:rsidR="00AD5721" w:rsidRPr="00B27A43" w:rsidRDefault="007D701C" w:rsidP="002D5898">
      <w:pPr>
        <w:pStyle w:val="smlouvaheading2"/>
        <w:rPr>
          <w:rFonts w:ascii="Tahoma" w:hAnsi="Tahoma" w:cs="Tahoma"/>
          <w:sz w:val="16"/>
          <w:szCs w:val="16"/>
        </w:rPr>
      </w:pPr>
      <w:r w:rsidRPr="00B27A43">
        <w:rPr>
          <w:rFonts w:ascii="Tahoma" w:hAnsi="Tahoma" w:cs="Tahoma"/>
          <w:sz w:val="16"/>
          <w:szCs w:val="16"/>
        </w:rPr>
        <w:t>Smluvní strana</w:t>
      </w:r>
      <w:r w:rsidR="00AD5721" w:rsidRPr="00B27A43">
        <w:rPr>
          <w:rFonts w:ascii="Tahoma" w:hAnsi="Tahoma" w:cs="Tahoma"/>
          <w:sz w:val="16"/>
          <w:szCs w:val="16"/>
        </w:rPr>
        <w:t xml:space="preserve"> je oprávněn</w:t>
      </w:r>
      <w:r w:rsidRPr="00B27A43">
        <w:rPr>
          <w:rFonts w:ascii="Tahoma" w:hAnsi="Tahoma" w:cs="Tahoma"/>
          <w:sz w:val="16"/>
          <w:szCs w:val="16"/>
        </w:rPr>
        <w:t>a</w:t>
      </w:r>
      <w:r w:rsidR="00AD5721" w:rsidRPr="00B27A43">
        <w:rPr>
          <w:rFonts w:ascii="Tahoma" w:hAnsi="Tahoma" w:cs="Tahoma"/>
          <w:sz w:val="16"/>
          <w:szCs w:val="16"/>
        </w:rPr>
        <w:t xml:space="preserve"> postoupit pohledávku vyplývající z této smlouvy na třetí osobu pouze s předchozím písemným souhlasem </w:t>
      </w:r>
      <w:r w:rsidRPr="00B27A43">
        <w:rPr>
          <w:rFonts w:ascii="Tahoma" w:hAnsi="Tahoma" w:cs="Tahoma"/>
          <w:sz w:val="16"/>
          <w:szCs w:val="16"/>
        </w:rPr>
        <w:t>druhé Smluvní strany</w:t>
      </w:r>
      <w:r w:rsidR="00AD5721" w:rsidRPr="00B27A43">
        <w:rPr>
          <w:rFonts w:ascii="Tahoma" w:hAnsi="Tahoma" w:cs="Tahoma"/>
          <w:sz w:val="16"/>
          <w:szCs w:val="16"/>
        </w:rPr>
        <w:t>.</w:t>
      </w:r>
    </w:p>
    <w:p w14:paraId="60D8049D" w14:textId="0739E2C9"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 xml:space="preserve">Tato smlouva se bude vztahovat </w:t>
      </w:r>
      <w:r w:rsidR="00B27A43" w:rsidRPr="00B27A43">
        <w:rPr>
          <w:rFonts w:ascii="Tahoma" w:hAnsi="Tahoma" w:cs="Tahoma"/>
          <w:sz w:val="16"/>
          <w:szCs w:val="16"/>
        </w:rPr>
        <w:t>také</w:t>
      </w:r>
      <w:r w:rsidRPr="00B27A43">
        <w:rPr>
          <w:rFonts w:ascii="Tahoma" w:hAnsi="Tahoma" w:cs="Tahoma"/>
          <w:sz w:val="16"/>
          <w:szCs w:val="16"/>
        </w:rPr>
        <w:t xml:space="preserve"> na právní služby poskytované v souvislosti s výše uvedeným zadáním.</w:t>
      </w:r>
    </w:p>
    <w:p w14:paraId="5A35EF19" w14:textId="5DAA29BF"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lastRenderedPageBreak/>
        <w:t xml:space="preserve">Tato smlouva může být změněna nebo nahrazena pouze písemnou dohodou, při zachování možnosti změny rozsahu poskytovaných služeb a dalších specifikací formami stanovenými v této smlouvě. Přijetí této smlouvy s dodatkem nebo odchylkou se vylučuje. </w:t>
      </w:r>
    </w:p>
    <w:p w14:paraId="6304485A" w14:textId="61891DEC" w:rsidR="005E5E3B" w:rsidRPr="00B27A43" w:rsidRDefault="00AD5721" w:rsidP="002D5898">
      <w:pPr>
        <w:pStyle w:val="smlouvaheading2"/>
        <w:rPr>
          <w:rFonts w:ascii="Tahoma" w:hAnsi="Tahoma" w:cs="Tahoma"/>
          <w:sz w:val="16"/>
          <w:szCs w:val="16"/>
        </w:rPr>
      </w:pPr>
      <w:r w:rsidRPr="00B27A43">
        <w:rPr>
          <w:rFonts w:ascii="Tahoma" w:hAnsi="Tahoma" w:cs="Tahoma"/>
          <w:sz w:val="16"/>
          <w:szCs w:val="16"/>
        </w:rPr>
        <w:t>Deloitte Legal</w:t>
      </w:r>
      <w:r w:rsidR="005E5E3B" w:rsidRPr="00B27A43">
        <w:rPr>
          <w:rFonts w:ascii="Tahoma" w:hAnsi="Tahoma" w:cs="Tahoma"/>
          <w:sz w:val="16"/>
          <w:szCs w:val="16"/>
        </w:rPr>
        <w:t xml:space="preserve"> bere na vědomí, že </w:t>
      </w:r>
      <w:r w:rsidRPr="00B27A43">
        <w:rPr>
          <w:rFonts w:ascii="Tahoma" w:hAnsi="Tahoma" w:cs="Tahoma"/>
          <w:sz w:val="16"/>
          <w:szCs w:val="16"/>
        </w:rPr>
        <w:t>Objednatel</w:t>
      </w:r>
      <w:r w:rsidR="005E5E3B" w:rsidRPr="00B27A43">
        <w:rPr>
          <w:rFonts w:ascii="Tahoma" w:hAnsi="Tahoma" w:cs="Tahoma"/>
          <w:sz w:val="16"/>
          <w:szCs w:val="16"/>
        </w:rPr>
        <w:t xml:space="preserve"> je povinen dle zákona č. 340/2015 Sb., </w:t>
      </w:r>
      <w:r w:rsidR="002048B0" w:rsidRPr="00B27A43">
        <w:rPr>
          <w:rFonts w:ascii="Tahoma" w:hAnsi="Tahoma" w:cs="Tahoma"/>
          <w:iCs/>
          <w:sz w:val="16"/>
          <w:szCs w:val="16"/>
        </w:rPr>
        <w:t>o zvláštních podmínkách účinnosti některých smluv, uveřejňování těchto smluv a </w:t>
      </w:r>
      <w:r w:rsidR="005E5E3B" w:rsidRPr="00B27A43">
        <w:rPr>
          <w:rFonts w:ascii="Tahoma" w:hAnsi="Tahoma" w:cs="Tahoma"/>
          <w:sz w:val="16"/>
          <w:szCs w:val="16"/>
        </w:rPr>
        <w:t>o registru smluv</w:t>
      </w:r>
      <w:r w:rsidR="002048B0" w:rsidRPr="00B27A43">
        <w:rPr>
          <w:rFonts w:ascii="Tahoma" w:hAnsi="Tahoma" w:cs="Tahoma"/>
          <w:sz w:val="16"/>
          <w:szCs w:val="16"/>
        </w:rPr>
        <w:t xml:space="preserve"> (zákon o registru smluv), ve znění pozdějších předpisů,</w:t>
      </w:r>
      <w:r w:rsidR="005E5E3B" w:rsidRPr="00B27A43">
        <w:rPr>
          <w:rFonts w:ascii="Tahoma" w:hAnsi="Tahoma" w:cs="Tahoma"/>
          <w:sz w:val="16"/>
          <w:szCs w:val="16"/>
        </w:rPr>
        <w:t xml:space="preserve"> uveřejnit tuto smlouvu včetně </w:t>
      </w:r>
      <w:r w:rsidR="002048B0" w:rsidRPr="00B27A43">
        <w:rPr>
          <w:rFonts w:ascii="Tahoma" w:hAnsi="Tahoma" w:cs="Tahoma"/>
          <w:sz w:val="16"/>
          <w:szCs w:val="16"/>
        </w:rPr>
        <w:t xml:space="preserve">jejích </w:t>
      </w:r>
      <w:r w:rsidR="005E5E3B" w:rsidRPr="00B27A43">
        <w:rPr>
          <w:rFonts w:ascii="Tahoma" w:hAnsi="Tahoma" w:cs="Tahoma"/>
          <w:sz w:val="16"/>
          <w:szCs w:val="16"/>
        </w:rPr>
        <w:t xml:space="preserve">případných dodatků </w:t>
      </w:r>
      <w:r w:rsidR="002048B0" w:rsidRPr="00B27A43">
        <w:rPr>
          <w:rFonts w:ascii="Tahoma" w:hAnsi="Tahoma" w:cs="Tahoma"/>
          <w:sz w:val="16"/>
          <w:szCs w:val="16"/>
        </w:rPr>
        <w:t xml:space="preserve">tímto </w:t>
      </w:r>
      <w:r w:rsidR="005E5E3B" w:rsidRPr="00B27A43">
        <w:rPr>
          <w:rFonts w:ascii="Tahoma" w:hAnsi="Tahoma" w:cs="Tahoma"/>
          <w:sz w:val="16"/>
          <w:szCs w:val="16"/>
        </w:rPr>
        <w:t>zákonem stanoveným způsobem.</w:t>
      </w:r>
    </w:p>
    <w:p w14:paraId="622279C8" w14:textId="77777777" w:rsidR="00147596" w:rsidRPr="00B27A43" w:rsidRDefault="00147596" w:rsidP="00147596">
      <w:pPr>
        <w:pStyle w:val="smlouvaheading2"/>
        <w:rPr>
          <w:rFonts w:ascii="Tahoma" w:hAnsi="Tahoma" w:cs="Tahoma"/>
          <w:sz w:val="16"/>
          <w:szCs w:val="16"/>
        </w:rPr>
      </w:pPr>
      <w:r w:rsidRPr="00B27A43">
        <w:rPr>
          <w:rFonts w:ascii="Tahoma" w:hAnsi="Tahoma" w:cs="Tahoma"/>
          <w:sz w:val="16"/>
          <w:szCs w:val="16"/>
        </w:rPr>
        <w:t>Tato smlouva nahrazuje veškeré její případné předchozí verze a platí bez ohledu na obsah jakékoliv dřívější jiné nabídky či podobného dokumentu.</w:t>
      </w:r>
    </w:p>
    <w:p w14:paraId="5FA6D67B" w14:textId="77777777" w:rsidR="00147596" w:rsidRPr="00B27A43" w:rsidRDefault="00147596" w:rsidP="00147596">
      <w:pPr>
        <w:widowControl w:val="0"/>
        <w:rPr>
          <w:rFonts w:ascii="Tahoma" w:hAnsi="Tahoma" w:cs="Tahoma"/>
          <w:sz w:val="16"/>
          <w:szCs w:val="16"/>
          <w:lang w:val="cs-CZ"/>
        </w:rPr>
      </w:pPr>
    </w:p>
    <w:p w14:paraId="233C0101" w14:textId="77777777" w:rsidR="00B27A43" w:rsidRDefault="00B27A43" w:rsidP="00147596">
      <w:pPr>
        <w:widowControl w:val="0"/>
        <w:rPr>
          <w:rFonts w:ascii="Tahoma" w:hAnsi="Tahoma" w:cs="Tahoma"/>
          <w:sz w:val="16"/>
          <w:szCs w:val="16"/>
          <w:lang w:val="cs-CZ"/>
        </w:rPr>
      </w:pPr>
    </w:p>
    <w:p w14:paraId="1E7F0AF2" w14:textId="45352793" w:rsidR="00147596" w:rsidRPr="00B27A43" w:rsidRDefault="00147596" w:rsidP="00147596">
      <w:pPr>
        <w:widowControl w:val="0"/>
        <w:rPr>
          <w:rFonts w:ascii="Tahoma" w:hAnsi="Tahoma" w:cs="Tahoma"/>
          <w:sz w:val="16"/>
          <w:szCs w:val="16"/>
          <w:lang w:val="cs-CZ"/>
        </w:rPr>
      </w:pPr>
      <w:r w:rsidRPr="00B27A43">
        <w:rPr>
          <w:rFonts w:ascii="Tahoma" w:hAnsi="Tahoma" w:cs="Tahoma"/>
          <w:sz w:val="16"/>
          <w:szCs w:val="16"/>
          <w:lang w:val="cs-CZ"/>
        </w:rPr>
        <w:t xml:space="preserve">V Praze dne </w:t>
      </w:r>
    </w:p>
    <w:p w14:paraId="0AD3ACBA" w14:textId="77777777" w:rsidR="00147596" w:rsidRPr="00B27A43" w:rsidRDefault="00147596" w:rsidP="00147596">
      <w:pPr>
        <w:rPr>
          <w:rFonts w:ascii="Tahoma" w:hAnsi="Tahoma" w:cs="Tahoma"/>
          <w:sz w:val="16"/>
          <w:szCs w:val="16"/>
          <w:lang w:val="cs-CZ"/>
        </w:rPr>
      </w:pPr>
    </w:p>
    <w:p w14:paraId="759601A2" w14:textId="4891635E" w:rsidR="00147596" w:rsidRPr="00B27A43" w:rsidRDefault="00147596" w:rsidP="00147596">
      <w:pPr>
        <w:rPr>
          <w:rFonts w:ascii="Tahoma" w:hAnsi="Tahoma" w:cs="Tahoma"/>
          <w:b/>
          <w:sz w:val="16"/>
          <w:szCs w:val="16"/>
          <w:lang w:val="cs-CZ"/>
        </w:rPr>
      </w:pPr>
      <w:r w:rsidRPr="00B27A43">
        <w:rPr>
          <w:rFonts w:ascii="Tahoma" w:hAnsi="Tahoma" w:cs="Tahoma"/>
          <w:sz w:val="16"/>
          <w:szCs w:val="16"/>
          <w:lang w:val="cs-CZ"/>
        </w:rPr>
        <w:t>Za Deloitte Legal s.r.o., advokátní kancelář:</w:t>
      </w:r>
    </w:p>
    <w:p w14:paraId="16C9882F" w14:textId="77777777" w:rsidR="00147596" w:rsidRPr="00B27A43" w:rsidRDefault="00147596" w:rsidP="00147596">
      <w:pPr>
        <w:rPr>
          <w:rFonts w:ascii="Tahoma" w:hAnsi="Tahoma" w:cs="Tahoma"/>
          <w:sz w:val="16"/>
          <w:szCs w:val="16"/>
          <w:lang w:val="cs-CZ"/>
        </w:rPr>
      </w:pPr>
    </w:p>
    <w:p w14:paraId="4C7A2EF1" w14:textId="3625994A" w:rsidR="00147596" w:rsidRDefault="00147596" w:rsidP="00147596">
      <w:pPr>
        <w:rPr>
          <w:rFonts w:ascii="Tahoma" w:hAnsi="Tahoma" w:cs="Tahoma"/>
          <w:sz w:val="16"/>
          <w:szCs w:val="16"/>
          <w:lang w:val="cs-CZ"/>
        </w:rPr>
      </w:pPr>
    </w:p>
    <w:p w14:paraId="5B768F76" w14:textId="77777777" w:rsidR="00B27A43" w:rsidRPr="00B27A43" w:rsidRDefault="00B27A43" w:rsidP="00147596">
      <w:pPr>
        <w:rPr>
          <w:rFonts w:ascii="Tahoma" w:hAnsi="Tahoma" w:cs="Tahoma"/>
          <w:sz w:val="16"/>
          <w:szCs w:val="16"/>
          <w:lang w:val="cs-CZ"/>
        </w:rPr>
      </w:pPr>
    </w:p>
    <w:p w14:paraId="0667B26A" w14:textId="77777777" w:rsidR="00147596" w:rsidRPr="00B27A43" w:rsidRDefault="00147596" w:rsidP="00147596">
      <w:pPr>
        <w:rPr>
          <w:rFonts w:ascii="Tahoma" w:hAnsi="Tahoma" w:cs="Tahoma"/>
          <w:sz w:val="16"/>
          <w:szCs w:val="16"/>
          <w:lang w:val="cs-CZ"/>
        </w:rPr>
      </w:pPr>
      <w:r w:rsidRPr="00B27A43">
        <w:rPr>
          <w:rFonts w:ascii="Tahoma" w:hAnsi="Tahoma" w:cs="Tahoma"/>
          <w:sz w:val="16"/>
          <w:szCs w:val="16"/>
          <w:lang w:val="cs-CZ"/>
        </w:rPr>
        <w:t>______________________________</w:t>
      </w:r>
    </w:p>
    <w:p w14:paraId="53343E56" w14:textId="46DFA15D" w:rsidR="00B306E2" w:rsidRPr="00B27A43" w:rsidRDefault="00B306E2" w:rsidP="00147596">
      <w:pPr>
        <w:rPr>
          <w:rFonts w:ascii="Tahoma" w:hAnsi="Tahoma" w:cs="Tahoma"/>
          <w:sz w:val="16"/>
          <w:szCs w:val="16"/>
          <w:lang w:val="cs-CZ"/>
        </w:rPr>
      </w:pPr>
      <w:r w:rsidRPr="00B27A43">
        <w:rPr>
          <w:rFonts w:ascii="Tahoma" w:hAnsi="Tahoma" w:cs="Tahoma"/>
          <w:sz w:val="16"/>
          <w:szCs w:val="16"/>
          <w:lang w:val="cs-CZ"/>
        </w:rPr>
        <w:t>JUDr. Martin Bohuslav</w:t>
      </w:r>
    </w:p>
    <w:p w14:paraId="16483B11" w14:textId="77777777" w:rsidR="00147596" w:rsidRPr="00B27A43" w:rsidRDefault="00147596" w:rsidP="00147596">
      <w:pPr>
        <w:rPr>
          <w:rFonts w:ascii="Tahoma" w:hAnsi="Tahoma" w:cs="Tahoma"/>
          <w:sz w:val="16"/>
          <w:szCs w:val="16"/>
          <w:lang w:val="cs-CZ"/>
        </w:rPr>
      </w:pPr>
      <w:r w:rsidRPr="00B27A43">
        <w:rPr>
          <w:rFonts w:ascii="Tahoma" w:hAnsi="Tahoma" w:cs="Tahoma"/>
          <w:sz w:val="16"/>
          <w:szCs w:val="16"/>
          <w:lang w:val="cs-CZ"/>
        </w:rPr>
        <w:t>jednatel</w:t>
      </w:r>
    </w:p>
    <w:p w14:paraId="6C0EBC23" w14:textId="77777777" w:rsidR="00147596" w:rsidRPr="00B27A43" w:rsidRDefault="00147596" w:rsidP="00147596">
      <w:pPr>
        <w:rPr>
          <w:rFonts w:ascii="Tahoma" w:hAnsi="Tahoma" w:cs="Tahoma"/>
          <w:sz w:val="16"/>
          <w:szCs w:val="16"/>
          <w:lang w:val="cs-CZ"/>
        </w:rPr>
      </w:pPr>
    </w:p>
    <w:p w14:paraId="0C547711" w14:textId="77777777" w:rsidR="00147596" w:rsidRPr="00B27A43" w:rsidRDefault="00147596" w:rsidP="00147596">
      <w:pPr>
        <w:rPr>
          <w:rFonts w:ascii="Tahoma" w:hAnsi="Tahoma" w:cs="Tahoma"/>
          <w:sz w:val="16"/>
          <w:szCs w:val="16"/>
          <w:lang w:val="cs-CZ"/>
        </w:rPr>
      </w:pPr>
    </w:p>
    <w:p w14:paraId="07803985" w14:textId="77777777" w:rsidR="00B27A43" w:rsidRDefault="00B27A43" w:rsidP="00147596">
      <w:pPr>
        <w:rPr>
          <w:rFonts w:ascii="Tahoma" w:hAnsi="Tahoma" w:cs="Tahoma"/>
          <w:sz w:val="16"/>
          <w:szCs w:val="16"/>
          <w:lang w:val="cs-CZ"/>
        </w:rPr>
      </w:pPr>
    </w:p>
    <w:p w14:paraId="6317D6A2" w14:textId="0865E5EB" w:rsidR="00B27A43" w:rsidRDefault="00B27A43" w:rsidP="00147596">
      <w:pPr>
        <w:rPr>
          <w:rFonts w:ascii="Tahoma" w:hAnsi="Tahoma" w:cs="Tahoma"/>
          <w:sz w:val="16"/>
          <w:szCs w:val="16"/>
          <w:lang w:val="cs-CZ"/>
        </w:rPr>
      </w:pPr>
    </w:p>
    <w:p w14:paraId="48321AA6" w14:textId="77777777" w:rsidR="00B27A43" w:rsidRDefault="00B27A43" w:rsidP="00147596">
      <w:pPr>
        <w:rPr>
          <w:rFonts w:ascii="Tahoma" w:hAnsi="Tahoma" w:cs="Tahoma"/>
          <w:sz w:val="16"/>
          <w:szCs w:val="16"/>
          <w:lang w:val="cs-CZ"/>
        </w:rPr>
      </w:pPr>
    </w:p>
    <w:p w14:paraId="1F686D77" w14:textId="791A9F2A" w:rsidR="00147596" w:rsidRPr="00B27A43" w:rsidRDefault="00147596" w:rsidP="00147596">
      <w:pPr>
        <w:rPr>
          <w:rFonts w:ascii="Tahoma" w:hAnsi="Tahoma" w:cs="Tahoma"/>
          <w:sz w:val="16"/>
          <w:szCs w:val="16"/>
          <w:lang w:val="cs-CZ"/>
        </w:rPr>
      </w:pPr>
      <w:r w:rsidRPr="00B27A43">
        <w:rPr>
          <w:rFonts w:ascii="Tahoma" w:hAnsi="Tahoma" w:cs="Tahoma"/>
          <w:sz w:val="16"/>
          <w:szCs w:val="16"/>
          <w:lang w:val="cs-CZ"/>
        </w:rPr>
        <w:t>V</w:t>
      </w:r>
      <w:r w:rsidR="00B27A43">
        <w:rPr>
          <w:rFonts w:ascii="Tahoma" w:hAnsi="Tahoma" w:cs="Tahoma"/>
          <w:sz w:val="16"/>
          <w:szCs w:val="16"/>
          <w:lang w:val="cs-CZ"/>
        </w:rPr>
        <w:t xml:space="preserve"> Praze</w:t>
      </w:r>
      <w:r w:rsidRPr="00B27A43">
        <w:rPr>
          <w:rFonts w:ascii="Tahoma" w:hAnsi="Tahoma" w:cs="Tahoma"/>
          <w:sz w:val="16"/>
          <w:szCs w:val="16"/>
          <w:lang w:val="cs-CZ"/>
        </w:rPr>
        <w:t xml:space="preserve"> dne </w:t>
      </w:r>
    </w:p>
    <w:p w14:paraId="043C411B" w14:textId="77777777" w:rsidR="00147596" w:rsidRPr="00B27A43" w:rsidRDefault="00147596" w:rsidP="00147596">
      <w:pPr>
        <w:rPr>
          <w:rFonts w:ascii="Tahoma" w:hAnsi="Tahoma" w:cs="Tahoma"/>
          <w:sz w:val="16"/>
          <w:szCs w:val="16"/>
          <w:lang w:val="cs-CZ"/>
        </w:rPr>
      </w:pPr>
    </w:p>
    <w:p w14:paraId="169A583E" w14:textId="1D7EF605" w:rsidR="00147596" w:rsidRPr="00B27A43" w:rsidRDefault="00147596" w:rsidP="00147596">
      <w:pPr>
        <w:rPr>
          <w:rFonts w:ascii="Tahoma" w:hAnsi="Tahoma" w:cs="Tahoma"/>
          <w:sz w:val="16"/>
          <w:szCs w:val="16"/>
          <w:lang w:val="cs-CZ"/>
        </w:rPr>
      </w:pPr>
      <w:r w:rsidRPr="00B27A43">
        <w:rPr>
          <w:rFonts w:ascii="Tahoma" w:hAnsi="Tahoma" w:cs="Tahoma"/>
          <w:sz w:val="16"/>
          <w:szCs w:val="16"/>
          <w:lang w:val="cs-CZ"/>
        </w:rPr>
        <w:t xml:space="preserve">Za </w:t>
      </w:r>
      <w:r w:rsidR="009B7701" w:rsidRPr="00B27A43">
        <w:rPr>
          <w:rFonts w:ascii="Tahoma" w:hAnsi="Tahoma" w:cs="Tahoma"/>
          <w:sz w:val="16"/>
          <w:szCs w:val="16"/>
          <w:lang w:val="cs-CZ"/>
        </w:rPr>
        <w:t>Všeobecná fakultní nemocnice v Praze</w:t>
      </w:r>
      <w:r w:rsidRPr="00B27A43">
        <w:rPr>
          <w:rFonts w:ascii="Tahoma" w:hAnsi="Tahoma" w:cs="Tahoma"/>
          <w:sz w:val="16"/>
          <w:szCs w:val="16"/>
          <w:lang w:val="cs-CZ"/>
        </w:rPr>
        <w:t>:</w:t>
      </w:r>
    </w:p>
    <w:p w14:paraId="3A37F52D" w14:textId="0D5912BC" w:rsidR="00147596" w:rsidRDefault="00147596" w:rsidP="00147596">
      <w:pPr>
        <w:rPr>
          <w:rFonts w:ascii="Tahoma" w:hAnsi="Tahoma" w:cs="Tahoma"/>
          <w:sz w:val="16"/>
          <w:szCs w:val="16"/>
          <w:lang w:val="cs-CZ"/>
        </w:rPr>
      </w:pPr>
    </w:p>
    <w:p w14:paraId="2D306F2B" w14:textId="77777777" w:rsidR="00B27A43" w:rsidRPr="00B27A43" w:rsidRDefault="00B27A43" w:rsidP="00147596">
      <w:pPr>
        <w:rPr>
          <w:rFonts w:ascii="Tahoma" w:hAnsi="Tahoma" w:cs="Tahoma"/>
          <w:sz w:val="16"/>
          <w:szCs w:val="16"/>
          <w:lang w:val="cs-CZ"/>
        </w:rPr>
      </w:pPr>
    </w:p>
    <w:p w14:paraId="0FC59119" w14:textId="77777777" w:rsidR="00147596" w:rsidRPr="00B27A43" w:rsidRDefault="00147596" w:rsidP="00147596">
      <w:pPr>
        <w:rPr>
          <w:rFonts w:ascii="Tahoma" w:hAnsi="Tahoma" w:cs="Tahoma"/>
          <w:sz w:val="16"/>
          <w:szCs w:val="16"/>
          <w:lang w:val="cs-CZ"/>
        </w:rPr>
      </w:pPr>
    </w:p>
    <w:p w14:paraId="295C2614" w14:textId="77777777" w:rsidR="00147596" w:rsidRPr="00B27A43" w:rsidRDefault="00147596" w:rsidP="00147596">
      <w:pPr>
        <w:rPr>
          <w:rFonts w:ascii="Tahoma" w:hAnsi="Tahoma" w:cs="Tahoma"/>
          <w:sz w:val="16"/>
          <w:szCs w:val="16"/>
          <w:lang w:val="cs-CZ"/>
        </w:rPr>
      </w:pPr>
      <w:r w:rsidRPr="00B27A43">
        <w:rPr>
          <w:rFonts w:ascii="Tahoma" w:hAnsi="Tahoma" w:cs="Tahoma"/>
          <w:sz w:val="16"/>
          <w:szCs w:val="16"/>
          <w:lang w:val="cs-CZ"/>
        </w:rPr>
        <w:t>______________________________</w:t>
      </w:r>
    </w:p>
    <w:p w14:paraId="11D37C55" w14:textId="6E6A8B10" w:rsidR="001171DD" w:rsidRPr="00B27A43" w:rsidRDefault="003F61AB" w:rsidP="00147596">
      <w:pPr>
        <w:rPr>
          <w:rFonts w:ascii="Tahoma" w:hAnsi="Tahoma" w:cs="Tahoma"/>
          <w:sz w:val="16"/>
          <w:szCs w:val="16"/>
          <w:lang w:val="cs-CZ"/>
        </w:rPr>
      </w:pPr>
      <w:r w:rsidRPr="00B27A43">
        <w:rPr>
          <w:rFonts w:ascii="Tahoma" w:hAnsi="Tahoma" w:cs="Tahoma"/>
          <w:sz w:val="16"/>
          <w:szCs w:val="16"/>
          <w:lang w:val="cs-CZ"/>
        </w:rPr>
        <w:t xml:space="preserve">prof. MUDr. David Feltl, Ph.D., MBA </w:t>
      </w:r>
    </w:p>
    <w:p w14:paraId="7EF0AC36" w14:textId="5DC6DDD9" w:rsidR="00CD0241" w:rsidRPr="00B27A43" w:rsidRDefault="003F61AB" w:rsidP="00147596">
      <w:pPr>
        <w:rPr>
          <w:rFonts w:ascii="Tahoma" w:hAnsi="Tahoma" w:cs="Tahoma"/>
          <w:i/>
          <w:sz w:val="16"/>
          <w:szCs w:val="16"/>
          <w:lang w:val="cs-CZ"/>
        </w:rPr>
      </w:pPr>
      <w:r w:rsidRPr="00B27A43">
        <w:rPr>
          <w:rFonts w:ascii="Tahoma" w:hAnsi="Tahoma" w:cs="Tahoma"/>
          <w:sz w:val="16"/>
          <w:szCs w:val="16"/>
          <w:lang w:val="cs-CZ"/>
        </w:rPr>
        <w:t xml:space="preserve">ředitel </w:t>
      </w:r>
      <w:r w:rsidR="00977768" w:rsidRPr="00B27A43">
        <w:rPr>
          <w:rFonts w:ascii="Tahoma" w:hAnsi="Tahoma" w:cs="Tahoma"/>
          <w:i/>
          <w:sz w:val="16"/>
          <w:szCs w:val="16"/>
          <w:lang w:val="cs-CZ"/>
        </w:rPr>
        <w:t xml:space="preserve"> </w:t>
      </w:r>
    </w:p>
    <w:sectPr w:rsidR="00CD0241" w:rsidRPr="00B27A43" w:rsidSect="00C91E9C">
      <w:headerReference w:type="default" r:id="rId12"/>
      <w:footerReference w:type="default" r:id="rId13"/>
      <w:headerReference w:type="first" r:id="rId14"/>
      <w:footerReference w:type="first" r:id="rId15"/>
      <w:pgSz w:w="11906" w:h="16838" w:code="9"/>
      <w:pgMar w:top="2722" w:right="1247" w:bottom="1134" w:left="1247"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1006A" w14:textId="77777777" w:rsidR="00BF7A88" w:rsidRDefault="00BF7A88" w:rsidP="00C702C7">
      <w:pPr>
        <w:spacing w:line="240" w:lineRule="auto"/>
      </w:pPr>
      <w:r>
        <w:separator/>
      </w:r>
    </w:p>
  </w:endnote>
  <w:endnote w:type="continuationSeparator" w:id="0">
    <w:p w14:paraId="5DB1D57B" w14:textId="77777777" w:rsidR="00BF7A88" w:rsidRDefault="00BF7A88" w:rsidP="00C70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5"/>
      </w:rPr>
      <w:id w:val="-1669238322"/>
      <w:docPartObj>
        <w:docPartGallery w:val="Page Numbers (Top of Page)"/>
        <w:docPartUnique/>
      </w:docPartObj>
    </w:sdtPr>
    <w:sdtEndPr/>
    <w:sdtContent>
      <w:p w14:paraId="4FD08B39" w14:textId="583A3F5F" w:rsidR="005524B1" w:rsidRPr="004E4208" w:rsidRDefault="005524B1" w:rsidP="005524B1">
        <w:pPr>
          <w:pStyle w:val="Zpat"/>
          <w:tabs>
            <w:tab w:val="center" w:pos="4703"/>
            <w:tab w:val="right" w:pos="9406"/>
          </w:tabs>
          <w:rPr>
            <w:sz w:val="5"/>
          </w:rPr>
        </w:pPr>
        <w:r w:rsidRPr="004E4208">
          <w:rPr>
            <w:bCs/>
            <w:sz w:val="14"/>
            <w:szCs w:val="20"/>
          </w:rPr>
          <w:fldChar w:fldCharType="begin"/>
        </w:r>
        <w:r w:rsidRPr="004E4208">
          <w:rPr>
            <w:bCs/>
            <w:sz w:val="14"/>
            <w:szCs w:val="20"/>
          </w:rPr>
          <w:instrText xml:space="preserve"> PAGE </w:instrText>
        </w:r>
        <w:r w:rsidRPr="004E4208">
          <w:rPr>
            <w:bCs/>
            <w:sz w:val="14"/>
            <w:szCs w:val="20"/>
          </w:rPr>
          <w:fldChar w:fldCharType="separate"/>
        </w:r>
        <w:r w:rsidR="005267FD">
          <w:rPr>
            <w:bCs/>
            <w:noProof/>
            <w:sz w:val="14"/>
            <w:szCs w:val="20"/>
          </w:rPr>
          <w:t>7</w:t>
        </w:r>
        <w:r w:rsidRPr="004E4208">
          <w:rPr>
            <w:bCs/>
            <w:sz w:val="14"/>
            <w:szCs w:val="20"/>
          </w:rPr>
          <w:fldChar w:fldCharType="end"/>
        </w:r>
        <w:r w:rsidRPr="004E4208">
          <w:rPr>
            <w:bCs/>
            <w:sz w:val="14"/>
            <w:szCs w:val="20"/>
          </w:rPr>
          <w:t>/</w:t>
        </w:r>
        <w:r w:rsidRPr="004E4208">
          <w:rPr>
            <w:bCs/>
            <w:sz w:val="14"/>
            <w:szCs w:val="20"/>
          </w:rPr>
          <w:fldChar w:fldCharType="begin"/>
        </w:r>
        <w:r w:rsidRPr="004E4208">
          <w:rPr>
            <w:bCs/>
            <w:sz w:val="14"/>
            <w:szCs w:val="20"/>
          </w:rPr>
          <w:instrText xml:space="preserve"> NUMPAGES  </w:instrText>
        </w:r>
        <w:r w:rsidRPr="004E4208">
          <w:rPr>
            <w:bCs/>
            <w:sz w:val="14"/>
            <w:szCs w:val="20"/>
          </w:rPr>
          <w:fldChar w:fldCharType="separate"/>
        </w:r>
        <w:r w:rsidR="005267FD">
          <w:rPr>
            <w:bCs/>
            <w:noProof/>
            <w:sz w:val="14"/>
            <w:szCs w:val="20"/>
          </w:rPr>
          <w:t>7</w:t>
        </w:r>
        <w:r w:rsidRPr="004E4208">
          <w:rPr>
            <w:bCs/>
            <w:sz w:val="14"/>
            <w:szCs w:val="20"/>
          </w:rPr>
          <w:fldChar w:fldCharType="end"/>
        </w:r>
      </w:p>
    </w:sdtContent>
  </w:sdt>
  <w:p w14:paraId="0E79D743" w14:textId="77777777" w:rsidR="00F15F5C" w:rsidRDefault="00F15F5C" w:rsidP="0079305A">
    <w:pPr>
      <w:pStyle w:val="Zpat"/>
      <w:tabs>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FADA" w14:textId="77777777" w:rsidR="00F15F5C" w:rsidRDefault="00F15F5C">
    <w:pPr>
      <w:pStyle w:val="Zpat"/>
    </w:pPr>
  </w:p>
  <w:p w14:paraId="105937CB" w14:textId="77777777" w:rsidR="00C91E9C" w:rsidRDefault="00C91E9C">
    <w:pPr>
      <w:pStyle w:val="Zpat"/>
    </w:pPr>
  </w:p>
  <w:p w14:paraId="49BE1BDF" w14:textId="77777777" w:rsidR="002823F1" w:rsidRDefault="002823F1">
    <w:pPr>
      <w:pStyle w:val="Zpat"/>
    </w:pPr>
  </w:p>
  <w:tbl>
    <w:tblPr>
      <w:tblStyle w:val="Mkatabulky"/>
      <w:tblW w:w="9639" w:type="dxa"/>
      <w:tblLayout w:type="fixed"/>
      <w:tblCellMar>
        <w:left w:w="0" w:type="dxa"/>
        <w:right w:w="0" w:type="dxa"/>
      </w:tblCellMar>
      <w:tblLook w:val="04A0" w:firstRow="1" w:lastRow="0" w:firstColumn="1" w:lastColumn="0" w:noHBand="0" w:noVBand="1"/>
    </w:tblPr>
    <w:tblGrid>
      <w:gridCol w:w="9407"/>
      <w:gridCol w:w="232"/>
    </w:tblGrid>
    <w:tr w:rsidR="00235E99" w:rsidRPr="00157D2D" w14:paraId="4223D7B7" w14:textId="77777777" w:rsidTr="00350C8D">
      <w:tc>
        <w:tcPr>
          <w:tcW w:w="9407" w:type="dxa"/>
        </w:tcPr>
        <w:p w14:paraId="1D400B89" w14:textId="77777777" w:rsidR="00FA7D24" w:rsidRPr="00FC6867" w:rsidRDefault="005473C5" w:rsidP="00FA7D24">
          <w:pPr>
            <w:pStyle w:val="Zpat"/>
            <w:rPr>
              <w:lang w:val="cs-CZ"/>
            </w:rPr>
          </w:pPr>
          <w:r w:rsidRPr="005473C5">
            <w:rPr>
              <w:lang w:val="cs-CZ"/>
            </w:rPr>
            <w:t>Deloitte označuje jednu či více společností Deloitte Touche Tohmatsu Limited („DTTL“), globální síť jejích členských firem a jejich spřízněných subjektů. Společnost DTTL (rovněž označovaná jako „Deloitte Global“) a každá z jejích členských firem představuje samostatný a nezávislý právní subjekt. Společnost DTTL služby klientům neposkytuje. Více informací je uvedeno na adrese www.deloitte.com/about.</w:t>
          </w:r>
        </w:p>
        <w:p w14:paraId="3D075239" w14:textId="77777777" w:rsidR="00FA7D24" w:rsidRPr="0043518E" w:rsidRDefault="00FA7D24" w:rsidP="00FA7D24">
          <w:pPr>
            <w:pStyle w:val="Zpat"/>
            <w:rPr>
              <w:lang w:val="cs-CZ"/>
            </w:rPr>
          </w:pPr>
        </w:p>
        <w:p w14:paraId="5CEA2B2C" w14:textId="77777777" w:rsidR="00235E99" w:rsidRPr="0043518E" w:rsidRDefault="00FA7D24" w:rsidP="00FA7D24">
          <w:pPr>
            <w:pStyle w:val="Zpat"/>
            <w:rPr>
              <w:lang w:val="cs-CZ"/>
            </w:rPr>
          </w:pPr>
          <w:r w:rsidRPr="0043518E">
            <w:rPr>
              <w:lang w:val="cs-CZ"/>
            </w:rPr>
            <w:t>Deloitte Legal ve střední Evropě: Belgrade, Bratislava, Brno, Bucharest, Budapest, Hradec Králové, Krakow, Katowice, Košice, Ljubljana, Lodz, Ostrava, Pilsen, Poznań, Prague, Pristina, Riga, Sofia, Szczecin, Tallinn, Tirana, Vilnius, Warsaw , Wrocław, Zagreb</w:t>
          </w:r>
        </w:p>
      </w:tc>
      <w:tc>
        <w:tcPr>
          <w:tcW w:w="232" w:type="dxa"/>
          <w:vAlign w:val="bottom"/>
        </w:tcPr>
        <w:p w14:paraId="1E87285A" w14:textId="77777777" w:rsidR="00235E99" w:rsidRPr="0043518E" w:rsidRDefault="00235E99" w:rsidP="00350C8D">
          <w:pPr>
            <w:pStyle w:val="Sponsortext"/>
            <w:rPr>
              <w:lang w:val="cs-CZ"/>
            </w:rPr>
          </w:pPr>
        </w:p>
      </w:tc>
    </w:tr>
  </w:tbl>
  <w:p w14:paraId="74176B35" w14:textId="77777777" w:rsidR="00235E99" w:rsidRPr="0043518E" w:rsidRDefault="00235E99" w:rsidP="00E31921">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3254A" w14:textId="77777777" w:rsidR="00BF7A88" w:rsidRDefault="00BF7A88" w:rsidP="00C702C7">
      <w:pPr>
        <w:spacing w:line="240" w:lineRule="auto"/>
      </w:pPr>
      <w:r>
        <w:separator/>
      </w:r>
    </w:p>
  </w:footnote>
  <w:footnote w:type="continuationSeparator" w:id="0">
    <w:p w14:paraId="4766E3D0" w14:textId="77777777" w:rsidR="00BF7A88" w:rsidRDefault="00BF7A88" w:rsidP="00C702C7">
      <w:pPr>
        <w:spacing w:line="240" w:lineRule="auto"/>
      </w:pPr>
      <w:r>
        <w:continuationSeparator/>
      </w:r>
    </w:p>
  </w:footnote>
  <w:footnote w:id="1">
    <w:p w14:paraId="77C0D666" w14:textId="6C11A076" w:rsidR="004D2F16" w:rsidRPr="00E53A87" w:rsidRDefault="004D2F16" w:rsidP="004D2F16">
      <w:pPr>
        <w:pStyle w:val="Textpoznpodarou"/>
        <w:jc w:val="both"/>
        <w:rPr>
          <w:lang w:val="cs-CZ"/>
        </w:rPr>
      </w:pPr>
      <w:r w:rsidRPr="002D5898">
        <w:rPr>
          <w:rStyle w:val="Znakapoznpodarou"/>
        </w:rPr>
        <w:footnoteRef/>
      </w:r>
      <w:r w:rsidRPr="002D5898">
        <w:t xml:space="preserve"> </w:t>
      </w:r>
      <w:r w:rsidRPr="002D5898">
        <w:rPr>
          <w:rFonts w:eastAsiaTheme="majorEastAsia"/>
          <w:sz w:val="14"/>
          <w:szCs w:val="14"/>
          <w:lang w:val="cs-CZ"/>
        </w:rPr>
        <w:t>Členové Deloitte znamená Deloitte Touche Tohmatsu Limited („DTTL“), britskou společnost s ručením omezeným, síť jejích členských firem a jejich dceřiných a přidružených společností, jejich předchůdce, nástupce a nabyvatele jejich práv a všechny partnery, vedoucí pracovníky, členy, vlastníky, ředitele, zaměstnance, subdodavatele a zástupce všech těchto subjektů. Každá členská firma DTTL je samostatná a nezávislá právní entita působící pod názvy „Deloitte“, „Deloitte &amp; Touche“, „Deloitte Touche Tohmatsu“ nebo pod jinými podobnými jmény. DTTL ani jakákoliv jiná členská firma DTTL vyjma, je-li tak výslovně uvedeno v této smlouvě, nenese žádnou odpovědnost za jednání či opomenutí ostatních členů Deloitte.</w:t>
      </w:r>
    </w:p>
  </w:footnote>
  <w:footnote w:id="2">
    <w:p w14:paraId="209F4CB6" w14:textId="77777777" w:rsidR="00EC0880" w:rsidRPr="0043518E" w:rsidRDefault="00EC0880" w:rsidP="0043518E">
      <w:pPr>
        <w:pStyle w:val="Textpoznpodarou"/>
        <w:jc w:val="both"/>
        <w:rPr>
          <w:lang w:val="cs-CZ"/>
        </w:rPr>
      </w:pPr>
      <w:r>
        <w:rPr>
          <w:rStyle w:val="Znakapoznpodarou"/>
        </w:rPr>
        <w:footnoteRef/>
      </w:r>
      <w:r w:rsidRPr="002D5898">
        <w:rPr>
          <w:lang w:val="cs-CZ"/>
        </w:rPr>
        <w:t xml:space="preserve"> </w:t>
      </w:r>
      <w:r>
        <w:rPr>
          <w:lang w:val="cs-CZ"/>
        </w:rPr>
        <w:t>§ 347a zákona č. 40/2009 Sb., trestní zákoník,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F4AE9" w14:textId="77777777" w:rsidR="00C91E9C" w:rsidRDefault="003C3B1E">
    <w:pPr>
      <w:pStyle w:val="Zhlav"/>
    </w:pPr>
    <w:r>
      <w:rPr>
        <w:noProof/>
        <w:lang w:val="cs-CZ" w:eastAsia="cs-CZ"/>
      </w:rPr>
      <w:drawing>
        <wp:anchor distT="0" distB="0" distL="114300" distR="114300" simplePos="0" relativeHeight="251659263" behindDoc="0" locked="1" layoutInCell="1" allowOverlap="1" wp14:anchorId="06D86F96" wp14:editId="383D714F">
          <wp:simplePos x="0" y="0"/>
          <wp:positionH relativeFrom="margin">
            <wp:posOffset>1270</wp:posOffset>
          </wp:positionH>
          <wp:positionV relativeFrom="page">
            <wp:posOffset>360045</wp:posOffset>
          </wp:positionV>
          <wp:extent cx="1165860" cy="539750"/>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oitt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60" cy="539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BBBB" w14:textId="77777777" w:rsidR="002823F1" w:rsidRDefault="002823F1">
    <w:pPr>
      <w:pStyle w:val="Zhlav"/>
      <w:rPr>
        <w:lang w:val="en-US"/>
      </w:rPr>
    </w:pPr>
  </w:p>
  <w:p w14:paraId="57D4AC28" w14:textId="77777777" w:rsidR="00954A9D" w:rsidRPr="00954A9D" w:rsidRDefault="00954A9D">
    <w:pPr>
      <w:pStyle w:val="Zhlav"/>
      <w:rPr>
        <w:lang w:val="en-US"/>
      </w:rPr>
    </w:pPr>
    <w:r>
      <w:rPr>
        <w:noProof/>
        <w:lang w:val="cs-CZ" w:eastAsia="cs-CZ"/>
      </w:rPr>
      <w:drawing>
        <wp:anchor distT="0" distB="0" distL="114300" distR="114300" simplePos="0" relativeHeight="251662336" behindDoc="0" locked="1" layoutInCell="1" allowOverlap="1" wp14:anchorId="10851CEB" wp14:editId="5DB31D24">
          <wp:simplePos x="0" y="0"/>
          <wp:positionH relativeFrom="page">
            <wp:posOffset>791845</wp:posOffset>
          </wp:positionH>
          <wp:positionV relativeFrom="page">
            <wp:posOffset>311150</wp:posOffset>
          </wp:positionV>
          <wp:extent cx="1892935" cy="876935"/>
          <wp:effectExtent l="0" t="0" r="12065" b="12065"/>
          <wp:wrapNone/>
          <wp:docPr id="1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oitt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935" cy="876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9D42924"/>
    <w:lvl w:ilvl="0">
      <w:start w:val="1"/>
      <w:numFmt w:val="decimal"/>
      <w:pStyle w:val="slovanseznam2"/>
      <w:lvlText w:val="%1."/>
      <w:lvlJc w:val="left"/>
      <w:pPr>
        <w:tabs>
          <w:tab w:val="num" w:pos="643"/>
        </w:tabs>
        <w:ind w:left="643" w:hanging="360"/>
      </w:pPr>
    </w:lvl>
  </w:abstractNum>
  <w:abstractNum w:abstractNumId="1" w15:restartNumberingAfterBreak="0">
    <w:nsid w:val="FFFFFF83"/>
    <w:multiLevelType w:val="singleLevel"/>
    <w:tmpl w:val="44C6DCC4"/>
    <w:lvl w:ilvl="0">
      <w:start w:val="1"/>
      <w:numFmt w:val="bullet"/>
      <w:pStyle w:val="Seznamsodrkami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slovanseznam"/>
      <w:lvlText w:val="%1."/>
      <w:lvlJc w:val="left"/>
      <w:pPr>
        <w:tabs>
          <w:tab w:val="num" w:pos="360"/>
        </w:tabs>
        <w:ind w:left="360" w:hanging="360"/>
      </w:pPr>
    </w:lvl>
  </w:abstractNum>
  <w:abstractNum w:abstractNumId="3" w15:restartNumberingAfterBreak="0">
    <w:nsid w:val="FFFFFF89"/>
    <w:multiLevelType w:val="singleLevel"/>
    <w:tmpl w:val="616CC856"/>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5" w15:restartNumberingAfterBreak="0">
    <w:nsid w:val="016F2FF5"/>
    <w:multiLevelType w:val="multilevel"/>
    <w:tmpl w:val="0000000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3810DE4"/>
    <w:multiLevelType w:val="multilevel"/>
    <w:tmpl w:val="93EA06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3"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pStyle w:val="Nadpis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47A7D"/>
    <w:multiLevelType w:val="multilevel"/>
    <w:tmpl w:val="DB90AF8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741FAE"/>
    <w:multiLevelType w:val="hybridMultilevel"/>
    <w:tmpl w:val="11E833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0"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2"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2A4744F"/>
    <w:multiLevelType w:val="multilevel"/>
    <w:tmpl w:val="BEAC85FA"/>
    <w:lvl w:ilvl="0">
      <w:start w:val="1"/>
      <w:numFmt w:val="upperRoman"/>
      <w:pStyle w:val="smlouvaheading1"/>
      <w:lvlText w:val="%1."/>
      <w:lvlJc w:val="left"/>
      <w:pPr>
        <w:ind w:left="360" w:hanging="36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17"/>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mlouvaheading2"/>
      <w:isLgl/>
      <w:lvlText w:val="%1.%2"/>
      <w:lvlJc w:val="left"/>
      <w:pPr>
        <w:ind w:left="720" w:hanging="720"/>
      </w:pPr>
      <w:rPr>
        <w:rFonts w:ascii="Verdana" w:hAnsi="Verdana" w:cs="Times New Roman" w:hint="default"/>
        <w:b w:val="0"/>
        <w:bCs w:val="0"/>
        <w:i w:val="0"/>
        <w:iCs w:val="0"/>
        <w:caps w:val="0"/>
        <w:smallCaps w:val="0"/>
        <w:strike w:val="0"/>
        <w:dstrike w:val="0"/>
        <w:outline w:val="0"/>
        <w:shadow w:val="0"/>
        <w:emboss w:val="0"/>
        <w:imprint w:val="0"/>
        <w:noProof w:val="0"/>
        <w:vanish w:val="0"/>
        <w:spacing w:val="0"/>
        <w:kern w:val="0"/>
        <w:position w:val="0"/>
        <w:sz w:val="17"/>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mlouvaheading3"/>
      <w:isLgl/>
      <w:lvlText w:val="%1.%2.%3"/>
      <w:lvlJc w:val="left"/>
      <w:pPr>
        <w:ind w:left="1080" w:hanging="1080"/>
      </w:pPr>
      <w:rPr>
        <w:rFonts w:ascii="Verdana" w:hAnsi="Verdana" w:hint="default"/>
        <w:b w:val="0"/>
        <w:i w:val="0"/>
        <w:sz w:val="17"/>
      </w:rPr>
    </w:lvl>
    <w:lvl w:ilvl="3">
      <w:start w:val="1"/>
      <w:numFmt w:val="decimal"/>
      <w:pStyle w:val="smlouvaheading4"/>
      <w:isLgl/>
      <w:lvlText w:val="%1.%2.%3.%4"/>
      <w:lvlJc w:val="left"/>
      <w:pPr>
        <w:ind w:left="1440" w:hanging="1440"/>
      </w:pPr>
      <w:rPr>
        <w:rFonts w:ascii="Verdana" w:hAnsi="Verdana"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2"/>
  </w:num>
  <w:num w:numId="4">
    <w:abstractNumId w:val="0"/>
  </w:num>
  <w:num w:numId="5">
    <w:abstractNumId w:val="15"/>
  </w:num>
  <w:num w:numId="6">
    <w:abstractNumId w:val="21"/>
  </w:num>
  <w:num w:numId="7">
    <w:abstractNumId w:val="21"/>
    <w:lvlOverride w:ilvl="0">
      <w:startOverride w:val="1"/>
    </w:lvlOverride>
  </w:num>
  <w:num w:numId="8">
    <w:abstractNumId w:val="19"/>
  </w:num>
  <w:num w:numId="9">
    <w:abstractNumId w:val="20"/>
  </w:num>
  <w:num w:numId="10">
    <w:abstractNumId w:val="10"/>
  </w:num>
  <w:num w:numId="11">
    <w:abstractNumId w:val="12"/>
  </w:num>
  <w:num w:numId="12">
    <w:abstractNumId w:val="22"/>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17"/>
  </w:num>
  <w:num w:numId="18">
    <w:abstractNumId w:val="9"/>
  </w:num>
  <w:num w:numId="19">
    <w:abstractNumId w:val="16"/>
  </w:num>
  <w:num w:numId="20">
    <w:abstractNumId w:val="6"/>
  </w:num>
  <w:num w:numId="21">
    <w:abstractNumId w:val="25"/>
  </w:num>
  <w:num w:numId="22">
    <w:abstractNumId w:val="8"/>
  </w:num>
  <w:num w:numId="23">
    <w:abstractNumId w:val="11"/>
  </w:num>
  <w:num w:numId="24">
    <w:abstractNumId w:val="13"/>
  </w:num>
  <w:num w:numId="25">
    <w:abstractNumId w:val="23"/>
  </w:num>
  <w:num w:numId="26">
    <w:abstractNumId w:val="18"/>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96"/>
    <w:rsid w:val="000005FE"/>
    <w:rsid w:val="0000075F"/>
    <w:rsid w:val="0001103E"/>
    <w:rsid w:val="000131A3"/>
    <w:rsid w:val="00014B89"/>
    <w:rsid w:val="00021A30"/>
    <w:rsid w:val="00021A39"/>
    <w:rsid w:val="00025E7D"/>
    <w:rsid w:val="00037C17"/>
    <w:rsid w:val="00040115"/>
    <w:rsid w:val="0004031D"/>
    <w:rsid w:val="000429AC"/>
    <w:rsid w:val="00042B6A"/>
    <w:rsid w:val="00042B99"/>
    <w:rsid w:val="000637A6"/>
    <w:rsid w:val="00066BBA"/>
    <w:rsid w:val="00071509"/>
    <w:rsid w:val="00083DD5"/>
    <w:rsid w:val="000A53E2"/>
    <w:rsid w:val="000B20C0"/>
    <w:rsid w:val="000B4C01"/>
    <w:rsid w:val="000B7D0A"/>
    <w:rsid w:val="000C048E"/>
    <w:rsid w:val="000C1D10"/>
    <w:rsid w:val="000C20BD"/>
    <w:rsid w:val="000C5EA5"/>
    <w:rsid w:val="000D2DE0"/>
    <w:rsid w:val="000E253D"/>
    <w:rsid w:val="000F555A"/>
    <w:rsid w:val="000F5C22"/>
    <w:rsid w:val="000F7101"/>
    <w:rsid w:val="00102D7A"/>
    <w:rsid w:val="001034BF"/>
    <w:rsid w:val="0010462B"/>
    <w:rsid w:val="00106C37"/>
    <w:rsid w:val="001171DD"/>
    <w:rsid w:val="00123AD3"/>
    <w:rsid w:val="00126D11"/>
    <w:rsid w:val="00130191"/>
    <w:rsid w:val="00131F8B"/>
    <w:rsid w:val="00141CB1"/>
    <w:rsid w:val="001460F9"/>
    <w:rsid w:val="00147596"/>
    <w:rsid w:val="00147A4F"/>
    <w:rsid w:val="00157D2D"/>
    <w:rsid w:val="00166099"/>
    <w:rsid w:val="00166CF6"/>
    <w:rsid w:val="001708B9"/>
    <w:rsid w:val="0017280D"/>
    <w:rsid w:val="001757CE"/>
    <w:rsid w:val="00180BDA"/>
    <w:rsid w:val="0018108F"/>
    <w:rsid w:val="00184C1B"/>
    <w:rsid w:val="00186FC8"/>
    <w:rsid w:val="00187A26"/>
    <w:rsid w:val="001975EF"/>
    <w:rsid w:val="0019765A"/>
    <w:rsid w:val="001A0795"/>
    <w:rsid w:val="001A354E"/>
    <w:rsid w:val="001A45CF"/>
    <w:rsid w:val="001B355D"/>
    <w:rsid w:val="001B5C19"/>
    <w:rsid w:val="001D03A7"/>
    <w:rsid w:val="001D3E62"/>
    <w:rsid w:val="001D645E"/>
    <w:rsid w:val="001E1101"/>
    <w:rsid w:val="001E7D3E"/>
    <w:rsid w:val="001F61B8"/>
    <w:rsid w:val="002048B0"/>
    <w:rsid w:val="002154F3"/>
    <w:rsid w:val="00216CF6"/>
    <w:rsid w:val="00220CCF"/>
    <w:rsid w:val="00221BC7"/>
    <w:rsid w:val="00225138"/>
    <w:rsid w:val="00230089"/>
    <w:rsid w:val="00231B44"/>
    <w:rsid w:val="002340B6"/>
    <w:rsid w:val="00234BA2"/>
    <w:rsid w:val="00235E99"/>
    <w:rsid w:val="00237A83"/>
    <w:rsid w:val="00253D2A"/>
    <w:rsid w:val="00255D53"/>
    <w:rsid w:val="00261C2F"/>
    <w:rsid w:val="002742E3"/>
    <w:rsid w:val="002823F1"/>
    <w:rsid w:val="00291EC5"/>
    <w:rsid w:val="00297214"/>
    <w:rsid w:val="002A1E8F"/>
    <w:rsid w:val="002A2A0D"/>
    <w:rsid w:val="002A5A7F"/>
    <w:rsid w:val="002C2687"/>
    <w:rsid w:val="002C3E31"/>
    <w:rsid w:val="002C5FEA"/>
    <w:rsid w:val="002C5FF0"/>
    <w:rsid w:val="002C690A"/>
    <w:rsid w:val="002C7628"/>
    <w:rsid w:val="002D41F7"/>
    <w:rsid w:val="002D43A9"/>
    <w:rsid w:val="002D5898"/>
    <w:rsid w:val="002E1C00"/>
    <w:rsid w:val="002E523C"/>
    <w:rsid w:val="002E7099"/>
    <w:rsid w:val="002F2771"/>
    <w:rsid w:val="003121C1"/>
    <w:rsid w:val="00322D89"/>
    <w:rsid w:val="0032373B"/>
    <w:rsid w:val="00327E21"/>
    <w:rsid w:val="00337680"/>
    <w:rsid w:val="0034140E"/>
    <w:rsid w:val="00347056"/>
    <w:rsid w:val="00350C8D"/>
    <w:rsid w:val="00357E4F"/>
    <w:rsid w:val="00371CFF"/>
    <w:rsid w:val="00375066"/>
    <w:rsid w:val="00375EB8"/>
    <w:rsid w:val="00377AE4"/>
    <w:rsid w:val="003863C7"/>
    <w:rsid w:val="0039181B"/>
    <w:rsid w:val="003B4FFA"/>
    <w:rsid w:val="003C12AF"/>
    <w:rsid w:val="003C3B1E"/>
    <w:rsid w:val="003C4DE4"/>
    <w:rsid w:val="003E138D"/>
    <w:rsid w:val="003E1820"/>
    <w:rsid w:val="003E47F7"/>
    <w:rsid w:val="003E4F3D"/>
    <w:rsid w:val="003F530A"/>
    <w:rsid w:val="003F61AB"/>
    <w:rsid w:val="003F61E1"/>
    <w:rsid w:val="003F739A"/>
    <w:rsid w:val="00401EE8"/>
    <w:rsid w:val="00404297"/>
    <w:rsid w:val="004052BC"/>
    <w:rsid w:val="004101E2"/>
    <w:rsid w:val="00412EA0"/>
    <w:rsid w:val="00417906"/>
    <w:rsid w:val="0043518E"/>
    <w:rsid w:val="00443BFA"/>
    <w:rsid w:val="0044558B"/>
    <w:rsid w:val="004509E3"/>
    <w:rsid w:val="00451AD9"/>
    <w:rsid w:val="004700BF"/>
    <w:rsid w:val="00470F6A"/>
    <w:rsid w:val="00472DDC"/>
    <w:rsid w:val="00473614"/>
    <w:rsid w:val="004749DA"/>
    <w:rsid w:val="00482929"/>
    <w:rsid w:val="004860A3"/>
    <w:rsid w:val="004862AA"/>
    <w:rsid w:val="0048651C"/>
    <w:rsid w:val="004A0DCC"/>
    <w:rsid w:val="004B1C98"/>
    <w:rsid w:val="004B4F76"/>
    <w:rsid w:val="004D2F16"/>
    <w:rsid w:val="004D3883"/>
    <w:rsid w:val="004D49FC"/>
    <w:rsid w:val="004D6F89"/>
    <w:rsid w:val="004E7814"/>
    <w:rsid w:val="004F3591"/>
    <w:rsid w:val="004F47B4"/>
    <w:rsid w:val="004F4A4B"/>
    <w:rsid w:val="00501B50"/>
    <w:rsid w:val="00501EFF"/>
    <w:rsid w:val="00511439"/>
    <w:rsid w:val="005267FD"/>
    <w:rsid w:val="005270F9"/>
    <w:rsid w:val="00532745"/>
    <w:rsid w:val="00535BB4"/>
    <w:rsid w:val="00543BA8"/>
    <w:rsid w:val="005473C5"/>
    <w:rsid w:val="005524B1"/>
    <w:rsid w:val="00555434"/>
    <w:rsid w:val="00556E8D"/>
    <w:rsid w:val="00563C6F"/>
    <w:rsid w:val="00566D52"/>
    <w:rsid w:val="00573556"/>
    <w:rsid w:val="00573D2F"/>
    <w:rsid w:val="0058060B"/>
    <w:rsid w:val="00580A6C"/>
    <w:rsid w:val="005843DE"/>
    <w:rsid w:val="00587A61"/>
    <w:rsid w:val="00590B5F"/>
    <w:rsid w:val="0059682F"/>
    <w:rsid w:val="005B6B53"/>
    <w:rsid w:val="005D46AF"/>
    <w:rsid w:val="005D5512"/>
    <w:rsid w:val="005E5E3B"/>
    <w:rsid w:val="005F525A"/>
    <w:rsid w:val="005F54F5"/>
    <w:rsid w:val="005F74C0"/>
    <w:rsid w:val="00605199"/>
    <w:rsid w:val="0061252C"/>
    <w:rsid w:val="00624C5E"/>
    <w:rsid w:val="00625328"/>
    <w:rsid w:val="00626661"/>
    <w:rsid w:val="006316AC"/>
    <w:rsid w:val="0065582C"/>
    <w:rsid w:val="00671EC0"/>
    <w:rsid w:val="00676F48"/>
    <w:rsid w:val="00686056"/>
    <w:rsid w:val="00696DFB"/>
    <w:rsid w:val="006A17D2"/>
    <w:rsid w:val="006A473D"/>
    <w:rsid w:val="006A5EFD"/>
    <w:rsid w:val="006B16E0"/>
    <w:rsid w:val="006B4816"/>
    <w:rsid w:val="006C5AD3"/>
    <w:rsid w:val="006C617F"/>
    <w:rsid w:val="006D6A17"/>
    <w:rsid w:val="006D75C5"/>
    <w:rsid w:val="006E66A5"/>
    <w:rsid w:val="006E785A"/>
    <w:rsid w:val="007002F2"/>
    <w:rsid w:val="00703CBC"/>
    <w:rsid w:val="00714505"/>
    <w:rsid w:val="00716570"/>
    <w:rsid w:val="007172D9"/>
    <w:rsid w:val="00720888"/>
    <w:rsid w:val="00723492"/>
    <w:rsid w:val="0072746D"/>
    <w:rsid w:val="00734228"/>
    <w:rsid w:val="00734C1B"/>
    <w:rsid w:val="007516F0"/>
    <w:rsid w:val="00752C87"/>
    <w:rsid w:val="00753A99"/>
    <w:rsid w:val="007557FC"/>
    <w:rsid w:val="0076614E"/>
    <w:rsid w:val="00780E64"/>
    <w:rsid w:val="00783FD8"/>
    <w:rsid w:val="0079305A"/>
    <w:rsid w:val="00793BFF"/>
    <w:rsid w:val="007A495A"/>
    <w:rsid w:val="007A4A8B"/>
    <w:rsid w:val="007B287B"/>
    <w:rsid w:val="007B2FB1"/>
    <w:rsid w:val="007C008A"/>
    <w:rsid w:val="007C0CC5"/>
    <w:rsid w:val="007C7944"/>
    <w:rsid w:val="007D701C"/>
    <w:rsid w:val="007E03C0"/>
    <w:rsid w:val="007E15AB"/>
    <w:rsid w:val="007E2836"/>
    <w:rsid w:val="007E568A"/>
    <w:rsid w:val="007F4828"/>
    <w:rsid w:val="00802619"/>
    <w:rsid w:val="00802699"/>
    <w:rsid w:val="00810858"/>
    <w:rsid w:val="008109D4"/>
    <w:rsid w:val="00813DBC"/>
    <w:rsid w:val="00813F7A"/>
    <w:rsid w:val="00821072"/>
    <w:rsid w:val="00822FC7"/>
    <w:rsid w:val="008235A2"/>
    <w:rsid w:val="008523E2"/>
    <w:rsid w:val="00856A0E"/>
    <w:rsid w:val="00862ED2"/>
    <w:rsid w:val="00863C00"/>
    <w:rsid w:val="00871287"/>
    <w:rsid w:val="00872FD2"/>
    <w:rsid w:val="00873D35"/>
    <w:rsid w:val="00876640"/>
    <w:rsid w:val="00876869"/>
    <w:rsid w:val="00887281"/>
    <w:rsid w:val="00894F9A"/>
    <w:rsid w:val="008A5EDF"/>
    <w:rsid w:val="008B52A9"/>
    <w:rsid w:val="008B58B8"/>
    <w:rsid w:val="008C0EAA"/>
    <w:rsid w:val="008C5A91"/>
    <w:rsid w:val="008E2986"/>
    <w:rsid w:val="008E4938"/>
    <w:rsid w:val="008E7B8E"/>
    <w:rsid w:val="008E7ED3"/>
    <w:rsid w:val="008F4A00"/>
    <w:rsid w:val="009014DB"/>
    <w:rsid w:val="00905422"/>
    <w:rsid w:val="00913235"/>
    <w:rsid w:val="00923233"/>
    <w:rsid w:val="00930258"/>
    <w:rsid w:val="00930A39"/>
    <w:rsid w:val="009350F0"/>
    <w:rsid w:val="009421DA"/>
    <w:rsid w:val="0095060A"/>
    <w:rsid w:val="00953766"/>
    <w:rsid w:val="00954A9D"/>
    <w:rsid w:val="00962414"/>
    <w:rsid w:val="009628B5"/>
    <w:rsid w:val="0097050B"/>
    <w:rsid w:val="0097189A"/>
    <w:rsid w:val="009756D2"/>
    <w:rsid w:val="00977768"/>
    <w:rsid w:val="00977BEA"/>
    <w:rsid w:val="00981C50"/>
    <w:rsid w:val="00984470"/>
    <w:rsid w:val="00991538"/>
    <w:rsid w:val="0099372E"/>
    <w:rsid w:val="00995104"/>
    <w:rsid w:val="0099555E"/>
    <w:rsid w:val="009A0464"/>
    <w:rsid w:val="009A44A5"/>
    <w:rsid w:val="009B2D95"/>
    <w:rsid w:val="009B7701"/>
    <w:rsid w:val="009C403B"/>
    <w:rsid w:val="009D0FA8"/>
    <w:rsid w:val="009D3564"/>
    <w:rsid w:val="009D5969"/>
    <w:rsid w:val="009E006D"/>
    <w:rsid w:val="009E0A65"/>
    <w:rsid w:val="009E5122"/>
    <w:rsid w:val="009E67E8"/>
    <w:rsid w:val="00A0391B"/>
    <w:rsid w:val="00A17957"/>
    <w:rsid w:val="00A2065A"/>
    <w:rsid w:val="00A270B0"/>
    <w:rsid w:val="00A32258"/>
    <w:rsid w:val="00A33333"/>
    <w:rsid w:val="00A425CB"/>
    <w:rsid w:val="00A43B3E"/>
    <w:rsid w:val="00A515D7"/>
    <w:rsid w:val="00A6224A"/>
    <w:rsid w:val="00A625C5"/>
    <w:rsid w:val="00A65665"/>
    <w:rsid w:val="00A659E1"/>
    <w:rsid w:val="00A6610D"/>
    <w:rsid w:val="00A80E26"/>
    <w:rsid w:val="00A81105"/>
    <w:rsid w:val="00A816DD"/>
    <w:rsid w:val="00A83A81"/>
    <w:rsid w:val="00A85445"/>
    <w:rsid w:val="00A9095F"/>
    <w:rsid w:val="00AA34E3"/>
    <w:rsid w:val="00AA4244"/>
    <w:rsid w:val="00AA7C49"/>
    <w:rsid w:val="00AB3DD5"/>
    <w:rsid w:val="00AB68B0"/>
    <w:rsid w:val="00AC1D94"/>
    <w:rsid w:val="00AC51A9"/>
    <w:rsid w:val="00AD0B88"/>
    <w:rsid w:val="00AD5721"/>
    <w:rsid w:val="00AD6124"/>
    <w:rsid w:val="00AE0487"/>
    <w:rsid w:val="00AE710A"/>
    <w:rsid w:val="00B0059E"/>
    <w:rsid w:val="00B020E4"/>
    <w:rsid w:val="00B04281"/>
    <w:rsid w:val="00B14009"/>
    <w:rsid w:val="00B262AB"/>
    <w:rsid w:val="00B27411"/>
    <w:rsid w:val="00B27A43"/>
    <w:rsid w:val="00B306E2"/>
    <w:rsid w:val="00B33CB7"/>
    <w:rsid w:val="00B36B85"/>
    <w:rsid w:val="00B3797A"/>
    <w:rsid w:val="00B37D63"/>
    <w:rsid w:val="00B432C6"/>
    <w:rsid w:val="00B617CD"/>
    <w:rsid w:val="00B64E61"/>
    <w:rsid w:val="00B666E1"/>
    <w:rsid w:val="00B70DA3"/>
    <w:rsid w:val="00B76AF5"/>
    <w:rsid w:val="00B805E0"/>
    <w:rsid w:val="00BA1F20"/>
    <w:rsid w:val="00BA25F7"/>
    <w:rsid w:val="00BB6CB3"/>
    <w:rsid w:val="00BB7010"/>
    <w:rsid w:val="00BC0BCA"/>
    <w:rsid w:val="00BC0C5A"/>
    <w:rsid w:val="00BC266F"/>
    <w:rsid w:val="00BC26C4"/>
    <w:rsid w:val="00BC30DA"/>
    <w:rsid w:val="00BC7CD6"/>
    <w:rsid w:val="00BD14E4"/>
    <w:rsid w:val="00BD4F11"/>
    <w:rsid w:val="00BE2424"/>
    <w:rsid w:val="00BE48D2"/>
    <w:rsid w:val="00BF0E72"/>
    <w:rsid w:val="00BF7A88"/>
    <w:rsid w:val="00C04DCF"/>
    <w:rsid w:val="00C06177"/>
    <w:rsid w:val="00C075EA"/>
    <w:rsid w:val="00C12557"/>
    <w:rsid w:val="00C17780"/>
    <w:rsid w:val="00C20D02"/>
    <w:rsid w:val="00C23990"/>
    <w:rsid w:val="00C25EC1"/>
    <w:rsid w:val="00C34C43"/>
    <w:rsid w:val="00C46460"/>
    <w:rsid w:val="00C50A26"/>
    <w:rsid w:val="00C534C4"/>
    <w:rsid w:val="00C609F0"/>
    <w:rsid w:val="00C61AC6"/>
    <w:rsid w:val="00C702C7"/>
    <w:rsid w:val="00C768F6"/>
    <w:rsid w:val="00C7732D"/>
    <w:rsid w:val="00C84430"/>
    <w:rsid w:val="00C8703B"/>
    <w:rsid w:val="00C91E9C"/>
    <w:rsid w:val="00C91FE3"/>
    <w:rsid w:val="00C92090"/>
    <w:rsid w:val="00C96A8C"/>
    <w:rsid w:val="00C972D6"/>
    <w:rsid w:val="00CA0421"/>
    <w:rsid w:val="00CA4A2F"/>
    <w:rsid w:val="00CA4E63"/>
    <w:rsid w:val="00CA5B05"/>
    <w:rsid w:val="00CB0732"/>
    <w:rsid w:val="00CC3B68"/>
    <w:rsid w:val="00CC5E8F"/>
    <w:rsid w:val="00CD0241"/>
    <w:rsid w:val="00CE1F43"/>
    <w:rsid w:val="00CF7F7F"/>
    <w:rsid w:val="00D0595B"/>
    <w:rsid w:val="00D106D0"/>
    <w:rsid w:val="00D236E8"/>
    <w:rsid w:val="00D2498E"/>
    <w:rsid w:val="00D26C6E"/>
    <w:rsid w:val="00D27B73"/>
    <w:rsid w:val="00D3495A"/>
    <w:rsid w:val="00D3704C"/>
    <w:rsid w:val="00D4280C"/>
    <w:rsid w:val="00D51EEC"/>
    <w:rsid w:val="00D5297D"/>
    <w:rsid w:val="00D52A6A"/>
    <w:rsid w:val="00D52F42"/>
    <w:rsid w:val="00D61DFC"/>
    <w:rsid w:val="00D71FCA"/>
    <w:rsid w:val="00D72D2B"/>
    <w:rsid w:val="00D77A87"/>
    <w:rsid w:val="00D815D0"/>
    <w:rsid w:val="00D87348"/>
    <w:rsid w:val="00D92F7C"/>
    <w:rsid w:val="00D93F3E"/>
    <w:rsid w:val="00DA1962"/>
    <w:rsid w:val="00DA3812"/>
    <w:rsid w:val="00DA5E31"/>
    <w:rsid w:val="00DB0B24"/>
    <w:rsid w:val="00DB0CB1"/>
    <w:rsid w:val="00DB52D6"/>
    <w:rsid w:val="00DB5D79"/>
    <w:rsid w:val="00DB76B4"/>
    <w:rsid w:val="00DC20E4"/>
    <w:rsid w:val="00DC4D91"/>
    <w:rsid w:val="00DE0039"/>
    <w:rsid w:val="00DF4B62"/>
    <w:rsid w:val="00E0517E"/>
    <w:rsid w:val="00E05E30"/>
    <w:rsid w:val="00E2529A"/>
    <w:rsid w:val="00E26113"/>
    <w:rsid w:val="00E266A4"/>
    <w:rsid w:val="00E31921"/>
    <w:rsid w:val="00E35306"/>
    <w:rsid w:val="00E35847"/>
    <w:rsid w:val="00E41A10"/>
    <w:rsid w:val="00E44646"/>
    <w:rsid w:val="00E5030F"/>
    <w:rsid w:val="00E51605"/>
    <w:rsid w:val="00E53A87"/>
    <w:rsid w:val="00E56F4A"/>
    <w:rsid w:val="00E66CC8"/>
    <w:rsid w:val="00E7170D"/>
    <w:rsid w:val="00E80B88"/>
    <w:rsid w:val="00E87432"/>
    <w:rsid w:val="00E943AD"/>
    <w:rsid w:val="00E943B8"/>
    <w:rsid w:val="00EA730A"/>
    <w:rsid w:val="00EB209E"/>
    <w:rsid w:val="00EB5CD1"/>
    <w:rsid w:val="00EC0880"/>
    <w:rsid w:val="00EC356A"/>
    <w:rsid w:val="00ED3275"/>
    <w:rsid w:val="00EE05E5"/>
    <w:rsid w:val="00EE16D4"/>
    <w:rsid w:val="00EE2C87"/>
    <w:rsid w:val="00EE389F"/>
    <w:rsid w:val="00EF4086"/>
    <w:rsid w:val="00EF7F7C"/>
    <w:rsid w:val="00F03CEB"/>
    <w:rsid w:val="00F045B9"/>
    <w:rsid w:val="00F04C42"/>
    <w:rsid w:val="00F12F02"/>
    <w:rsid w:val="00F1328F"/>
    <w:rsid w:val="00F15F5C"/>
    <w:rsid w:val="00F237F9"/>
    <w:rsid w:val="00F24393"/>
    <w:rsid w:val="00F3081C"/>
    <w:rsid w:val="00F448EC"/>
    <w:rsid w:val="00F562F4"/>
    <w:rsid w:val="00F565A3"/>
    <w:rsid w:val="00F63EE9"/>
    <w:rsid w:val="00F64334"/>
    <w:rsid w:val="00F71037"/>
    <w:rsid w:val="00F7435C"/>
    <w:rsid w:val="00F80EB4"/>
    <w:rsid w:val="00F8209F"/>
    <w:rsid w:val="00F85B56"/>
    <w:rsid w:val="00F866FD"/>
    <w:rsid w:val="00F90613"/>
    <w:rsid w:val="00F9119D"/>
    <w:rsid w:val="00F95B7A"/>
    <w:rsid w:val="00FA7D24"/>
    <w:rsid w:val="00FB0F12"/>
    <w:rsid w:val="00FB1DEC"/>
    <w:rsid w:val="00FB26B8"/>
    <w:rsid w:val="00FC2DB6"/>
    <w:rsid w:val="00FC34B1"/>
    <w:rsid w:val="00FC382A"/>
    <w:rsid w:val="00FC5C06"/>
    <w:rsid w:val="00FC6867"/>
    <w:rsid w:val="00FD0685"/>
    <w:rsid w:val="00FD3A89"/>
    <w:rsid w:val="00FD505C"/>
    <w:rsid w:val="00FD5D5D"/>
    <w:rsid w:val="00FE3B66"/>
    <w:rsid w:val="00FE7E6F"/>
    <w:rsid w:val="00FF368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54EC4E"/>
  <w15:chartTrackingRefBased/>
  <w15:docId w15:val="{02C2107E-0245-4D99-9862-B0B322D6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7D0A"/>
    <w:pPr>
      <w:spacing w:after="0" w:line="240" w:lineRule="atLeast"/>
    </w:pPr>
    <w:rPr>
      <w:sz w:val="17"/>
    </w:rPr>
  </w:style>
  <w:style w:type="paragraph" w:styleId="Nadpis1">
    <w:name w:val="heading 1"/>
    <w:basedOn w:val="Normln"/>
    <w:next w:val="Normln"/>
    <w:link w:val="Nadpis1Char"/>
    <w:uiPriority w:val="9"/>
    <w:qFormat/>
    <w:rsid w:val="0004031D"/>
    <w:pPr>
      <w:keepNext/>
      <w:keepLines/>
      <w:outlineLvl w:val="0"/>
    </w:pPr>
    <w:rPr>
      <w:rFonts w:asciiTheme="majorHAnsi" w:eastAsiaTheme="majorEastAsia" w:hAnsiTheme="majorHAnsi" w:cstheme="majorBidi"/>
      <w:b/>
      <w:bCs/>
      <w:color w:val="000000" w:themeColor="text1"/>
      <w:szCs w:val="28"/>
    </w:rPr>
  </w:style>
  <w:style w:type="paragraph" w:styleId="Nadpis2">
    <w:name w:val="heading 2"/>
    <w:basedOn w:val="Normln"/>
    <w:next w:val="Normln"/>
    <w:link w:val="Nadpis2Char"/>
    <w:uiPriority w:val="9"/>
    <w:qFormat/>
    <w:rsid w:val="007B2FB1"/>
    <w:pPr>
      <w:keepNext/>
      <w:keepLines/>
      <w:outlineLvl w:val="1"/>
    </w:pPr>
    <w:rPr>
      <w:rFonts w:asciiTheme="majorHAnsi" w:eastAsiaTheme="majorEastAsia" w:hAnsiTheme="majorHAnsi" w:cstheme="majorBidi"/>
      <w:b/>
      <w:bCs/>
      <w:i/>
      <w:color w:val="000000" w:themeColor="text1"/>
      <w:szCs w:val="26"/>
    </w:rPr>
  </w:style>
  <w:style w:type="paragraph" w:styleId="Nadpis3">
    <w:name w:val="heading 3"/>
    <w:basedOn w:val="Normln"/>
    <w:next w:val="Normln"/>
    <w:link w:val="Nadpis3Char"/>
    <w:uiPriority w:val="9"/>
    <w:semiHidden/>
    <w:qFormat/>
    <w:rsid w:val="00C61AC6"/>
    <w:pPr>
      <w:keepNext/>
      <w:keepLines/>
      <w:numPr>
        <w:ilvl w:val="2"/>
        <w:numId w:val="16"/>
      </w:numPr>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semiHidden/>
    <w:qFormat/>
    <w:rsid w:val="00255D53"/>
    <w:pPr>
      <w:keepNext/>
      <w:keepLines/>
      <w:tabs>
        <w:tab w:val="left" w:pos="340"/>
      </w:tabs>
      <w:outlineLvl w:val="3"/>
    </w:pPr>
    <w:rPr>
      <w:rFonts w:asciiTheme="majorHAnsi" w:eastAsiaTheme="majorEastAsia" w:hAnsiTheme="majorHAnsi" w:cstheme="majorBidi"/>
      <w:b/>
      <w:bCs/>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031D"/>
    <w:rPr>
      <w:rFonts w:asciiTheme="majorHAnsi" w:eastAsiaTheme="majorEastAsia" w:hAnsiTheme="majorHAnsi" w:cstheme="majorBidi"/>
      <w:b/>
      <w:bCs/>
      <w:color w:val="000000" w:themeColor="text1"/>
      <w:sz w:val="17"/>
      <w:szCs w:val="28"/>
    </w:rPr>
  </w:style>
  <w:style w:type="character" w:customStyle="1" w:styleId="Nadpis2Char">
    <w:name w:val="Nadpis 2 Char"/>
    <w:basedOn w:val="Standardnpsmoodstavce"/>
    <w:link w:val="Nadpis2"/>
    <w:uiPriority w:val="9"/>
    <w:rsid w:val="007B2FB1"/>
    <w:rPr>
      <w:rFonts w:asciiTheme="majorHAnsi" w:eastAsiaTheme="majorEastAsia" w:hAnsiTheme="majorHAnsi" w:cstheme="majorBidi"/>
      <w:b/>
      <w:bCs/>
      <w:i/>
      <w:color w:val="000000" w:themeColor="text1"/>
      <w:szCs w:val="26"/>
    </w:rPr>
  </w:style>
  <w:style w:type="table" w:styleId="Mkatabulky">
    <w:name w:val="Table Grid"/>
    <w:aliases w:val="Deloitte table 3"/>
    <w:basedOn w:val="Normlntabulka"/>
    <w:rsid w:val="00025E7D"/>
    <w:pPr>
      <w:spacing w:after="0" w:line="240" w:lineRule="auto"/>
    </w:pPr>
    <w:tblPr/>
  </w:style>
  <w:style w:type="paragraph" w:styleId="Zhlav">
    <w:name w:val="header"/>
    <w:link w:val="ZhlavChar"/>
    <w:uiPriority w:val="99"/>
    <w:rsid w:val="000A53E2"/>
    <w:pPr>
      <w:tabs>
        <w:tab w:val="center" w:pos="4513"/>
        <w:tab w:val="right" w:pos="9026"/>
      </w:tabs>
      <w:spacing w:after="0" w:line="240" w:lineRule="auto"/>
    </w:pPr>
    <w:rPr>
      <w:sz w:val="17"/>
    </w:rPr>
  </w:style>
  <w:style w:type="character" w:customStyle="1" w:styleId="ZhlavChar">
    <w:name w:val="Záhlaví Char"/>
    <w:basedOn w:val="Standardnpsmoodstavce"/>
    <w:link w:val="Zhlav"/>
    <w:uiPriority w:val="99"/>
    <w:rsid w:val="000A53E2"/>
    <w:rPr>
      <w:sz w:val="17"/>
    </w:rPr>
  </w:style>
  <w:style w:type="paragraph" w:styleId="Zpat">
    <w:name w:val="footer"/>
    <w:link w:val="ZpatChar"/>
    <w:uiPriority w:val="99"/>
    <w:rsid w:val="00350C8D"/>
    <w:pPr>
      <w:tabs>
        <w:tab w:val="right" w:pos="7371"/>
      </w:tabs>
      <w:spacing w:after="0" w:line="130" w:lineRule="exact"/>
      <w:ind w:right="227"/>
    </w:pPr>
    <w:rPr>
      <w:sz w:val="11"/>
    </w:rPr>
  </w:style>
  <w:style w:type="character" w:customStyle="1" w:styleId="ZpatChar">
    <w:name w:val="Zápatí Char"/>
    <w:basedOn w:val="Standardnpsmoodstavce"/>
    <w:link w:val="Zpat"/>
    <w:uiPriority w:val="99"/>
    <w:rsid w:val="00350C8D"/>
    <w:rPr>
      <w:sz w:val="11"/>
    </w:rPr>
  </w:style>
  <w:style w:type="paragraph" w:styleId="Textbubliny">
    <w:name w:val="Balloon Text"/>
    <w:basedOn w:val="Normln"/>
    <w:link w:val="TextbublinyChar"/>
    <w:uiPriority w:val="99"/>
    <w:semiHidden/>
    <w:rsid w:val="00C702C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02C7"/>
    <w:rPr>
      <w:rFonts w:ascii="Tahoma" w:hAnsi="Tahoma" w:cs="Tahoma"/>
      <w:sz w:val="16"/>
      <w:szCs w:val="16"/>
    </w:rPr>
  </w:style>
  <w:style w:type="paragraph" w:customStyle="1" w:styleId="Subject">
    <w:name w:val="Subject"/>
    <w:basedOn w:val="Normln"/>
    <w:semiHidden/>
    <w:qFormat/>
    <w:rsid w:val="00A43B3E"/>
    <w:rPr>
      <w:b/>
    </w:rPr>
  </w:style>
  <w:style w:type="character" w:styleId="Zstupntext">
    <w:name w:val="Placeholder Text"/>
    <w:basedOn w:val="Standardnpsmoodstavce"/>
    <w:uiPriority w:val="99"/>
    <w:semiHidden/>
    <w:rsid w:val="001975EF"/>
    <w:rPr>
      <w:color w:val="808080"/>
    </w:rPr>
  </w:style>
  <w:style w:type="paragraph" w:styleId="Seznamsodrkami">
    <w:name w:val="List Bullet"/>
    <w:basedOn w:val="Normln"/>
    <w:uiPriority w:val="99"/>
    <w:qFormat/>
    <w:rsid w:val="009A0464"/>
    <w:pPr>
      <w:numPr>
        <w:numId w:val="1"/>
      </w:numPr>
      <w:tabs>
        <w:tab w:val="clear" w:pos="360"/>
        <w:tab w:val="left" w:pos="227"/>
      </w:tabs>
      <w:ind w:left="227" w:hanging="227"/>
      <w:contextualSpacing/>
    </w:pPr>
  </w:style>
  <w:style w:type="paragraph" w:styleId="Seznamsodrkami2">
    <w:name w:val="List Bullet 2"/>
    <w:basedOn w:val="Normln"/>
    <w:uiPriority w:val="99"/>
    <w:qFormat/>
    <w:rsid w:val="009A0464"/>
    <w:pPr>
      <w:numPr>
        <w:numId w:val="2"/>
      </w:numPr>
      <w:ind w:left="454" w:hanging="227"/>
      <w:contextualSpacing/>
    </w:pPr>
  </w:style>
  <w:style w:type="paragraph" w:styleId="slovanseznam">
    <w:name w:val="List Number"/>
    <w:basedOn w:val="Normln"/>
    <w:uiPriority w:val="99"/>
    <w:qFormat/>
    <w:rsid w:val="00E26113"/>
    <w:pPr>
      <w:numPr>
        <w:numId w:val="3"/>
      </w:numPr>
      <w:ind w:left="340" w:hanging="340"/>
      <w:contextualSpacing/>
    </w:pPr>
  </w:style>
  <w:style w:type="paragraph" w:styleId="slovanseznam2">
    <w:name w:val="List Number 2"/>
    <w:basedOn w:val="Normln"/>
    <w:uiPriority w:val="99"/>
    <w:qFormat/>
    <w:rsid w:val="00E26113"/>
    <w:pPr>
      <w:numPr>
        <w:numId w:val="4"/>
      </w:numPr>
      <w:ind w:left="680" w:hanging="340"/>
      <w:contextualSpacing/>
    </w:pPr>
  </w:style>
  <w:style w:type="character" w:customStyle="1" w:styleId="Nadpis3Char">
    <w:name w:val="Nadpis 3 Char"/>
    <w:basedOn w:val="Standardnpsmoodstavce"/>
    <w:link w:val="Nadpis3"/>
    <w:uiPriority w:val="9"/>
    <w:semiHidden/>
    <w:rsid w:val="00C8703B"/>
    <w:rPr>
      <w:rFonts w:asciiTheme="majorHAnsi" w:eastAsiaTheme="majorEastAsia" w:hAnsiTheme="majorHAnsi" w:cstheme="majorBidi"/>
      <w:b/>
      <w:bCs/>
      <w:color w:val="000000" w:themeColor="text1"/>
    </w:rPr>
  </w:style>
  <w:style w:type="character" w:customStyle="1" w:styleId="Nadpis4Char">
    <w:name w:val="Nadpis 4 Char"/>
    <w:basedOn w:val="Standardnpsmoodstavce"/>
    <w:link w:val="Nadpis4"/>
    <w:uiPriority w:val="9"/>
    <w:semiHidden/>
    <w:rsid w:val="00C8703B"/>
    <w:rPr>
      <w:rFonts w:asciiTheme="majorHAnsi" w:eastAsiaTheme="majorEastAsia" w:hAnsiTheme="majorHAnsi" w:cstheme="majorBidi"/>
      <w:b/>
      <w:bCs/>
      <w:iCs/>
      <w:color w:val="000000" w:themeColor="text1"/>
    </w:rPr>
  </w:style>
  <w:style w:type="paragraph" w:styleId="Textpoznpodarou">
    <w:name w:val="footnote text"/>
    <w:basedOn w:val="Normln"/>
    <w:link w:val="TextpoznpodarouChar"/>
    <w:uiPriority w:val="99"/>
    <w:semiHidden/>
    <w:rsid w:val="00F3081C"/>
    <w:pPr>
      <w:spacing w:line="240" w:lineRule="auto"/>
    </w:pPr>
    <w:rPr>
      <w:sz w:val="16"/>
      <w:szCs w:val="20"/>
    </w:rPr>
  </w:style>
  <w:style w:type="character" w:customStyle="1" w:styleId="TextpoznpodarouChar">
    <w:name w:val="Text pozn. pod čarou Char"/>
    <w:basedOn w:val="Standardnpsmoodstavce"/>
    <w:link w:val="Textpoznpodarou"/>
    <w:uiPriority w:val="99"/>
    <w:semiHidden/>
    <w:rsid w:val="00C8703B"/>
    <w:rPr>
      <w:sz w:val="16"/>
      <w:szCs w:val="20"/>
    </w:rPr>
  </w:style>
  <w:style w:type="paragraph" w:customStyle="1" w:styleId="Documenttitle">
    <w:name w:val="Document title"/>
    <w:next w:val="Normln"/>
    <w:qFormat/>
    <w:rsid w:val="00703CBC"/>
    <w:pPr>
      <w:spacing w:after="0" w:line="240" w:lineRule="auto"/>
    </w:pPr>
    <w:rPr>
      <w:rFonts w:asciiTheme="majorHAnsi" w:eastAsiaTheme="majorEastAsia" w:hAnsiTheme="majorHAnsi" w:cstheme="majorBidi"/>
      <w:b/>
      <w:bCs/>
      <w:sz w:val="36"/>
      <w:szCs w:val="28"/>
    </w:rPr>
  </w:style>
  <w:style w:type="paragraph" w:customStyle="1" w:styleId="Subheading">
    <w:name w:val="Subheading"/>
    <w:basedOn w:val="Normln"/>
    <w:next w:val="Normln"/>
    <w:semiHidden/>
    <w:qFormat/>
    <w:rsid w:val="00D236E8"/>
    <w:rPr>
      <w:rFonts w:asciiTheme="majorHAnsi" w:eastAsiaTheme="majorEastAsia" w:hAnsiTheme="majorHAnsi" w:cstheme="majorBidi"/>
      <w:b/>
      <w:bCs/>
      <w:iCs/>
      <w:color w:val="000000" w:themeColor="text1"/>
    </w:rPr>
  </w:style>
  <w:style w:type="character" w:styleId="Znakapoznpodarou">
    <w:name w:val="footnote reference"/>
    <w:basedOn w:val="Standardnpsmoodstavce"/>
    <w:uiPriority w:val="99"/>
    <w:semiHidden/>
    <w:rsid w:val="00412EA0"/>
    <w:rPr>
      <w:vertAlign w:val="superscript"/>
    </w:rPr>
  </w:style>
  <w:style w:type="paragraph" w:customStyle="1" w:styleId="Deloitteaddress">
    <w:name w:val="Deloitte address"/>
    <w:basedOn w:val="Normln"/>
    <w:qFormat/>
    <w:rsid w:val="00235E99"/>
    <w:pPr>
      <w:spacing w:line="170" w:lineRule="atLeast"/>
    </w:pPr>
    <w:rPr>
      <w:sz w:val="14"/>
    </w:rPr>
  </w:style>
  <w:style w:type="paragraph" w:customStyle="1" w:styleId="Sponsortext">
    <w:name w:val="Sponsor text"/>
    <w:basedOn w:val="Zpat"/>
    <w:qFormat/>
    <w:rsid w:val="00350C8D"/>
    <w:pPr>
      <w:spacing w:line="170" w:lineRule="exact"/>
      <w:ind w:right="0"/>
    </w:pPr>
    <w:rPr>
      <w:sz w:val="14"/>
    </w:rPr>
  </w:style>
  <w:style w:type="paragraph" w:customStyle="1" w:styleId="BodyText1">
    <w:name w:val="Body Text1"/>
    <w:qFormat/>
    <w:rsid w:val="00E41A10"/>
    <w:pPr>
      <w:spacing w:after="0" w:line="240" w:lineRule="auto"/>
    </w:pPr>
    <w:rPr>
      <w:rFonts w:ascii="Arial" w:eastAsia="Times New Roman" w:hAnsi="Arial" w:cs="Times New Roman"/>
      <w:color w:val="000000"/>
      <w:szCs w:val="48"/>
      <w:lang w:val="cs-CZ"/>
    </w:rPr>
  </w:style>
  <w:style w:type="paragraph" w:styleId="Odstavecseseznamem">
    <w:name w:val="List Paragraph"/>
    <w:basedOn w:val="Normln"/>
    <w:uiPriority w:val="34"/>
    <w:qFormat/>
    <w:rsid w:val="00A2065A"/>
    <w:pPr>
      <w:ind w:left="720"/>
      <w:contextualSpacing/>
    </w:pPr>
  </w:style>
  <w:style w:type="character" w:styleId="Hypertextovodkaz">
    <w:name w:val="Hyperlink"/>
    <w:basedOn w:val="Standardnpsmoodstavce"/>
    <w:uiPriority w:val="99"/>
    <w:unhideWhenUsed/>
    <w:rsid w:val="00FA7D24"/>
    <w:rPr>
      <w:color w:val="00A3E0" w:themeColor="hyperlink"/>
      <w:u w:val="single"/>
    </w:rPr>
  </w:style>
  <w:style w:type="table" w:customStyle="1" w:styleId="Deloittetable">
    <w:name w:val="Deloitte table"/>
    <w:basedOn w:val="Normlntabulka"/>
    <w:uiPriority w:val="99"/>
    <w:rsid w:val="00B432C6"/>
    <w:pPr>
      <w:spacing w:after="0" w:line="240" w:lineRule="auto"/>
    </w:pPr>
    <w:rPr>
      <w:rFonts w:ascii="Verdana" w:eastAsia="Verdana" w:hAnsi="Verdana" w:cs="Times New Roman"/>
      <w:sz w:val="17"/>
      <w:szCs w:val="20"/>
      <w:lang w:val="cs-CZ" w:eastAsia="cs-CZ"/>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table" w:customStyle="1" w:styleId="Deloittetable2">
    <w:name w:val="Deloitte table 2"/>
    <w:basedOn w:val="Normlntabulka"/>
    <w:uiPriority w:val="99"/>
    <w:rsid w:val="00B432C6"/>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customStyle="1" w:styleId="smlouvaheading1">
    <w:name w:val="smlouva heading 1"/>
    <w:next w:val="Normln"/>
    <w:qFormat/>
    <w:rsid w:val="00147596"/>
    <w:pPr>
      <w:numPr>
        <w:numId w:val="25"/>
      </w:numPr>
      <w:spacing w:before="360" w:after="120" w:line="240" w:lineRule="auto"/>
    </w:pPr>
    <w:rPr>
      <w:rFonts w:ascii="Verdana" w:eastAsia="Times New Roman" w:hAnsi="Verdana" w:cs="Times New Roman"/>
      <w:b/>
      <w:caps/>
      <w:noProof/>
      <w:color w:val="000000" w:themeColor="text1"/>
      <w:sz w:val="17"/>
      <w:szCs w:val="24"/>
      <w:lang w:val="cs-CZ"/>
    </w:rPr>
  </w:style>
  <w:style w:type="paragraph" w:customStyle="1" w:styleId="smlouvaheading2">
    <w:name w:val="smlouva heading 2"/>
    <w:basedOn w:val="Normln"/>
    <w:next w:val="Normln"/>
    <w:qFormat/>
    <w:rsid w:val="00147596"/>
    <w:pPr>
      <w:numPr>
        <w:ilvl w:val="1"/>
        <w:numId w:val="25"/>
      </w:numPr>
      <w:spacing w:before="120" w:line="240" w:lineRule="auto"/>
      <w:jc w:val="both"/>
    </w:pPr>
    <w:rPr>
      <w:rFonts w:ascii="Verdana" w:eastAsia="Times New Roman" w:hAnsi="Verdana" w:cs="Times New Roman"/>
      <w:color w:val="000000" w:themeColor="text1"/>
      <w:lang w:val="cs-CZ"/>
    </w:rPr>
  </w:style>
  <w:style w:type="paragraph" w:customStyle="1" w:styleId="smlouvaheading3">
    <w:name w:val="smlouva heading 3"/>
    <w:basedOn w:val="smlouvaheading2"/>
    <w:next w:val="Normln"/>
    <w:qFormat/>
    <w:rsid w:val="00147596"/>
    <w:pPr>
      <w:numPr>
        <w:ilvl w:val="2"/>
      </w:numPr>
      <w:tabs>
        <w:tab w:val="left" w:pos="794"/>
      </w:tabs>
    </w:pPr>
  </w:style>
  <w:style w:type="paragraph" w:customStyle="1" w:styleId="smlouvaheading4">
    <w:name w:val="smlouva heading 4"/>
    <w:basedOn w:val="smlouvaheading3"/>
    <w:next w:val="Normln"/>
    <w:qFormat/>
    <w:rsid w:val="00147596"/>
    <w:pPr>
      <w:numPr>
        <w:ilvl w:val="3"/>
      </w:numPr>
      <w:tabs>
        <w:tab w:val="clear" w:pos="794"/>
      </w:tabs>
    </w:pPr>
    <w:rPr>
      <w:color w:val="auto"/>
    </w:rPr>
  </w:style>
  <w:style w:type="character" w:styleId="Odkaznakoment">
    <w:name w:val="annotation reference"/>
    <w:basedOn w:val="Standardnpsmoodstavce"/>
    <w:uiPriority w:val="99"/>
    <w:semiHidden/>
    <w:rsid w:val="004F3591"/>
    <w:rPr>
      <w:sz w:val="16"/>
      <w:szCs w:val="16"/>
    </w:rPr>
  </w:style>
  <w:style w:type="paragraph" w:styleId="Textkomente">
    <w:name w:val="annotation text"/>
    <w:basedOn w:val="Normln"/>
    <w:link w:val="TextkomenteChar"/>
    <w:uiPriority w:val="99"/>
    <w:semiHidden/>
    <w:rsid w:val="004F3591"/>
    <w:pPr>
      <w:spacing w:line="240" w:lineRule="auto"/>
    </w:pPr>
    <w:rPr>
      <w:sz w:val="20"/>
      <w:szCs w:val="20"/>
    </w:rPr>
  </w:style>
  <w:style w:type="character" w:customStyle="1" w:styleId="TextkomenteChar">
    <w:name w:val="Text komentáře Char"/>
    <w:basedOn w:val="Standardnpsmoodstavce"/>
    <w:link w:val="Textkomente"/>
    <w:uiPriority w:val="99"/>
    <w:semiHidden/>
    <w:rsid w:val="004F3591"/>
    <w:rPr>
      <w:sz w:val="20"/>
      <w:szCs w:val="20"/>
    </w:rPr>
  </w:style>
  <w:style w:type="paragraph" w:styleId="Pedmtkomente">
    <w:name w:val="annotation subject"/>
    <w:basedOn w:val="Textkomente"/>
    <w:next w:val="Textkomente"/>
    <w:link w:val="PedmtkomenteChar"/>
    <w:uiPriority w:val="99"/>
    <w:semiHidden/>
    <w:rsid w:val="004F3591"/>
    <w:rPr>
      <w:b/>
      <w:bCs/>
    </w:rPr>
  </w:style>
  <w:style w:type="character" w:customStyle="1" w:styleId="PedmtkomenteChar">
    <w:name w:val="Předmět komentáře Char"/>
    <w:basedOn w:val="TextkomenteChar"/>
    <w:link w:val="Pedmtkomente"/>
    <w:uiPriority w:val="99"/>
    <w:semiHidden/>
    <w:rsid w:val="004F3591"/>
    <w:rPr>
      <w:b/>
      <w:bCs/>
      <w:sz w:val="20"/>
      <w:szCs w:val="20"/>
    </w:rPr>
  </w:style>
  <w:style w:type="character" w:customStyle="1" w:styleId="TextkomenteChar1">
    <w:name w:val="Text komentáře Char1"/>
    <w:uiPriority w:val="99"/>
    <w:semiHidden/>
    <w:rsid w:val="00862ED2"/>
    <w:rPr>
      <w:lang w:eastAsia="ar-SA"/>
    </w:rPr>
  </w:style>
  <w:style w:type="paragraph" w:customStyle="1" w:styleId="xxmsonormal">
    <w:name w:val="x_xmsonormal"/>
    <w:basedOn w:val="Normln"/>
    <w:rsid w:val="00862ED2"/>
    <w:pPr>
      <w:spacing w:line="240" w:lineRule="auto"/>
    </w:pPr>
    <w:rPr>
      <w:rFonts w:ascii="Calibri" w:eastAsia="Calibri" w:hAnsi="Calibri" w:cs="Calibri"/>
      <w:sz w:val="22"/>
      <w:lang w:val="cs-CZ" w:eastAsia="cs-CZ"/>
    </w:rPr>
  </w:style>
  <w:style w:type="paragraph" w:styleId="Revize">
    <w:name w:val="Revision"/>
    <w:hidden/>
    <w:uiPriority w:val="99"/>
    <w:semiHidden/>
    <w:rsid w:val="00780E64"/>
    <w:pPr>
      <w:spacing w:after="0" w:line="240" w:lineRule="auto"/>
    </w:pPr>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26306614">
      <w:bodyDiv w:val="1"/>
      <w:marLeft w:val="0"/>
      <w:marRight w:val="0"/>
      <w:marTop w:val="0"/>
      <w:marBottom w:val="0"/>
      <w:divBdr>
        <w:top w:val="none" w:sz="0" w:space="0" w:color="auto"/>
        <w:left w:val="none" w:sz="0" w:space="0" w:color="auto"/>
        <w:bottom w:val="none" w:sz="0" w:space="0" w:color="auto"/>
        <w:right w:val="none" w:sz="0" w:space="0" w:color="auto"/>
      </w:divBdr>
    </w:div>
    <w:div w:id="109748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nkova\AppData\Roaming\Microsoft\Templates\Czech%20Republic\Letterhead_Legal_cze.dotx" TargetMode="External"/></Relationships>
</file>

<file path=word/theme/theme1.xml><?xml version="1.0" encoding="utf-8"?>
<a:theme xmlns:a="http://schemas.openxmlformats.org/drawingml/2006/main" name="Office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PS11433</RequestID>
    <PocetZnRetezec xmlns="acca34e4-9ecd-41c8-99eb-d6aa654aaa55" xsi:nil="true"/>
    <Block_WF xmlns="acca34e4-9ecd-41c8-99eb-d6aa654aaa55">3</Block_WF>
    <ZkracenyRetezec xmlns="acca34e4-9ecd-41c8-99eb-d6aa654aaa55">2339-2036/2036-19_RS.docx</ZkracenyRetezec>
    <Smazat xmlns="acca34e4-9ecd-41c8-99eb-d6aa654aaa55">&lt;a href="/sites/evidencesmluv/_layouts/15/IniWrkflIP.aspx?List=%7b06793727-BBB9-4189-9F5D-E18E36F4EA7C%7d&amp;amp;ID=3692&amp;amp;ItemGuid=%7bBE0BE885-D77F-40A2-B552-17DCB3B5A2AA%7d&amp;amp;TemplateID=%7bc9672366-ba83-4c7a-b3ac-82af318e27d3%7d"&gt;&lt;img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6351F-704B-4ECD-843F-8754E42E149C}"/>
</file>

<file path=customXml/itemProps2.xml><?xml version="1.0" encoding="utf-8"?>
<ds:datastoreItem xmlns:ds="http://schemas.openxmlformats.org/officeDocument/2006/customXml" ds:itemID="{9AA3F7CE-B927-4E84-A414-B15640A6F05F}"/>
</file>

<file path=customXml/itemProps3.xml><?xml version="1.0" encoding="utf-8"?>
<ds:datastoreItem xmlns:ds="http://schemas.openxmlformats.org/officeDocument/2006/customXml" ds:itemID="{2C38ED3B-12CD-4C9E-AAC9-7424E6EFFCFC}"/>
</file>

<file path=customXml/itemProps4.xml><?xml version="1.0" encoding="utf-8"?>
<ds:datastoreItem xmlns:ds="http://schemas.openxmlformats.org/officeDocument/2006/customXml" ds:itemID="{B3A6351F-704B-4ECD-843F-8754E42E149C}">
  <ds:schemaRefs>
    <ds:schemaRef ds:uri="http://schemas.microsoft.com/sharepoint/v3/contenttype/forms"/>
  </ds:schemaRefs>
</ds:datastoreItem>
</file>

<file path=customXml/itemProps5.xml><?xml version="1.0" encoding="utf-8"?>
<ds:datastoreItem xmlns:ds="http://schemas.openxmlformats.org/officeDocument/2006/customXml" ds:itemID="{A24E5447-BBA7-4413-A7E2-182C1B6298C1}"/>
</file>

<file path=docProps/app.xml><?xml version="1.0" encoding="utf-8"?>
<Properties xmlns="http://schemas.openxmlformats.org/officeDocument/2006/extended-properties" xmlns:vt="http://schemas.openxmlformats.org/officeDocument/2006/docPropsVTypes">
  <Template>Letterhead_Legal_cze</Template>
  <TotalTime>0</TotalTime>
  <Pages>6</Pages>
  <Words>3066</Words>
  <Characters>18095</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Letterhead</vt:lpstr>
      <vt:lpstr>Letterhead</vt:lpstr>
    </vt:vector>
  </TitlesOfParts>
  <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Deloitte</dc:creator>
  <cp:keywords/>
  <dc:description/>
  <cp:lastModifiedBy>Kotusová Zuzana, Bc. DiS.</cp:lastModifiedBy>
  <cp:revision>2</cp:revision>
  <cp:lastPrinted>2016-03-18T10:02:00Z</cp:lastPrinted>
  <dcterms:created xsi:type="dcterms:W3CDTF">2020-01-31T08:22:00Z</dcterms:created>
  <dcterms:modified xsi:type="dcterms:W3CDTF">2020-01-31T08:22:00Z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0x010100EFF427952D4E634383E9B8E9D938055A00D1BE4ACD4ABAF74B81E6C4ABF9FBDE5D</vt:lpwstr>
  </property>
  <property fmtid="{D5CDD505-2E9C-101B-9397-08002B2CF9AE}" pid="3" name="MSIP_Label_2063cd7f-2d21-486a-9f29-9c1683fdd175_Enabled">
    <vt:lpwstr>True</vt:lpwstr>
  </property>
  <property fmtid="{D5CDD505-2E9C-101B-9397-08002B2CF9AE}" pid="4" name="MSIP_Label_2063cd7f-2d21-486a-9f29-9c1683fdd175_SiteId">
    <vt:lpwstr>0f277086-d4e0-4971-bc1a-bbc5df0eb246</vt:lpwstr>
  </property>
  <property fmtid="{D5CDD505-2E9C-101B-9397-08002B2CF9AE}" pid="5" name="MSIP_Label_2063cd7f-2d21-486a-9f29-9c1683fdd175_Owner">
    <vt:lpwstr>11668@vfn.cz</vt:lpwstr>
  </property>
  <property fmtid="{D5CDD505-2E9C-101B-9397-08002B2CF9AE}" pid="6" name="MSIP_Label_2063cd7f-2d21-486a-9f29-9c1683fdd175_SetDate">
    <vt:lpwstr>2019-11-11T09:39:07.6737690Z</vt:lpwstr>
  </property>
  <property fmtid="{D5CDD505-2E9C-101B-9397-08002B2CF9AE}" pid="7" name="MSIP_Label_2063cd7f-2d21-486a-9f29-9c1683fdd175_Name">
    <vt:lpwstr>Veřejné</vt:lpwstr>
  </property>
  <property fmtid="{D5CDD505-2E9C-101B-9397-08002B2CF9AE}" pid="8" name="MSIP_Label_2063cd7f-2d21-486a-9f29-9c1683fdd175_Application">
    <vt:lpwstr>Microsoft Azure Information Protection</vt:lpwstr>
  </property>
  <property fmtid="{D5CDD505-2E9C-101B-9397-08002B2CF9AE}" pid="9" name="MSIP_Label_2063cd7f-2d21-486a-9f29-9c1683fdd175_Extended_MSFT_Method">
    <vt:lpwstr>Automatic</vt:lpwstr>
  </property>
  <property fmtid="{D5CDD505-2E9C-101B-9397-08002B2CF9AE}" pid="10" name="Sensitivity">
    <vt:lpwstr>Veřejné</vt:lpwstr>
  </property>
  <property fmtid="{D5CDD505-2E9C-101B-9397-08002B2CF9AE}" pid="11" name="_dlc_DocIdItemGuid">
    <vt:lpwstr>24a30424-80ff-40ac-bff1-ce6176a1fc6c</vt:lpwstr>
  </property>
  <property fmtid="{D5CDD505-2E9C-101B-9397-08002B2CF9AE}" pid="12" name="WorkflowChangePath">
    <vt:lpwstr>f8762d31-0726-4d3d-a0c7-8357f48798a5,2;f8762d31-0726-4d3d-a0c7-8357f48798a5,2;f8762d31-0726-4d3d-a0c7-8357f48798a5,2;</vt:lpwstr>
  </property>
</Properties>
</file>