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13163">
        <w:rPr>
          <w:b/>
          <w:sz w:val="32"/>
          <w:szCs w:val="32"/>
        </w:rPr>
        <w:t xml:space="preserve">2 </w:t>
      </w:r>
      <w:r w:rsidRPr="00272EE2">
        <w:rPr>
          <w:b/>
          <w:sz w:val="32"/>
          <w:szCs w:val="32"/>
        </w:rPr>
        <w:t xml:space="preserve">ke Smlouvě o dílo </w:t>
      </w:r>
    </w:p>
    <w:p w:rsidR="00A1678F" w:rsidRPr="00272EE2" w:rsidRDefault="00A1678F" w:rsidP="00A1678F">
      <w:pPr>
        <w:jc w:val="center"/>
        <w:rPr>
          <w:b/>
          <w:bCs/>
          <w:sz w:val="40"/>
          <w:szCs w:val="40"/>
        </w:rPr>
      </w:pPr>
      <w:r w:rsidRPr="00272EE2">
        <w:rPr>
          <w:b/>
          <w:bCs/>
          <w:sz w:val="40"/>
          <w:szCs w:val="40"/>
        </w:rPr>
        <w:t>č. 201</w:t>
      </w:r>
      <w:r w:rsidR="0054176F">
        <w:rPr>
          <w:b/>
          <w:bCs/>
          <w:sz w:val="40"/>
          <w:szCs w:val="40"/>
        </w:rPr>
        <w:t>9</w:t>
      </w:r>
      <w:r w:rsidRPr="00272EE2">
        <w:rPr>
          <w:b/>
          <w:bCs/>
          <w:sz w:val="40"/>
          <w:szCs w:val="40"/>
        </w:rPr>
        <w:t>/OIVZ/0</w:t>
      </w:r>
      <w:r w:rsidR="007928D1">
        <w:rPr>
          <w:b/>
          <w:bCs/>
          <w:sz w:val="40"/>
          <w:szCs w:val="40"/>
        </w:rPr>
        <w:t>01</w:t>
      </w:r>
    </w:p>
    <w:p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A1678F" w:rsidRDefault="00A1678F" w:rsidP="00C3241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uzavřený podle ust. § 2586 a násl. zákona č. 89/2012 Sb., občanského zákoníku </w:t>
      </w:r>
    </w:p>
    <w:p w:rsidR="00C32417" w:rsidRPr="00751BF3" w:rsidRDefault="00C32417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751BF3">
        <w:rPr>
          <w:sz w:val="20"/>
          <w:szCs w:val="20"/>
        </w:rPr>
        <w:t>(dále jen „</w:t>
      </w:r>
      <w:r w:rsidR="002A3CA2">
        <w:rPr>
          <w:sz w:val="20"/>
          <w:szCs w:val="20"/>
        </w:rPr>
        <w:t>D</w:t>
      </w:r>
      <w:r w:rsidR="00CE645A" w:rsidRPr="00751BF3">
        <w:rPr>
          <w:sz w:val="20"/>
          <w:szCs w:val="20"/>
        </w:rPr>
        <w:t xml:space="preserve">odatek </w:t>
      </w:r>
      <w:r w:rsidRPr="00751BF3">
        <w:rPr>
          <w:sz w:val="20"/>
          <w:szCs w:val="20"/>
        </w:rPr>
        <w:t xml:space="preserve">č. </w:t>
      </w:r>
      <w:r w:rsidR="00213163">
        <w:rPr>
          <w:sz w:val="20"/>
          <w:szCs w:val="20"/>
        </w:rPr>
        <w:t>2</w:t>
      </w:r>
      <w:r w:rsidRPr="00751BF3">
        <w:rPr>
          <w:sz w:val="20"/>
          <w:szCs w:val="20"/>
        </w:rPr>
        <w:t>“)</w:t>
      </w:r>
    </w:p>
    <w:p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:rsidR="007928D1" w:rsidRPr="00750455" w:rsidRDefault="007928D1" w:rsidP="007928D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</w:p>
    <w:p w:rsidR="007928D1" w:rsidRPr="00750455" w:rsidRDefault="007928D1" w:rsidP="007928D1">
      <w:pPr>
        <w:rPr>
          <w:szCs w:val="22"/>
        </w:rPr>
      </w:pPr>
      <w:r w:rsidRPr="00750455">
        <w:rPr>
          <w:szCs w:val="22"/>
        </w:rPr>
        <w:t>zastoupen</w:t>
      </w:r>
      <w:r>
        <w:rPr>
          <w:szCs w:val="22"/>
        </w:rPr>
        <w:t>á</w:t>
      </w:r>
      <w:r w:rsidRPr="00750455">
        <w:rPr>
          <w:szCs w:val="22"/>
        </w:rPr>
        <w:t xml:space="preserve">:              </w:t>
      </w:r>
      <w:r w:rsidRPr="00750455">
        <w:rPr>
          <w:szCs w:val="22"/>
        </w:rPr>
        <w:tab/>
      </w:r>
      <w:r>
        <w:rPr>
          <w:szCs w:val="22"/>
        </w:rPr>
        <w:tab/>
        <w:t>Mgr. Jan Čižinský</w:t>
      </w:r>
      <w:r w:rsidRPr="00AD0D5B">
        <w:rPr>
          <w:szCs w:val="22"/>
        </w:rPr>
        <w:t>, starosta MČ Praha 7</w:t>
      </w:r>
    </w:p>
    <w:p w:rsidR="007928D1" w:rsidRPr="00750455" w:rsidRDefault="007928D1" w:rsidP="007928D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szCs w:val="22"/>
        </w:rPr>
        <w:tab/>
      </w:r>
      <w:r w:rsidR="00213163">
        <w:rPr>
          <w:szCs w:val="22"/>
        </w:rPr>
        <w:t>U Průhonu 1338/38</w:t>
      </w:r>
      <w:r w:rsidRPr="00750455">
        <w:rPr>
          <w:szCs w:val="22"/>
        </w:rPr>
        <w:t>, 170 00 Praha 7</w:t>
      </w:r>
    </w:p>
    <w:p w:rsidR="007928D1" w:rsidRDefault="007928D1" w:rsidP="007928D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:rsidR="007928D1" w:rsidRPr="00750455" w:rsidRDefault="007928D1" w:rsidP="007928D1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:rsidR="007928D1" w:rsidRPr="00A96A1B" w:rsidRDefault="007928D1" w:rsidP="007928D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:rsidR="007928D1" w:rsidRPr="00A96A1B" w:rsidRDefault="007928D1" w:rsidP="007928D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A96A1B">
        <w:rPr>
          <w:szCs w:val="22"/>
        </w:rPr>
        <w:t xml:space="preserve">      </w:t>
      </w:r>
    </w:p>
    <w:p w:rsidR="007928D1" w:rsidRPr="00415B35" w:rsidRDefault="007928D1" w:rsidP="007928D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          </w:t>
      </w:r>
      <w:r>
        <w:rPr>
          <w:szCs w:val="22"/>
        </w:rPr>
        <w:tab/>
      </w:r>
    </w:p>
    <w:p w:rsidR="007928D1" w:rsidRPr="009A0269" w:rsidRDefault="007928D1" w:rsidP="007928D1">
      <w:pPr>
        <w:spacing w:line="240" w:lineRule="exact"/>
        <w:jc w:val="both"/>
        <w:rPr>
          <w:szCs w:val="22"/>
        </w:rPr>
      </w:pPr>
      <w:r w:rsidRPr="00415B35">
        <w:rPr>
          <w:szCs w:val="22"/>
        </w:rPr>
        <w:t xml:space="preserve">e-mail:                                 </w:t>
      </w:r>
    </w:p>
    <w:p w:rsidR="007928D1" w:rsidRPr="00360E0B" w:rsidRDefault="007928D1" w:rsidP="007928D1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:rsidR="007928D1" w:rsidRDefault="007928D1" w:rsidP="007928D1">
      <w:pPr>
        <w:spacing w:line="240" w:lineRule="exact"/>
        <w:jc w:val="both"/>
        <w:rPr>
          <w:b/>
          <w:szCs w:val="22"/>
        </w:rPr>
      </w:pPr>
    </w:p>
    <w:p w:rsidR="007928D1" w:rsidRDefault="007928D1" w:rsidP="007928D1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:rsidR="007928D1" w:rsidRPr="009C1A2A" w:rsidRDefault="007928D1" w:rsidP="007928D1">
      <w:pPr>
        <w:spacing w:line="240" w:lineRule="exact"/>
        <w:jc w:val="both"/>
        <w:rPr>
          <w:b/>
          <w:szCs w:val="22"/>
        </w:rPr>
      </w:pP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BUILDER CONSTRUCTIONS s.r.o.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4950DE">
        <w:rPr>
          <w:rFonts w:ascii="Arial" w:hAnsi="Arial" w:cs="Arial"/>
          <w:sz w:val="22"/>
          <w:szCs w:val="22"/>
        </w:rPr>
        <w:t>Roman Pipasik, jednatel společnosti</w:t>
      </w: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Magistrů 168/2, 140 00 Praha 4 - Michle</w:t>
      </w: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IČO: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04543181</w:t>
      </w: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DIČ: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CZ04543181</w:t>
      </w:r>
    </w:p>
    <w:p w:rsidR="007928D1" w:rsidRPr="007A3FF7" w:rsidRDefault="007928D1" w:rsidP="007928D1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rejstříku vedeném </w:t>
      </w:r>
      <w:r>
        <w:rPr>
          <w:szCs w:val="22"/>
        </w:rPr>
        <w:t>Městským soudem v Praze</w:t>
      </w:r>
      <w:r w:rsidRPr="007A3FF7">
        <w:rPr>
          <w:szCs w:val="22"/>
        </w:rPr>
        <w:t xml:space="preserve"> oddíl </w:t>
      </w:r>
      <w:r>
        <w:rPr>
          <w:szCs w:val="22"/>
        </w:rPr>
        <w:t>C</w:t>
      </w:r>
      <w:r w:rsidRPr="00A63B2F">
        <w:rPr>
          <w:szCs w:val="22"/>
        </w:rPr>
        <w:t xml:space="preserve">, vložka </w:t>
      </w:r>
      <w:r>
        <w:rPr>
          <w:szCs w:val="22"/>
        </w:rPr>
        <w:t>249405</w:t>
      </w: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 a.s.</w:t>
      </w:r>
    </w:p>
    <w:p w:rsidR="007928D1" w:rsidRPr="007A3FF7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33956" w:rsidRDefault="007928D1" w:rsidP="007928D1">
      <w:pPr>
        <w:pStyle w:val="Zkladntext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tel./fax: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:rsidR="007928D1" w:rsidRPr="00415B35" w:rsidRDefault="007928D1" w:rsidP="007928D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e-mail: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7928D1" w:rsidRPr="00360E0B" w:rsidRDefault="007928D1" w:rsidP="007928D1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:rsidR="00A1678F" w:rsidRDefault="00A1678F" w:rsidP="000D374D">
      <w:pPr>
        <w:pStyle w:val="Zkladntext2"/>
        <w:pBdr>
          <w:top w:val="single" w:sz="4" w:space="1" w:color="auto"/>
          <w:bottom w:val="single" w:sz="4" w:space="1" w:color="auto"/>
        </w:pBdr>
        <w:spacing w:before="240" w:line="276" w:lineRule="auto"/>
        <w:rPr>
          <w:szCs w:val="22"/>
        </w:rPr>
      </w:pPr>
      <w:r>
        <w:rPr>
          <w:szCs w:val="22"/>
        </w:rPr>
        <w:t>T</w:t>
      </w:r>
      <w:r w:rsidR="00272EE2">
        <w:rPr>
          <w:szCs w:val="22"/>
        </w:rPr>
        <w:t xml:space="preserve">ento Dodatek </w:t>
      </w:r>
      <w:r w:rsidR="00213163">
        <w:rPr>
          <w:szCs w:val="22"/>
        </w:rPr>
        <w:t>č. 2</w:t>
      </w:r>
      <w:r w:rsidR="000B2E63">
        <w:rPr>
          <w:szCs w:val="22"/>
        </w:rPr>
        <w:t xml:space="preserve"> ke</w:t>
      </w:r>
      <w:r w:rsidR="004950DE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>
        <w:rPr>
          <w:szCs w:val="22"/>
        </w:rPr>
        <w:t xml:space="preserve"> o dílo č. 201</w:t>
      </w:r>
      <w:r w:rsidR="0054176F">
        <w:rPr>
          <w:szCs w:val="22"/>
        </w:rPr>
        <w:t>9</w:t>
      </w:r>
      <w:r>
        <w:rPr>
          <w:szCs w:val="22"/>
        </w:rPr>
        <w:t>/OIVZ/0</w:t>
      </w:r>
      <w:r w:rsidR="007928D1">
        <w:rPr>
          <w:szCs w:val="22"/>
        </w:rPr>
        <w:t>01</w:t>
      </w:r>
      <w:r w:rsidR="004950DE">
        <w:rPr>
          <w:szCs w:val="22"/>
        </w:rPr>
        <w:t xml:space="preserve"> </w:t>
      </w:r>
      <w:r>
        <w:rPr>
          <w:szCs w:val="22"/>
        </w:rPr>
        <w:t xml:space="preserve">je uzavřen na základě rozhodnutí Rady MČ Praha 7 č. </w:t>
      </w:r>
      <w:r w:rsidRPr="00F95092">
        <w:rPr>
          <w:szCs w:val="22"/>
        </w:rPr>
        <w:t xml:space="preserve">usnesení </w:t>
      </w:r>
      <w:r w:rsidR="004950DE">
        <w:rPr>
          <w:szCs w:val="22"/>
        </w:rPr>
        <w:t>0200</w:t>
      </w:r>
      <w:r w:rsidR="007208EA">
        <w:rPr>
          <w:szCs w:val="22"/>
        </w:rPr>
        <w:t>/</w:t>
      </w:r>
      <w:r w:rsidR="0054176F">
        <w:rPr>
          <w:szCs w:val="22"/>
        </w:rPr>
        <w:t>20</w:t>
      </w:r>
      <w:r w:rsidRPr="00F95092">
        <w:rPr>
          <w:szCs w:val="22"/>
        </w:rPr>
        <w:t xml:space="preserve">-R z jednání č. </w:t>
      </w:r>
      <w:r w:rsidR="004950DE">
        <w:rPr>
          <w:szCs w:val="22"/>
        </w:rPr>
        <w:t xml:space="preserve">16 </w:t>
      </w:r>
      <w:r w:rsidRPr="00F95092">
        <w:rPr>
          <w:szCs w:val="22"/>
        </w:rPr>
        <w:t xml:space="preserve">ze dne </w:t>
      </w:r>
      <w:r w:rsidR="004950DE">
        <w:rPr>
          <w:szCs w:val="22"/>
        </w:rPr>
        <w:t>24. 3.</w:t>
      </w:r>
      <w:r w:rsidRPr="00F95092">
        <w:rPr>
          <w:szCs w:val="22"/>
        </w:rPr>
        <w:t xml:space="preserve"> 20</w:t>
      </w:r>
      <w:r w:rsidR="0054176F">
        <w:rPr>
          <w:szCs w:val="22"/>
        </w:rPr>
        <w:t>20</w:t>
      </w:r>
      <w:r w:rsidRPr="00F95092">
        <w:rPr>
          <w:szCs w:val="22"/>
        </w:rPr>
        <w:t>.</w:t>
      </w:r>
    </w:p>
    <w:p w:rsidR="00272EE2" w:rsidRPr="007208EA" w:rsidRDefault="00272EE2" w:rsidP="000C16FE">
      <w:pPr>
        <w:pStyle w:val="Zkladntext2"/>
        <w:spacing w:line="240" w:lineRule="auto"/>
        <w:jc w:val="both"/>
        <w:rPr>
          <w:szCs w:val="22"/>
        </w:rPr>
      </w:pPr>
      <w:r>
        <w:rPr>
          <w:szCs w:val="22"/>
        </w:rPr>
        <w:t>Smluvní strany se v souladu s čl. 14. odst. 14.</w:t>
      </w:r>
      <w:r w:rsidR="000B2E63">
        <w:rPr>
          <w:szCs w:val="22"/>
        </w:rPr>
        <w:t>3</w:t>
      </w:r>
      <w:r>
        <w:rPr>
          <w:szCs w:val="22"/>
        </w:rPr>
        <w:t xml:space="preserve"> S</w:t>
      </w:r>
      <w:r>
        <w:rPr>
          <w:szCs w:val="22"/>
          <w:lang w:eastAsia="cs-CZ"/>
        </w:rPr>
        <w:t>mlouvy o dílo č. 201</w:t>
      </w:r>
      <w:r w:rsidR="00CE4011">
        <w:rPr>
          <w:szCs w:val="22"/>
          <w:lang w:eastAsia="cs-CZ"/>
        </w:rPr>
        <w:t>9</w:t>
      </w:r>
      <w:r>
        <w:rPr>
          <w:szCs w:val="22"/>
          <w:lang w:eastAsia="cs-CZ"/>
        </w:rPr>
        <w:t>/OIVZ/0</w:t>
      </w:r>
      <w:r w:rsidR="00B36710">
        <w:rPr>
          <w:szCs w:val="22"/>
          <w:lang w:eastAsia="cs-CZ"/>
        </w:rPr>
        <w:t>01</w:t>
      </w:r>
      <w:r>
        <w:rPr>
          <w:szCs w:val="22"/>
          <w:lang w:eastAsia="cs-CZ"/>
        </w:rPr>
        <w:t xml:space="preserve">, </w:t>
      </w:r>
      <w:r>
        <w:rPr>
          <w:szCs w:val="22"/>
        </w:rPr>
        <w:t xml:space="preserve">která byla uzavřena dne </w:t>
      </w:r>
      <w:r w:rsidR="00982595">
        <w:rPr>
          <w:szCs w:val="22"/>
        </w:rPr>
        <w:t>19. 9</w:t>
      </w:r>
      <w:r w:rsidR="00CE4011">
        <w:rPr>
          <w:szCs w:val="22"/>
        </w:rPr>
        <w:t>. 2019</w:t>
      </w:r>
      <w:r>
        <w:rPr>
          <w:szCs w:val="22"/>
        </w:rPr>
        <w:t xml:space="preserve"> (dále </w:t>
      </w:r>
      <w:r>
        <w:rPr>
          <w:szCs w:val="22"/>
          <w:lang w:eastAsia="cs-CZ"/>
        </w:rPr>
        <w:t>jen „</w:t>
      </w:r>
      <w:r>
        <w:rPr>
          <w:szCs w:val="22"/>
        </w:rPr>
        <w:t>S</w:t>
      </w:r>
      <w:r>
        <w:rPr>
          <w:szCs w:val="22"/>
          <w:lang w:eastAsia="cs-CZ"/>
        </w:rPr>
        <w:t xml:space="preserve">mlouva“), </w:t>
      </w:r>
      <w:r w:rsidR="000B145C">
        <w:rPr>
          <w:szCs w:val="22"/>
          <w:lang w:eastAsia="cs-CZ"/>
        </w:rPr>
        <w:t xml:space="preserve">pro realizaci </w:t>
      </w:r>
      <w:r w:rsidR="00982595">
        <w:rPr>
          <w:szCs w:val="22"/>
          <w:lang w:eastAsia="cs-CZ"/>
        </w:rPr>
        <w:t xml:space="preserve">podlimitní </w:t>
      </w:r>
      <w:r w:rsidR="007208EA">
        <w:rPr>
          <w:szCs w:val="22"/>
        </w:rPr>
        <w:t xml:space="preserve">veřejné zakázky vyhlášené objednatelem pod názvem </w:t>
      </w:r>
      <w:r w:rsidR="00F06594" w:rsidRPr="003A615B">
        <w:rPr>
          <w:b/>
          <w:szCs w:val="22"/>
        </w:rPr>
        <w:t>„Revitalizace lékařského domu Dukelských hrdinů 342/1“</w:t>
      </w:r>
      <w:r>
        <w:rPr>
          <w:b/>
          <w:szCs w:val="22"/>
        </w:rPr>
        <w:t>,</w:t>
      </w:r>
      <w:r>
        <w:rPr>
          <w:szCs w:val="22"/>
        </w:rPr>
        <w:t xml:space="preserve"> v souladu s </w:t>
      </w:r>
      <w:r w:rsidR="007208EA">
        <w:rPr>
          <w:szCs w:val="22"/>
        </w:rPr>
        <w:t>u</w:t>
      </w:r>
      <w:r>
        <w:rPr>
          <w:szCs w:val="22"/>
        </w:rPr>
        <w:t xml:space="preserve">snesením Rady MČ č. </w:t>
      </w:r>
      <w:r w:rsidR="00F06594">
        <w:rPr>
          <w:szCs w:val="22"/>
        </w:rPr>
        <w:t xml:space="preserve">0588/19-R </w:t>
      </w:r>
      <w:r w:rsidR="00F06594" w:rsidRPr="00C57A74">
        <w:rPr>
          <w:szCs w:val="22"/>
        </w:rPr>
        <w:t xml:space="preserve">z jednání </w:t>
      </w:r>
      <w:r w:rsidR="00F06594">
        <w:rPr>
          <w:szCs w:val="22"/>
        </w:rPr>
        <w:t xml:space="preserve">č. 46 </w:t>
      </w:r>
      <w:r w:rsidR="00F06594" w:rsidRPr="00C57A74">
        <w:rPr>
          <w:szCs w:val="22"/>
        </w:rPr>
        <w:t>z</w:t>
      </w:r>
      <w:r w:rsidR="00033F07">
        <w:rPr>
          <w:szCs w:val="22"/>
        </w:rPr>
        <w:t xml:space="preserve">e dne 10. 9. 2019 </w:t>
      </w:r>
      <w:r w:rsidR="00675C4A" w:rsidRPr="00C325CC">
        <w:rPr>
          <w:szCs w:val="22"/>
        </w:rPr>
        <w:t xml:space="preserve">ve znění Dodatku č. 1 ze dne 18. 2. 2020 se dohodly v souladu s </w:t>
      </w:r>
      <w:r w:rsidRPr="00C325CC">
        <w:rPr>
          <w:szCs w:val="22"/>
        </w:rPr>
        <w:t xml:space="preserve">ust. § 222 zákona č. 134/2016 Sb., o zadávání veřejných zakázek, ve znění pozdějších předpisů (dále také jen „ZZVZ“) na uzavření tohoto Dodatku č. </w:t>
      </w:r>
      <w:r w:rsidR="00213163" w:rsidRPr="00C325CC">
        <w:rPr>
          <w:szCs w:val="22"/>
        </w:rPr>
        <w:t>2. Tímto Dodatkem č. 2</w:t>
      </w:r>
      <w:r w:rsidRPr="00C325CC">
        <w:rPr>
          <w:szCs w:val="22"/>
        </w:rPr>
        <w:t xml:space="preserve"> se nepodstatným způsobem </w:t>
      </w:r>
      <w:r w:rsidRPr="00C325CC">
        <w:rPr>
          <w:b/>
          <w:szCs w:val="22"/>
        </w:rPr>
        <w:t>mění rozsah závazku ze Smlouvy</w:t>
      </w:r>
      <w:r w:rsidR="00213163" w:rsidRPr="00C325CC">
        <w:rPr>
          <w:b/>
          <w:szCs w:val="22"/>
        </w:rPr>
        <w:t xml:space="preserve"> a</w:t>
      </w:r>
      <w:r w:rsidRPr="00C325CC">
        <w:rPr>
          <w:b/>
          <w:szCs w:val="22"/>
        </w:rPr>
        <w:t xml:space="preserve"> cena </w:t>
      </w:r>
      <w:r w:rsidR="00F06594" w:rsidRPr="00C325CC">
        <w:rPr>
          <w:b/>
          <w:szCs w:val="22"/>
        </w:rPr>
        <w:t>díla.</w:t>
      </w:r>
    </w:p>
    <w:p w:rsidR="000B2E63" w:rsidRPr="000B2E63" w:rsidRDefault="00272EE2" w:rsidP="000B2E63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b/>
          <w:szCs w:val="22"/>
        </w:rPr>
        <w:t>Ke změně rozsahu díla</w:t>
      </w:r>
      <w:r>
        <w:rPr>
          <w:szCs w:val="22"/>
        </w:rPr>
        <w:t xml:space="preserve"> dochází z důvodu:</w:t>
      </w:r>
    </w:p>
    <w:p w:rsidR="00034E3D" w:rsidRPr="00C325CC" w:rsidRDefault="00034E3D" w:rsidP="00034E3D">
      <w:pPr>
        <w:pStyle w:val="Odstavecseseznamem"/>
        <w:numPr>
          <w:ilvl w:val="0"/>
          <w:numId w:val="17"/>
        </w:numPr>
        <w:spacing w:after="240"/>
        <w:jc w:val="both"/>
      </w:pPr>
      <w:r w:rsidRPr="00547CB6">
        <w:rPr>
          <w:b/>
        </w:rPr>
        <w:t>změny rozsahu stavebních prací</w:t>
      </w:r>
      <w:r>
        <w:t>, kter</w:t>
      </w:r>
      <w:r w:rsidR="00675C4A">
        <w:t>á</w:t>
      </w:r>
      <w:r>
        <w:t xml:space="preserve"> nemění celkovou povahu veřejné zakázky </w:t>
      </w:r>
      <w:r>
        <w:br/>
        <w:t>a jejíž hodnot</w:t>
      </w:r>
      <w:r w:rsidR="00675C4A">
        <w:t>a</w:t>
      </w:r>
      <w:r>
        <w:t xml:space="preserve"> je nižší než 15% původní hodnoty závazku ze </w:t>
      </w:r>
      <w:r w:rsidR="00675C4A">
        <w:t>S</w:t>
      </w:r>
      <w:r>
        <w:t xml:space="preserve">mlouvy na veřejnou zakázku na stavební práce. </w:t>
      </w:r>
      <w:r w:rsidRPr="00C325CC">
        <w:t xml:space="preserve">V průběhu provádění díla vznesl </w:t>
      </w:r>
      <w:r w:rsidR="00675C4A" w:rsidRPr="00C325CC">
        <w:t>O</w:t>
      </w:r>
      <w:r w:rsidRPr="00C325CC">
        <w:t>bjednatel dodatečné požadavky</w:t>
      </w:r>
      <w:r w:rsidR="00675C4A" w:rsidRPr="00C325CC">
        <w:t>) na zpřístupnění terasy ve 2NP objektu</w:t>
      </w:r>
      <w:r w:rsidR="00596169" w:rsidRPr="00C325CC">
        <w:t xml:space="preserve"> specifikované na Změnovém listu (dále jen „ZL“) č. 2</w:t>
      </w:r>
      <w:r w:rsidRPr="00C325CC">
        <w:t>. Celkový součet hodnot t</w:t>
      </w:r>
      <w:r w:rsidR="00675C4A" w:rsidRPr="00C325CC">
        <w:t>éto</w:t>
      </w:r>
      <w:r w:rsidRPr="00C325CC">
        <w:t xml:space="preserve"> změn</w:t>
      </w:r>
      <w:r w:rsidR="00596169" w:rsidRPr="00C325CC">
        <w:t>y</w:t>
      </w:r>
      <w:r w:rsidRPr="00C325CC">
        <w:t xml:space="preserve"> je nižší než 15% původní hodnoty závazku ze </w:t>
      </w:r>
      <w:r w:rsidR="00675C4A" w:rsidRPr="00C325CC">
        <w:t>S</w:t>
      </w:r>
      <w:r w:rsidRPr="00C325CC">
        <w:t>mlouvy</w:t>
      </w:r>
      <w:r w:rsidR="000C16FE">
        <w:t xml:space="preserve"> </w:t>
      </w:r>
      <w:r w:rsidR="001E48A0" w:rsidRPr="00C325CC">
        <w:rPr>
          <w:szCs w:val="22"/>
        </w:rPr>
        <w:t xml:space="preserve">(viz </w:t>
      </w:r>
      <w:r w:rsidR="001E48A0" w:rsidRPr="000C16FE">
        <w:rPr>
          <w:szCs w:val="22"/>
        </w:rPr>
        <w:t>Příloha č. 1</w:t>
      </w:r>
      <w:r w:rsidR="00A963F0" w:rsidRPr="000C16FE">
        <w:rPr>
          <w:szCs w:val="22"/>
        </w:rPr>
        <w:t>b</w:t>
      </w:r>
      <w:r w:rsidR="001E48A0" w:rsidRPr="00C325CC">
        <w:rPr>
          <w:szCs w:val="22"/>
        </w:rPr>
        <w:t xml:space="preserve"> – ZL č. 2)</w:t>
      </w:r>
      <w:r w:rsidRPr="00C325CC">
        <w:t xml:space="preserve">. </w:t>
      </w:r>
    </w:p>
    <w:p w:rsidR="00034E3D" w:rsidRDefault="00034E3D" w:rsidP="00034E3D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5F1084">
        <w:rPr>
          <w:b/>
        </w:rPr>
        <w:lastRenderedPageBreak/>
        <w:t>změny rozsahu stavebních prací</w:t>
      </w:r>
      <w:r w:rsidRPr="00AF35BD">
        <w:t xml:space="preserve">, </w:t>
      </w:r>
      <w:r>
        <w:rPr>
          <w:szCs w:val="22"/>
        </w:rPr>
        <w:t xml:space="preserve">jejíž potřeba vznikla v důsledku okolností, které </w:t>
      </w:r>
      <w:r w:rsidR="00596169">
        <w:rPr>
          <w:szCs w:val="22"/>
        </w:rPr>
        <w:t>Objednatel</w:t>
      </w:r>
      <w:r>
        <w:rPr>
          <w:szCs w:val="22"/>
        </w:rPr>
        <w:t xml:space="preserve"> jednající s náležitou péčí nemohl předvídat, nemění celkovou povahu veřejné zakázky a jejíž hodnota nepřekročí 50% původní hodnoty závazku</w:t>
      </w:r>
      <w:r w:rsidR="00596169">
        <w:rPr>
          <w:szCs w:val="22"/>
        </w:rPr>
        <w:t xml:space="preserve"> ze Smlouvy:</w:t>
      </w:r>
    </w:p>
    <w:p w:rsidR="00034E3D" w:rsidRDefault="00596169" w:rsidP="00034E3D">
      <w:pPr>
        <w:pStyle w:val="Odstavecseseznamem"/>
        <w:numPr>
          <w:ilvl w:val="0"/>
          <w:numId w:val="19"/>
        </w:numPr>
        <w:spacing w:after="240"/>
        <w:jc w:val="both"/>
        <w:rPr>
          <w:szCs w:val="22"/>
        </w:rPr>
      </w:pPr>
      <w:r>
        <w:rPr>
          <w:szCs w:val="22"/>
        </w:rPr>
        <w:t>změna je důsledkem</w:t>
      </w:r>
      <w:r w:rsidR="00034E3D" w:rsidRPr="00547CB6">
        <w:rPr>
          <w:szCs w:val="22"/>
        </w:rPr>
        <w:t xml:space="preserve"> aktuálního zjištění</w:t>
      </w:r>
      <w:r w:rsidR="001E48A0">
        <w:rPr>
          <w:szCs w:val="22"/>
        </w:rPr>
        <w:t xml:space="preserve"> kdy</w:t>
      </w:r>
      <w:r w:rsidR="00034E3D" w:rsidRPr="00547CB6">
        <w:rPr>
          <w:szCs w:val="22"/>
        </w:rPr>
        <w:t xml:space="preserve"> při zemních prac</w:t>
      </w:r>
      <w:r w:rsidR="00C325CC">
        <w:rPr>
          <w:szCs w:val="22"/>
        </w:rPr>
        <w:t>í</w:t>
      </w:r>
      <w:r w:rsidR="00034E3D" w:rsidRPr="00547CB6">
        <w:rPr>
          <w:szCs w:val="22"/>
        </w:rPr>
        <w:t>ch byla na stavbě odhalena konstrukce podzemního kolektoru</w:t>
      </w:r>
      <w:r>
        <w:rPr>
          <w:szCs w:val="22"/>
        </w:rPr>
        <w:t>, která je</w:t>
      </w:r>
      <w:r w:rsidR="00034E3D" w:rsidRPr="00547CB6">
        <w:rPr>
          <w:szCs w:val="22"/>
        </w:rPr>
        <w:t xml:space="preserve"> v kolizi s trasou plánované trasy odvodnění původně navrhované vpusti DV1</w:t>
      </w:r>
      <w:r w:rsidR="00034E3D">
        <w:rPr>
          <w:szCs w:val="22"/>
        </w:rPr>
        <w:t xml:space="preserve"> (viz Příloha č</w:t>
      </w:r>
      <w:r w:rsidR="00034E3D" w:rsidRPr="000C16FE">
        <w:rPr>
          <w:szCs w:val="22"/>
        </w:rPr>
        <w:t>. 1</w:t>
      </w:r>
      <w:r w:rsidR="00A963F0" w:rsidRPr="000C16FE">
        <w:rPr>
          <w:szCs w:val="22"/>
        </w:rPr>
        <w:t>b</w:t>
      </w:r>
      <w:r w:rsidR="00034E3D">
        <w:rPr>
          <w:szCs w:val="22"/>
        </w:rPr>
        <w:t xml:space="preserve"> – ZL č. 3)</w:t>
      </w:r>
      <w:r>
        <w:rPr>
          <w:szCs w:val="22"/>
        </w:rPr>
        <w:t>,</w:t>
      </w:r>
    </w:p>
    <w:p w:rsidR="00034E3D" w:rsidRDefault="000C16FE" w:rsidP="00034E3D">
      <w:pPr>
        <w:pStyle w:val="Odstavecseseznamem"/>
        <w:numPr>
          <w:ilvl w:val="0"/>
          <w:numId w:val="19"/>
        </w:numPr>
        <w:spacing w:after="240"/>
        <w:jc w:val="both"/>
        <w:rPr>
          <w:szCs w:val="22"/>
        </w:rPr>
      </w:pPr>
      <w:r>
        <w:rPr>
          <w:szCs w:val="22"/>
        </w:rPr>
        <w:t xml:space="preserve">na objektu byly </w:t>
      </w:r>
      <w:r w:rsidR="001E48A0">
        <w:rPr>
          <w:szCs w:val="22"/>
        </w:rPr>
        <w:t>po odstranění původní nesoudržné omítky zjištěny rozsáhlé trhliny</w:t>
      </w:r>
      <w:r w:rsidR="00034E3D">
        <w:rPr>
          <w:szCs w:val="22"/>
        </w:rPr>
        <w:t>, zejména v římsách a klenbách 3NP. Degradace zdiva se objevuje také v 2NP a 1NP objektu (viz Příloha č</w:t>
      </w:r>
      <w:r w:rsidR="00034E3D" w:rsidRPr="000C16FE">
        <w:rPr>
          <w:szCs w:val="22"/>
        </w:rPr>
        <w:t>. 1</w:t>
      </w:r>
      <w:r w:rsidR="00A963F0" w:rsidRPr="000C16FE">
        <w:rPr>
          <w:szCs w:val="22"/>
        </w:rPr>
        <w:t>b</w:t>
      </w:r>
      <w:r w:rsidR="00034E3D">
        <w:rPr>
          <w:szCs w:val="22"/>
        </w:rPr>
        <w:t xml:space="preserve"> – ZL č. 4). </w:t>
      </w:r>
    </w:p>
    <w:p w:rsidR="00034E3D" w:rsidRDefault="00034E3D" w:rsidP="00034E3D">
      <w:pPr>
        <w:pStyle w:val="Odstavecseseznamem"/>
        <w:spacing w:after="240"/>
        <w:ind w:left="1420"/>
        <w:jc w:val="both"/>
        <w:rPr>
          <w:szCs w:val="22"/>
        </w:rPr>
      </w:pPr>
    </w:p>
    <w:p w:rsidR="000B2E63" w:rsidRPr="00B1768A" w:rsidRDefault="00272EE2" w:rsidP="00114F45">
      <w:pPr>
        <w:pStyle w:val="Odstavecseseznamem"/>
        <w:numPr>
          <w:ilvl w:val="0"/>
          <w:numId w:val="16"/>
        </w:numPr>
        <w:spacing w:after="240"/>
        <w:jc w:val="both"/>
        <w:rPr>
          <w:szCs w:val="22"/>
        </w:rPr>
      </w:pPr>
      <w:r w:rsidRPr="00B1768A">
        <w:rPr>
          <w:szCs w:val="22"/>
        </w:rPr>
        <w:t>Ve Smlouvě se  v důsledku změny rozsahu závazku doplňuje v čl. 1 nový odst. 1.</w:t>
      </w:r>
      <w:r w:rsidR="00126572" w:rsidRPr="00B1768A">
        <w:rPr>
          <w:szCs w:val="22"/>
        </w:rPr>
        <w:t>3</w:t>
      </w:r>
      <w:r w:rsidRPr="00B1768A">
        <w:rPr>
          <w:szCs w:val="22"/>
        </w:rPr>
        <w:t xml:space="preserve"> s tímto textem:</w:t>
      </w:r>
    </w:p>
    <w:p w:rsidR="000B2E63" w:rsidRPr="00CC47E0" w:rsidRDefault="000B2E63" w:rsidP="000B2E63">
      <w:pPr>
        <w:ind w:left="340"/>
        <w:jc w:val="both"/>
      </w:pPr>
      <w:r w:rsidRPr="00CC47E0">
        <w:t>„1.</w:t>
      </w:r>
      <w:r w:rsidR="00B827FB">
        <w:t>3</w:t>
      </w:r>
      <w:r>
        <w:t xml:space="preserve"> Dodatkem č. </w:t>
      </w:r>
      <w:r w:rsidR="00B827FB">
        <w:t>2</w:t>
      </w:r>
      <w:r>
        <w:t xml:space="preserve"> se m</w:t>
      </w:r>
      <w:r w:rsidR="00942C29">
        <w:t xml:space="preserve">ění </w:t>
      </w:r>
      <w:r w:rsidRPr="00CC47E0">
        <w:t>rozsah stavebních prací tak, že stavební práce, které budou realizovány dle této Smlouvy</w:t>
      </w:r>
      <w:r w:rsidR="007C5EBE">
        <w:t>, jsou specifikovány v</w:t>
      </w:r>
      <w:r w:rsidR="000C16FE">
        <w:t> </w:t>
      </w:r>
      <w:r w:rsidR="001E48A0">
        <w:t>ZL</w:t>
      </w:r>
      <w:r w:rsidR="000C16FE">
        <w:t xml:space="preserve"> </w:t>
      </w:r>
      <w:r w:rsidR="00126572" w:rsidRPr="00CC47E0">
        <w:t xml:space="preserve">č. </w:t>
      </w:r>
      <w:r w:rsidR="00B827FB">
        <w:t xml:space="preserve">2 – č. 4. Celková cenová změna závazku </w:t>
      </w:r>
      <w:r w:rsidR="001E48A0">
        <w:t xml:space="preserve">specifikovaná na </w:t>
      </w:r>
      <w:r w:rsidR="00B827FB">
        <w:t xml:space="preserve">ZL č. 2 je nižší než 15% původní hodnoty závazku </w:t>
      </w:r>
      <w:r w:rsidR="001E48A0">
        <w:t xml:space="preserve">ze Smlouvy </w:t>
      </w:r>
      <w:r w:rsidR="00B827FB">
        <w:t>v souladu s § 222 odst. 4 ZZVZ.</w:t>
      </w:r>
      <w:r w:rsidR="000C16FE">
        <w:t xml:space="preserve"> </w:t>
      </w:r>
      <w:r w:rsidRPr="00CC47E0">
        <w:t>Celkov</w:t>
      </w:r>
      <w:r w:rsidR="000B145C">
        <w:t>á</w:t>
      </w:r>
      <w:r w:rsidRPr="00CC47E0">
        <w:t xml:space="preserve"> cenov</w:t>
      </w:r>
      <w:r w:rsidR="000B145C">
        <w:t>á</w:t>
      </w:r>
      <w:r w:rsidR="000C16FE">
        <w:t xml:space="preserve"> </w:t>
      </w:r>
      <w:r w:rsidRPr="003E0A9A">
        <w:t>změn</w:t>
      </w:r>
      <w:r w:rsidR="000B145C">
        <w:t>a</w:t>
      </w:r>
      <w:r w:rsidR="000C16FE">
        <w:t xml:space="preserve"> </w:t>
      </w:r>
      <w:r w:rsidR="001E48A0">
        <w:t xml:space="preserve">specifikovaná na </w:t>
      </w:r>
      <w:r w:rsidR="00B827FB">
        <w:t xml:space="preserve">ZL č. 3 – č. 4 </w:t>
      </w:r>
      <w:r>
        <w:t>nepřesáhne</w:t>
      </w:r>
      <w:r w:rsidR="000C16FE">
        <w:t xml:space="preserve"> </w:t>
      </w:r>
      <w:r>
        <w:t>5</w:t>
      </w:r>
      <w:r w:rsidRPr="00CC47E0">
        <w:t>0 % původní hodnoty závazku</w:t>
      </w:r>
      <w:r w:rsidR="000C16FE">
        <w:t xml:space="preserve"> </w:t>
      </w:r>
      <w:r w:rsidR="001E48A0">
        <w:t xml:space="preserve">ze Smlouvy </w:t>
      </w:r>
      <w:r w:rsidR="00B827FB">
        <w:t>v souladu s § 222 odst. 6 ZZVZ.</w:t>
      </w:r>
    </w:p>
    <w:p w:rsidR="000B2E63" w:rsidRDefault="000B2E63" w:rsidP="00272EE2">
      <w:pPr>
        <w:ind w:left="340"/>
        <w:jc w:val="both"/>
        <w:rPr>
          <w:szCs w:val="22"/>
        </w:rPr>
      </w:pPr>
    </w:p>
    <w:p w:rsidR="00272EE2" w:rsidRDefault="00147B35" w:rsidP="007C5EBE">
      <w:pPr>
        <w:ind w:firstLine="340"/>
        <w:jc w:val="both"/>
        <w:rPr>
          <w:szCs w:val="22"/>
        </w:rPr>
      </w:pPr>
      <w:r>
        <w:rPr>
          <w:szCs w:val="22"/>
        </w:rPr>
        <w:t xml:space="preserve">V čl. 1 </w:t>
      </w:r>
      <w:r w:rsidR="001E48A0">
        <w:rPr>
          <w:szCs w:val="22"/>
        </w:rPr>
        <w:t xml:space="preserve">Smlouvy </w:t>
      </w:r>
      <w:r>
        <w:rPr>
          <w:szCs w:val="22"/>
        </w:rPr>
        <w:t>se s</w:t>
      </w:r>
      <w:r w:rsidR="00272EE2">
        <w:rPr>
          <w:szCs w:val="22"/>
        </w:rPr>
        <w:t>távající odstavce 1.</w:t>
      </w:r>
      <w:r w:rsidR="00126572">
        <w:rPr>
          <w:szCs w:val="22"/>
        </w:rPr>
        <w:t>3</w:t>
      </w:r>
      <w:r w:rsidR="00272EE2">
        <w:rPr>
          <w:szCs w:val="22"/>
        </w:rPr>
        <w:t xml:space="preserve"> až 1.</w:t>
      </w:r>
      <w:r w:rsidR="00126572">
        <w:rPr>
          <w:szCs w:val="22"/>
        </w:rPr>
        <w:t>1</w:t>
      </w:r>
      <w:r w:rsidR="00B827FB">
        <w:rPr>
          <w:szCs w:val="22"/>
        </w:rPr>
        <w:t>4</w:t>
      </w:r>
      <w:r w:rsidR="00272EE2">
        <w:rPr>
          <w:szCs w:val="22"/>
        </w:rPr>
        <w:t xml:space="preserve"> přečíslují na odstavce 1.</w:t>
      </w:r>
      <w:r w:rsidR="00126572">
        <w:rPr>
          <w:szCs w:val="22"/>
        </w:rPr>
        <w:t>4</w:t>
      </w:r>
      <w:r w:rsidR="00272EE2">
        <w:rPr>
          <w:szCs w:val="22"/>
        </w:rPr>
        <w:t xml:space="preserve"> až</w:t>
      </w:r>
      <w:r w:rsidR="000B2E63">
        <w:rPr>
          <w:szCs w:val="22"/>
        </w:rPr>
        <w:t>1.</w:t>
      </w:r>
      <w:r w:rsidR="00126572">
        <w:rPr>
          <w:szCs w:val="22"/>
        </w:rPr>
        <w:t>1</w:t>
      </w:r>
      <w:r w:rsidR="00B827FB">
        <w:rPr>
          <w:szCs w:val="22"/>
        </w:rPr>
        <w:t>5</w:t>
      </w:r>
      <w:r w:rsidR="00272EE2">
        <w:rPr>
          <w:szCs w:val="22"/>
        </w:rPr>
        <w:t>.</w:t>
      </w:r>
    </w:p>
    <w:p w:rsidR="00C1667C" w:rsidRDefault="00C1667C" w:rsidP="005F1084">
      <w:pPr>
        <w:jc w:val="both"/>
        <w:rPr>
          <w:szCs w:val="22"/>
        </w:rPr>
      </w:pPr>
    </w:p>
    <w:p w:rsidR="00272EE2" w:rsidRDefault="00272EE2" w:rsidP="00272EE2">
      <w:pPr>
        <w:numPr>
          <w:ilvl w:val="0"/>
          <w:numId w:val="16"/>
        </w:numPr>
        <w:jc w:val="both"/>
        <w:rPr>
          <w:szCs w:val="22"/>
        </w:rPr>
      </w:pPr>
      <w:r>
        <w:rPr>
          <w:b/>
          <w:szCs w:val="22"/>
        </w:rPr>
        <w:t xml:space="preserve">V čl. 4. </w:t>
      </w:r>
      <w:r w:rsidR="001E48A0">
        <w:rPr>
          <w:szCs w:val="22"/>
        </w:rPr>
        <w:t>Smlouvy</w:t>
      </w:r>
      <w:r w:rsidR="000C16FE">
        <w:rPr>
          <w:szCs w:val="22"/>
        </w:rPr>
        <w:t xml:space="preserve"> </w:t>
      </w:r>
      <w:r>
        <w:rPr>
          <w:b/>
          <w:szCs w:val="22"/>
        </w:rPr>
        <w:t xml:space="preserve">Cena díla </w:t>
      </w:r>
      <w:r>
        <w:rPr>
          <w:szCs w:val="22"/>
        </w:rPr>
        <w:t xml:space="preserve">se mění a doplňuje přehledová tabulka v </w:t>
      </w:r>
      <w:r>
        <w:rPr>
          <w:b/>
          <w:szCs w:val="22"/>
        </w:rPr>
        <w:t>odstavci 4.1</w:t>
      </w:r>
      <w:r w:rsidR="001E48A0">
        <w:rPr>
          <w:szCs w:val="22"/>
        </w:rPr>
        <w:t>takto</w:t>
      </w:r>
      <w:r>
        <w:rPr>
          <w:szCs w:val="22"/>
        </w:rPr>
        <w:t xml:space="preserve">: </w:t>
      </w:r>
    </w:p>
    <w:p w:rsidR="00272EE2" w:rsidRDefault="00272EE2" w:rsidP="00272EE2">
      <w:pPr>
        <w:jc w:val="both"/>
        <w:rPr>
          <w:szCs w:val="22"/>
        </w:rPr>
      </w:pPr>
      <w:r>
        <w:rPr>
          <w:rFonts w:eastAsia="Arial"/>
          <w:szCs w:val="22"/>
        </w:rPr>
        <w:t>„</w:t>
      </w: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70"/>
        <w:gridCol w:w="1402"/>
        <w:gridCol w:w="2116"/>
      </w:tblGrid>
      <w:tr w:rsidR="00272EE2" w:rsidTr="003805C5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E2" w:rsidRDefault="00272EE2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>Celková cena díla dle Smlouvy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2" w:rsidRDefault="00272EE2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EE2" w:rsidRDefault="00126572" w:rsidP="00C72EA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</w:rPr>
            </w:pPr>
            <w:r>
              <w:rPr>
                <w:bCs/>
                <w:szCs w:val="22"/>
              </w:rPr>
              <w:t xml:space="preserve">16 449 </w:t>
            </w:r>
            <w:r w:rsidRPr="00126572">
              <w:rPr>
                <w:bCs/>
                <w:szCs w:val="22"/>
              </w:rPr>
              <w:t>973,45</w:t>
            </w:r>
            <w:r w:rsidR="00C72EA7">
              <w:rPr>
                <w:bCs/>
                <w:szCs w:val="22"/>
              </w:rPr>
              <w:t xml:space="preserve"> Kč</w:t>
            </w:r>
          </w:p>
        </w:tc>
      </w:tr>
      <w:tr w:rsidR="00272EE2" w:rsidTr="00C72EA7"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72EE2" w:rsidRPr="00371EED" w:rsidRDefault="00272EE2" w:rsidP="00C72EA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371EED">
              <w:rPr>
                <w:b/>
                <w:bCs/>
                <w:szCs w:val="22"/>
              </w:rPr>
              <w:t>Celková cena díla vč. Dodatku č. 1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EE2" w:rsidRPr="00371EED" w:rsidRDefault="00272EE2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7D4DA3" w:rsidRPr="00371EED" w:rsidRDefault="00126572" w:rsidP="0019338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</w:rPr>
            </w:pPr>
            <w:r w:rsidRPr="00371EED">
              <w:rPr>
                <w:b/>
                <w:bCs/>
                <w:szCs w:val="22"/>
              </w:rPr>
              <w:t xml:space="preserve">  16</w:t>
            </w:r>
            <w:r w:rsidR="005F1084" w:rsidRPr="00371EED">
              <w:rPr>
                <w:b/>
                <w:bCs/>
                <w:szCs w:val="22"/>
              </w:rPr>
              <w:t> </w:t>
            </w:r>
            <w:r w:rsidR="0019338A" w:rsidRPr="00371EED">
              <w:rPr>
                <w:b/>
                <w:bCs/>
                <w:szCs w:val="22"/>
              </w:rPr>
              <w:t>917</w:t>
            </w:r>
            <w:r w:rsidR="00173DB1" w:rsidRPr="00371EED">
              <w:rPr>
                <w:b/>
                <w:bCs/>
                <w:szCs w:val="22"/>
              </w:rPr>
              <w:t> 945,53</w:t>
            </w:r>
            <w:r w:rsidR="007D4DA3" w:rsidRPr="00371EED">
              <w:rPr>
                <w:b/>
                <w:bCs/>
                <w:szCs w:val="22"/>
              </w:rPr>
              <w:t xml:space="preserve"> Kč</w:t>
            </w:r>
          </w:p>
        </w:tc>
      </w:tr>
      <w:tr w:rsidR="00272EE2" w:rsidTr="00186B53">
        <w:tc>
          <w:tcPr>
            <w:tcW w:w="524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72EE2" w:rsidRPr="00371EED" w:rsidRDefault="00272EE2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 w:rsidRPr="00371EED">
              <w:rPr>
                <w:bCs/>
                <w:szCs w:val="22"/>
              </w:rPr>
              <w:t xml:space="preserve">Celková cena </w:t>
            </w:r>
            <w:r w:rsidR="00C1667C" w:rsidRPr="00371EED">
              <w:rPr>
                <w:bCs/>
                <w:szCs w:val="22"/>
              </w:rPr>
              <w:t xml:space="preserve">díla </w:t>
            </w:r>
            <w:r w:rsidRPr="00371EED">
              <w:rPr>
                <w:bCs/>
                <w:szCs w:val="22"/>
              </w:rPr>
              <w:t>včetně DPH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E2" w:rsidRPr="00371EED" w:rsidRDefault="00272EE2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272EE2" w:rsidRPr="00371EED" w:rsidRDefault="00B1768A" w:rsidP="00173DB1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</w:rPr>
            </w:pPr>
            <w:r w:rsidRPr="00371EED">
              <w:rPr>
                <w:bCs/>
                <w:szCs w:val="22"/>
              </w:rPr>
              <w:t>20</w:t>
            </w:r>
            <w:r w:rsidR="005F1084" w:rsidRPr="00371EED">
              <w:rPr>
                <w:bCs/>
                <w:szCs w:val="22"/>
              </w:rPr>
              <w:t> 4</w:t>
            </w:r>
            <w:r w:rsidR="0019338A" w:rsidRPr="00371EED">
              <w:rPr>
                <w:bCs/>
                <w:szCs w:val="22"/>
              </w:rPr>
              <w:t>70</w:t>
            </w:r>
            <w:r w:rsidR="005F1084" w:rsidRPr="00371EED">
              <w:rPr>
                <w:bCs/>
                <w:szCs w:val="22"/>
              </w:rPr>
              <w:t> </w:t>
            </w:r>
            <w:r w:rsidR="0019338A" w:rsidRPr="00371EED">
              <w:rPr>
                <w:bCs/>
                <w:szCs w:val="22"/>
              </w:rPr>
              <w:t>71</w:t>
            </w:r>
            <w:r w:rsidR="00173DB1" w:rsidRPr="00371EED">
              <w:rPr>
                <w:bCs/>
                <w:szCs w:val="22"/>
              </w:rPr>
              <w:t>4</w:t>
            </w:r>
            <w:r w:rsidR="005F1084" w:rsidRPr="00371EED">
              <w:rPr>
                <w:bCs/>
                <w:szCs w:val="22"/>
              </w:rPr>
              <w:t>,</w:t>
            </w:r>
            <w:r w:rsidR="00173DB1" w:rsidRPr="00371EED">
              <w:rPr>
                <w:bCs/>
                <w:szCs w:val="22"/>
              </w:rPr>
              <w:t>0</w:t>
            </w:r>
            <w:r w:rsidR="005F1084" w:rsidRPr="00371EED">
              <w:rPr>
                <w:bCs/>
                <w:szCs w:val="22"/>
              </w:rPr>
              <w:t>9</w:t>
            </w:r>
            <w:r w:rsidR="007D4DA3" w:rsidRPr="00371EED">
              <w:rPr>
                <w:bCs/>
                <w:szCs w:val="22"/>
              </w:rPr>
              <w:t xml:space="preserve"> Kč</w:t>
            </w:r>
          </w:p>
        </w:tc>
      </w:tr>
      <w:tr w:rsidR="00186B53" w:rsidTr="00034E3D">
        <w:tc>
          <w:tcPr>
            <w:tcW w:w="524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86B53" w:rsidRPr="00034E3D" w:rsidRDefault="00186B53" w:rsidP="00034E3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 w:rsidRPr="00034E3D">
              <w:rPr>
                <w:bCs/>
                <w:szCs w:val="22"/>
              </w:rPr>
              <w:t xml:space="preserve">Celková cena díla </w:t>
            </w:r>
            <w:r w:rsidR="00034E3D" w:rsidRPr="00034E3D">
              <w:rPr>
                <w:bCs/>
                <w:szCs w:val="22"/>
              </w:rPr>
              <w:t>dle</w:t>
            </w:r>
            <w:r w:rsidRPr="00034E3D">
              <w:rPr>
                <w:bCs/>
                <w:szCs w:val="22"/>
              </w:rPr>
              <w:t xml:space="preserve"> Dodatku č. 2 bez DPH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B53" w:rsidRDefault="00186B53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86B53" w:rsidRPr="00034E3D" w:rsidRDefault="00034E3D" w:rsidP="00173DB1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</w:rPr>
            </w:pPr>
            <w:r w:rsidRPr="00034E3D">
              <w:rPr>
                <w:bCs/>
              </w:rPr>
              <w:t>303 410,00 Kč</w:t>
            </w:r>
          </w:p>
        </w:tc>
      </w:tr>
      <w:tr w:rsidR="00034E3D" w:rsidTr="00034E3D">
        <w:tc>
          <w:tcPr>
            <w:tcW w:w="524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4E3D" w:rsidRPr="00211079" w:rsidRDefault="00034E3D" w:rsidP="00034E3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211079">
              <w:rPr>
                <w:b/>
                <w:bCs/>
                <w:szCs w:val="22"/>
              </w:rPr>
              <w:t>Celková cena díla vč. Dodatku č. 2 bez DPH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3D" w:rsidRDefault="00034E3D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034E3D" w:rsidRPr="00211079" w:rsidRDefault="00034E3D" w:rsidP="00173DB1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</w:rPr>
            </w:pPr>
            <w:r w:rsidRPr="00211079">
              <w:rPr>
                <w:b/>
                <w:bCs/>
              </w:rPr>
              <w:t>17 221 355,97 Kč</w:t>
            </w:r>
          </w:p>
        </w:tc>
      </w:tr>
      <w:tr w:rsidR="00211079" w:rsidTr="00034E3D">
        <w:tc>
          <w:tcPr>
            <w:tcW w:w="524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11079" w:rsidRPr="00371EED" w:rsidRDefault="00211079" w:rsidP="00034E3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 w:rsidRPr="00371EED">
              <w:rPr>
                <w:bCs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079" w:rsidRPr="00371EED" w:rsidRDefault="00211079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</w:rPr>
            </w:pPr>
            <w:r w:rsidRPr="00371EED">
              <w:rPr>
                <w:bCs/>
              </w:rPr>
              <w:t>21%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211079" w:rsidRPr="00371EED" w:rsidRDefault="00371EED" w:rsidP="00173DB1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</w:rPr>
            </w:pPr>
            <w:r w:rsidRPr="00371EED">
              <w:rPr>
                <w:bCs/>
              </w:rPr>
              <w:t>3 616 484,75 Kč</w:t>
            </w:r>
          </w:p>
        </w:tc>
      </w:tr>
      <w:tr w:rsidR="00034E3D" w:rsidTr="00C72EA7">
        <w:tc>
          <w:tcPr>
            <w:tcW w:w="524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hideMark/>
          </w:tcPr>
          <w:p w:rsidR="00034E3D" w:rsidRDefault="00034E3D" w:rsidP="00034E3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>Celková cena díla včetně DPH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34E3D" w:rsidRDefault="00034E3D" w:rsidP="003805C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034E3D" w:rsidRDefault="00034E3D" w:rsidP="00173DB1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20 837 840,72 Kč</w:t>
            </w:r>
          </w:p>
        </w:tc>
      </w:tr>
    </w:tbl>
    <w:p w:rsidR="00272EE2" w:rsidRDefault="00272EE2" w:rsidP="00272EE2">
      <w:pPr>
        <w:autoSpaceDN w:val="0"/>
        <w:adjustRightInd w:val="0"/>
        <w:spacing w:after="120"/>
        <w:ind w:left="240"/>
        <w:jc w:val="both"/>
        <w:rPr>
          <w:szCs w:val="22"/>
        </w:rPr>
      </w:pPr>
      <w:r>
        <w:rPr>
          <w:szCs w:val="22"/>
        </w:rPr>
        <w:t>.“</w:t>
      </w:r>
    </w:p>
    <w:p w:rsidR="00272EE2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>
        <w:rPr>
          <w:b/>
          <w:szCs w:val="22"/>
        </w:rPr>
        <w:t>V čl. 14. se mění a doplňuje odst. 14.1</w:t>
      </w:r>
      <w:r w:rsidR="00C72EA7">
        <w:rPr>
          <w:b/>
          <w:szCs w:val="22"/>
        </w:rPr>
        <w:t>8</w:t>
      </w:r>
      <w:r>
        <w:rPr>
          <w:b/>
          <w:szCs w:val="22"/>
        </w:rPr>
        <w:t xml:space="preserve"> a nově zní takto: </w:t>
      </w:r>
    </w:p>
    <w:p w:rsidR="00272EE2" w:rsidRDefault="00272EE2" w:rsidP="00272EE2">
      <w:pPr>
        <w:suppressAutoHyphens w:val="0"/>
        <w:jc w:val="both"/>
        <w:rPr>
          <w:szCs w:val="22"/>
        </w:rPr>
      </w:pPr>
      <w:r>
        <w:rPr>
          <w:szCs w:val="22"/>
        </w:rPr>
        <w:t>„14.1</w:t>
      </w:r>
      <w:r w:rsidR="00C72EA7">
        <w:rPr>
          <w:szCs w:val="22"/>
        </w:rPr>
        <w:t>8</w:t>
      </w:r>
      <w:r>
        <w:rPr>
          <w:szCs w:val="22"/>
        </w:rPr>
        <w:t xml:space="preserve">. Přílohy, které tvoří nedílnou součást této </w:t>
      </w:r>
      <w:r w:rsidR="00C1667C">
        <w:rPr>
          <w:szCs w:val="22"/>
        </w:rPr>
        <w:t>S</w:t>
      </w:r>
      <w:r>
        <w:rPr>
          <w:szCs w:val="22"/>
        </w:rPr>
        <w:t>mlouvy:</w:t>
      </w:r>
      <w:r>
        <w:rPr>
          <w:szCs w:val="22"/>
        </w:rPr>
        <w:tab/>
      </w:r>
      <w:r>
        <w:rPr>
          <w:szCs w:val="22"/>
        </w:rPr>
        <w:tab/>
      </w:r>
    </w:p>
    <w:p w:rsidR="00C72EA7" w:rsidRDefault="00272EE2" w:rsidP="00272EE2">
      <w:pPr>
        <w:ind w:firstLine="705"/>
      </w:pPr>
      <w:r>
        <w:t>č. 1 -</w:t>
      </w:r>
      <w:r>
        <w:tab/>
      </w:r>
      <w:r w:rsidR="007C5EBE">
        <w:t>Nabídkový rozpočet – soupis prací oceněný Zhotovitelem</w:t>
      </w:r>
    </w:p>
    <w:p w:rsidR="00982595" w:rsidRDefault="00982595" w:rsidP="00272EE2">
      <w:pPr>
        <w:ind w:firstLine="705"/>
      </w:pPr>
      <w:r>
        <w:t>č. 2 -    Harmonogram provádění díla</w:t>
      </w:r>
    </w:p>
    <w:p w:rsidR="00982595" w:rsidRPr="000C16FE" w:rsidRDefault="00982595" w:rsidP="00272EE2">
      <w:pPr>
        <w:ind w:firstLine="705"/>
      </w:pPr>
      <w:r>
        <w:t xml:space="preserve">č. 3 -    Projektová </w:t>
      </w:r>
      <w:r w:rsidRPr="000C16FE">
        <w:t>dokumentace (digitální podoba PD na DVD/CD nosiči)</w:t>
      </w:r>
    </w:p>
    <w:p w:rsidR="00B1768A" w:rsidRDefault="00272EE2" w:rsidP="00C72EA7">
      <w:pPr>
        <w:rPr>
          <w:szCs w:val="22"/>
        </w:rPr>
      </w:pPr>
      <w:r w:rsidRPr="000C16FE">
        <w:tab/>
      </w:r>
      <w:r w:rsidRPr="000C16FE">
        <w:rPr>
          <w:szCs w:val="22"/>
        </w:rPr>
        <w:t>č. 1</w:t>
      </w:r>
      <w:r w:rsidR="00A963F0" w:rsidRPr="000C16FE">
        <w:rPr>
          <w:szCs w:val="22"/>
        </w:rPr>
        <w:t>b</w:t>
      </w:r>
      <w:r w:rsidRPr="000C16FE">
        <w:rPr>
          <w:szCs w:val="22"/>
        </w:rPr>
        <w:t xml:space="preserve"> -</w:t>
      </w:r>
      <w:r w:rsidRPr="000C16FE">
        <w:rPr>
          <w:szCs w:val="22"/>
        </w:rPr>
        <w:tab/>
        <w:t xml:space="preserve">Změnové listy </w:t>
      </w:r>
      <w:r w:rsidR="00942C29" w:rsidRPr="000C16FE">
        <w:rPr>
          <w:szCs w:val="22"/>
        </w:rPr>
        <w:t xml:space="preserve">č. </w:t>
      </w:r>
      <w:r w:rsidR="00BB7D4F" w:rsidRPr="000C16FE">
        <w:rPr>
          <w:szCs w:val="22"/>
        </w:rPr>
        <w:t>2</w:t>
      </w:r>
      <w:r w:rsidR="00942C29" w:rsidRPr="000C16FE">
        <w:rPr>
          <w:szCs w:val="22"/>
        </w:rPr>
        <w:t xml:space="preserve"> – č. 4</w:t>
      </w:r>
    </w:p>
    <w:p w:rsidR="00C72EA7" w:rsidRDefault="00C72EA7" w:rsidP="00C72EA7">
      <w:pPr>
        <w:rPr>
          <w:szCs w:val="22"/>
        </w:rPr>
      </w:pPr>
    </w:p>
    <w:p w:rsidR="00272EE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ustanovení Smlouvy, která nejsou dotčena tímto Dodatkem č. </w:t>
      </w:r>
      <w:r w:rsidR="00186B53">
        <w:rPr>
          <w:szCs w:val="22"/>
        </w:rPr>
        <w:t>2</w:t>
      </w:r>
      <w:r>
        <w:rPr>
          <w:szCs w:val="22"/>
        </w:rPr>
        <w:t>, zůstávají v platnosti.</w:t>
      </w:r>
    </w:p>
    <w:p w:rsidR="00272EE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</w:t>
      </w:r>
      <w:r w:rsidR="00186B53">
        <w:rPr>
          <w:szCs w:val="22"/>
        </w:rPr>
        <w:t>lasí se zveřejněním Dodatku č. 2</w:t>
      </w:r>
      <w:r>
        <w:rPr>
          <w:szCs w:val="22"/>
        </w:rPr>
        <w:t xml:space="preserve"> na internetových stránkách městské části Praha 7.</w:t>
      </w:r>
    </w:p>
    <w:p w:rsidR="00272EE2" w:rsidRDefault="00272EE2" w:rsidP="00272EE2">
      <w:pPr>
        <w:pStyle w:val="Odstavecseseznamem"/>
        <w:numPr>
          <w:ilvl w:val="0"/>
          <w:numId w:val="16"/>
        </w:numPr>
        <w:suppressAutoHyphens w:val="0"/>
        <w:jc w:val="both"/>
        <w:rPr>
          <w:szCs w:val="22"/>
        </w:rPr>
      </w:pPr>
      <w:r>
        <w:rPr>
          <w:szCs w:val="22"/>
        </w:rPr>
        <w:t xml:space="preserve">Objednatel je v postavení správce osobních údajů, subjektu, kterému je zpracování určeno zákonem, </w:t>
      </w:r>
      <w:r w:rsidR="00C325CC">
        <w:rPr>
          <w:szCs w:val="22"/>
        </w:rPr>
        <w:t>v souladu s</w:t>
      </w:r>
      <w:r>
        <w:rPr>
          <w:szCs w:val="22"/>
        </w:rPr>
        <w:t xml:space="preserve"> čl. 6 odst. 1 písm. </w:t>
      </w:r>
      <w:r w:rsidR="00C325CC">
        <w:rPr>
          <w:szCs w:val="22"/>
        </w:rPr>
        <w:t>B) a C</w:t>
      </w:r>
      <w:r>
        <w:rPr>
          <w:szCs w:val="22"/>
        </w:rPr>
        <w:t xml:space="preserve">) </w:t>
      </w:r>
      <w:r w:rsidR="00C325CC" w:rsidRPr="00A963F0">
        <w:rPr>
          <w:bCs/>
          <w:szCs w:val="22"/>
        </w:rPr>
        <w:t xml:space="preserve">nařízení Evropského parlamentu a Rady (EU) č. 2016/679 o ochraně fyzických osob v souvislosti se zpracováním osobních údajů a o volném pohybu těchto údajů (dále jen </w:t>
      </w:r>
      <w:r w:rsidR="00C325CC" w:rsidRPr="00A963F0">
        <w:rPr>
          <w:b/>
          <w:bCs/>
          <w:szCs w:val="22"/>
        </w:rPr>
        <w:t>„</w:t>
      </w:r>
      <w:r>
        <w:rPr>
          <w:szCs w:val="22"/>
        </w:rPr>
        <w:t>GDPR</w:t>
      </w:r>
      <w:r w:rsidR="00C325CC">
        <w:rPr>
          <w:szCs w:val="22"/>
        </w:rPr>
        <w:t>“)</w:t>
      </w:r>
      <w:r>
        <w:rPr>
          <w:szCs w:val="22"/>
        </w:rPr>
        <w:t xml:space="preserve"> t</w:t>
      </w:r>
      <w:r w:rsidR="00C325CC">
        <w:rPr>
          <w:szCs w:val="22"/>
        </w:rPr>
        <w:t>j</w:t>
      </w:r>
      <w:r>
        <w:rPr>
          <w:szCs w:val="22"/>
        </w:rPr>
        <w:t xml:space="preserve">. zpracování před uzavřením </w:t>
      </w:r>
      <w:r w:rsidR="00C1667C">
        <w:rPr>
          <w:szCs w:val="22"/>
        </w:rPr>
        <w:t>S</w:t>
      </w:r>
      <w:r>
        <w:rPr>
          <w:szCs w:val="22"/>
        </w:rPr>
        <w:t xml:space="preserve">mlouvy, resp. ve spojení se ZZVZ zpracování, jenž je nezbytné pro splnění právní povinnosti. </w:t>
      </w:r>
    </w:p>
    <w:p w:rsidR="00272EE2" w:rsidRDefault="00272EE2" w:rsidP="00272EE2">
      <w:pPr>
        <w:suppressAutoHyphens w:val="0"/>
        <w:jc w:val="both"/>
        <w:rPr>
          <w:szCs w:val="22"/>
        </w:rPr>
      </w:pPr>
    </w:p>
    <w:p w:rsidR="00272EE2" w:rsidRPr="007C5EBE" w:rsidRDefault="00186B53" w:rsidP="007C5EBE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>Tento Dodatek č. 2</w:t>
      </w:r>
      <w:r w:rsidR="00272EE2">
        <w:rPr>
          <w:szCs w:val="22"/>
        </w:rPr>
        <w:t xml:space="preserve"> nabývá platnosti dnem jeho podpisu oběma smluvními stranami </w:t>
      </w:r>
      <w:r w:rsidR="004950DE">
        <w:rPr>
          <w:szCs w:val="22"/>
        </w:rPr>
        <w:br/>
      </w:r>
      <w:r w:rsidR="00272EE2">
        <w:rPr>
          <w:szCs w:val="22"/>
        </w:rPr>
        <w:t xml:space="preserve">a účinnosti dnem jeho uveřejnění v registru smluv dle zákona č. 340/2015 Sb., </w:t>
      </w:r>
      <w:r w:rsidR="004950DE">
        <w:rPr>
          <w:szCs w:val="22"/>
        </w:rPr>
        <w:br/>
      </w:r>
      <w:r w:rsidR="00272EE2">
        <w:rPr>
          <w:szCs w:val="22"/>
        </w:rPr>
        <w:t>o zvláštních podmínkách účinnosti některých smluv, uveřejňování těchto smluv a o registru smluv</w:t>
      </w:r>
      <w:r w:rsidR="00C1667C">
        <w:rPr>
          <w:szCs w:val="22"/>
        </w:rPr>
        <w:t xml:space="preserve">, </w:t>
      </w:r>
    </w:p>
    <w:p w:rsidR="009B778C" w:rsidRPr="007C5EBE" w:rsidRDefault="00272EE2" w:rsidP="007C5EBE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</w:t>
      </w:r>
      <w:r w:rsidR="00186B53">
        <w:rPr>
          <w:szCs w:val="22"/>
        </w:rPr>
        <w:t>e uveřejnění tohoto Dodatku č. 2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C1667C">
        <w:rPr>
          <w:szCs w:val="22"/>
        </w:rPr>
        <w:t>, ve znění pozdějších předpisů,</w:t>
      </w:r>
      <w:r w:rsidR="000C16FE">
        <w:rPr>
          <w:szCs w:val="22"/>
        </w:rPr>
        <w:t xml:space="preserve"> </w:t>
      </w:r>
      <w:r>
        <w:t xml:space="preserve">zajistí </w:t>
      </w:r>
      <w:r w:rsidR="006869AF">
        <w:t>M</w:t>
      </w:r>
      <w:r>
        <w:t xml:space="preserve">ěstská část Praha 7 do 30 dnů od podpisu </w:t>
      </w:r>
      <w:r w:rsidR="00C1667C">
        <w:t>S</w:t>
      </w:r>
      <w:r>
        <w:t>mlouvy a neprodleně bude druhou smluvní stranu o provedeném uveřejnění v registru smluv informovat.</w:t>
      </w:r>
    </w:p>
    <w:p w:rsidR="00272EE2" w:rsidRPr="009B778C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 w:rsidR="00186B53">
        <w:rPr>
          <w:szCs w:val="22"/>
        </w:rPr>
        <w:t>2</w:t>
      </w:r>
      <w:r w:rsidRPr="009B778C">
        <w:rPr>
          <w:szCs w:val="22"/>
        </w:rPr>
        <w:t xml:space="preserve"> ke Smlouvě a konstatují, že v Dodatku č. </w:t>
      </w:r>
      <w:r w:rsidR="00186B53">
        <w:rPr>
          <w:szCs w:val="22"/>
        </w:rPr>
        <w:t>2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smluv, uveřejňování těchto smluv a o registru smluv a zákona č. 106/1999 Sb., o svobodném přístupu k</w:t>
      </w:r>
      <w:r w:rsidR="00C1667C">
        <w:rPr>
          <w:szCs w:val="22"/>
        </w:rPr>
        <w:t> </w:t>
      </w:r>
      <w:r w:rsidRPr="009B778C">
        <w:rPr>
          <w:szCs w:val="22"/>
        </w:rPr>
        <w:t>informacím</w:t>
      </w:r>
      <w:r w:rsidR="00C1667C"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:rsidR="00272EE2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</w:t>
      </w:r>
      <w:r w:rsidR="00186B53">
        <w:rPr>
          <w:szCs w:val="22"/>
        </w:rPr>
        <w:t>2</w:t>
      </w:r>
      <w:r>
        <w:rPr>
          <w:szCs w:val="22"/>
        </w:rPr>
        <w:t xml:space="preserve"> se vyhotovuje v</w:t>
      </w:r>
      <w:r w:rsidR="000C16FE">
        <w:rPr>
          <w:szCs w:val="22"/>
        </w:rPr>
        <w:t xml:space="preserve"> šesti </w:t>
      </w:r>
      <w:r>
        <w:rPr>
          <w:szCs w:val="22"/>
        </w:rPr>
        <w:t xml:space="preserve">vyhotoveních s platností originálu, z nichž Objednatel obdrží </w:t>
      </w:r>
      <w:r w:rsidR="000C16FE">
        <w:rPr>
          <w:szCs w:val="22"/>
        </w:rPr>
        <w:t>čtyři</w:t>
      </w:r>
      <w:r>
        <w:rPr>
          <w:szCs w:val="22"/>
        </w:rPr>
        <w:t xml:space="preserve"> stejnopis</w:t>
      </w:r>
      <w:r w:rsidR="000C16FE">
        <w:rPr>
          <w:szCs w:val="22"/>
        </w:rPr>
        <w:t>y</w:t>
      </w:r>
      <w:r>
        <w:rPr>
          <w:szCs w:val="22"/>
        </w:rPr>
        <w:t xml:space="preserve"> a Zhotovitel dva stejnopisy. </w:t>
      </w:r>
    </w:p>
    <w:p w:rsidR="00272EE2" w:rsidRDefault="00186B53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K tomuto Dodatku č. 2</w:t>
      </w:r>
      <w:r w:rsidR="00272EE2">
        <w:rPr>
          <w:szCs w:val="22"/>
        </w:rPr>
        <w:t xml:space="preserve"> jsou přiloženy následující přílohy</w:t>
      </w:r>
      <w:r w:rsidR="000B145C">
        <w:rPr>
          <w:szCs w:val="22"/>
        </w:rPr>
        <w:t xml:space="preserve"> Smlouvy</w:t>
      </w:r>
      <w:r w:rsidR="00272EE2">
        <w:rPr>
          <w:szCs w:val="22"/>
        </w:rPr>
        <w:t>:</w:t>
      </w:r>
    </w:p>
    <w:p w:rsidR="00272EE2" w:rsidRDefault="00186B53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Pr="000C16FE">
        <w:rPr>
          <w:rFonts w:ascii="Arial" w:hAnsi="Arial" w:cs="Arial"/>
          <w:sz w:val="22"/>
          <w:szCs w:val="22"/>
        </w:rPr>
        <w:t>1</w:t>
      </w:r>
      <w:r w:rsidR="00A963F0" w:rsidRPr="000C16FE">
        <w:rPr>
          <w:rFonts w:ascii="Arial" w:hAnsi="Arial" w:cs="Arial"/>
          <w:sz w:val="22"/>
          <w:szCs w:val="22"/>
        </w:rPr>
        <w:t>b</w:t>
      </w:r>
      <w:r w:rsidR="00272EE2">
        <w:rPr>
          <w:rFonts w:ascii="Arial" w:hAnsi="Arial" w:cs="Arial"/>
          <w:sz w:val="22"/>
          <w:szCs w:val="22"/>
        </w:rPr>
        <w:t xml:space="preserve"> -</w:t>
      </w:r>
      <w:r w:rsidR="00272EE2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listy </w:t>
      </w:r>
      <w:r w:rsidR="00942C29">
        <w:rPr>
          <w:rFonts w:ascii="Arial" w:hAnsi="Arial" w:cs="Arial"/>
          <w:color w:val="auto"/>
          <w:sz w:val="22"/>
          <w:szCs w:val="22"/>
          <w:lang w:eastAsia="zh-CN"/>
        </w:rPr>
        <w:t>č. 2 – č. 4</w:t>
      </w:r>
    </w:p>
    <w:p w:rsidR="00B1768A" w:rsidRDefault="00B1768A" w:rsidP="00B1768A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</w:p>
    <w:p w:rsidR="00B1768A" w:rsidRDefault="00B1768A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</w:p>
    <w:p w:rsidR="009B778C" w:rsidRDefault="009B778C" w:rsidP="00272EE2">
      <w:pPr>
        <w:spacing w:line="240" w:lineRule="atLeast"/>
        <w:ind w:firstLine="340"/>
        <w:jc w:val="both"/>
        <w:rPr>
          <w:color w:val="000000"/>
          <w:szCs w:val="22"/>
          <w:lang w:eastAsia="cs-CZ"/>
        </w:rPr>
      </w:pPr>
    </w:p>
    <w:p w:rsidR="009B778C" w:rsidRDefault="009B778C" w:rsidP="00272EE2">
      <w:pPr>
        <w:spacing w:line="240" w:lineRule="atLeast"/>
        <w:ind w:firstLine="340"/>
        <w:jc w:val="both"/>
        <w:rPr>
          <w:color w:val="000000"/>
          <w:szCs w:val="22"/>
          <w:lang w:eastAsia="cs-CZ"/>
        </w:rPr>
      </w:pPr>
    </w:p>
    <w:p w:rsidR="00272EE2" w:rsidRDefault="009A0269" w:rsidP="00CE4011">
      <w:pPr>
        <w:spacing w:line="240" w:lineRule="atLeast"/>
        <w:jc w:val="both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 xml:space="preserve">V Praze dne 6. 4. </w:t>
      </w:r>
      <w:r w:rsidR="00CE4011">
        <w:rPr>
          <w:color w:val="000000"/>
          <w:szCs w:val="22"/>
          <w:lang w:eastAsia="cs-CZ"/>
        </w:rPr>
        <w:t>2020</w:t>
      </w:r>
      <w:r w:rsidR="00272EE2">
        <w:rPr>
          <w:color w:val="000000"/>
          <w:szCs w:val="22"/>
          <w:lang w:eastAsia="cs-CZ"/>
        </w:rPr>
        <w:tab/>
      </w:r>
      <w:r w:rsidR="00272EE2">
        <w:rPr>
          <w:color w:val="000000"/>
          <w:szCs w:val="22"/>
          <w:lang w:eastAsia="cs-CZ"/>
        </w:rPr>
        <w:tab/>
      </w:r>
      <w:r w:rsidR="00272EE2">
        <w:rPr>
          <w:color w:val="000000"/>
          <w:szCs w:val="22"/>
          <w:lang w:eastAsia="cs-CZ"/>
        </w:rPr>
        <w:tab/>
      </w:r>
      <w:r>
        <w:rPr>
          <w:color w:val="000000"/>
          <w:szCs w:val="22"/>
          <w:lang w:eastAsia="cs-CZ"/>
        </w:rPr>
        <w:tab/>
        <w:t xml:space="preserve">V Praze dne 31. 3. </w:t>
      </w:r>
      <w:r w:rsidR="00CE4011">
        <w:rPr>
          <w:color w:val="000000"/>
          <w:szCs w:val="22"/>
          <w:lang w:eastAsia="cs-CZ"/>
        </w:rPr>
        <w:t>2020</w:t>
      </w:r>
    </w:p>
    <w:p w:rsidR="00272EE2" w:rsidRDefault="00272EE2" w:rsidP="00272EE2">
      <w:pPr>
        <w:spacing w:line="240" w:lineRule="atLeast"/>
        <w:jc w:val="both"/>
        <w:rPr>
          <w:szCs w:val="22"/>
        </w:rPr>
      </w:pPr>
    </w:p>
    <w:p w:rsidR="00272EE2" w:rsidRDefault="00B1768A" w:rsidP="00C325CC">
      <w:pPr>
        <w:spacing w:line="240" w:lineRule="atLeast"/>
        <w:jc w:val="both"/>
        <w:rPr>
          <w:szCs w:val="22"/>
        </w:rPr>
      </w:pPr>
      <w:r>
        <w:rPr>
          <w:szCs w:val="22"/>
        </w:rPr>
        <w:t>Objednatel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</w:t>
      </w:r>
      <w:r w:rsidR="00272EE2">
        <w:rPr>
          <w:szCs w:val="22"/>
        </w:rPr>
        <w:t>hotovitel</w:t>
      </w: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</w:p>
    <w:p w:rsidR="00272EE2" w:rsidRDefault="00B1768A" w:rsidP="00272EE2">
      <w:pPr>
        <w:tabs>
          <w:tab w:val="left" w:pos="0"/>
        </w:tabs>
        <w:rPr>
          <w:bCs/>
          <w:szCs w:val="22"/>
        </w:rPr>
      </w:pPr>
      <w:r>
        <w:rPr>
          <w:bCs/>
          <w:szCs w:val="22"/>
        </w:rPr>
        <w:t>…………………………..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272EE2">
        <w:rPr>
          <w:bCs/>
          <w:szCs w:val="22"/>
        </w:rPr>
        <w:t>….…..……………………</w:t>
      </w:r>
    </w:p>
    <w:p w:rsidR="00B1768A" w:rsidRPr="00982595" w:rsidRDefault="00B1768A" w:rsidP="00B1768A">
      <w:pPr>
        <w:tabs>
          <w:tab w:val="left" w:pos="0"/>
        </w:tabs>
        <w:rPr>
          <w:b/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982595">
        <w:rPr>
          <w:b/>
          <w:szCs w:val="22"/>
        </w:rPr>
        <w:t>BUILDER CONSTRUCTIONS s.r.o.</w:t>
      </w:r>
    </w:p>
    <w:p w:rsidR="00B1768A" w:rsidRPr="00F73B76" w:rsidRDefault="00B1768A" w:rsidP="00B1768A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73B76">
        <w:rPr>
          <w:szCs w:val="22"/>
        </w:rPr>
        <w:t>Roman Pipasik</w:t>
      </w:r>
    </w:p>
    <w:p w:rsidR="00B1768A" w:rsidRPr="00AD0D5B" w:rsidRDefault="00B1768A" w:rsidP="00B1768A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F73B76">
        <w:rPr>
          <w:rFonts w:ascii="Arial" w:hAnsi="Arial" w:cs="Arial"/>
          <w:sz w:val="22"/>
          <w:szCs w:val="22"/>
          <w:lang w:val="cs-CZ"/>
        </w:rPr>
        <w:t>starosta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F73B76">
        <w:rPr>
          <w:rFonts w:ascii="Arial" w:hAnsi="Arial" w:cs="Arial"/>
          <w:sz w:val="22"/>
          <w:szCs w:val="22"/>
          <w:lang w:val="cs-CZ"/>
        </w:rPr>
        <w:t>jednatel</w:t>
      </w:r>
    </w:p>
    <w:p w:rsidR="00B1768A" w:rsidRPr="00AD0D5B" w:rsidRDefault="00B1768A" w:rsidP="00B1768A">
      <w:pPr>
        <w:tabs>
          <w:tab w:val="left" w:pos="284"/>
        </w:tabs>
        <w:rPr>
          <w:szCs w:val="22"/>
        </w:rPr>
      </w:pPr>
    </w:p>
    <w:p w:rsidR="00A604F2" w:rsidRPr="00AE45B6" w:rsidRDefault="00271E02" w:rsidP="00B1768A">
      <w:pPr>
        <w:tabs>
          <w:tab w:val="left" w:pos="0"/>
        </w:tabs>
        <w:rPr>
          <w:b/>
        </w:rPr>
      </w:pPr>
    </w:p>
    <w:sectPr w:rsidR="00A604F2" w:rsidRPr="00AE45B6" w:rsidSect="008F59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B7" w:rsidRDefault="00DF3DB7" w:rsidP="00920B07">
      <w:r>
        <w:separator/>
      </w:r>
    </w:p>
  </w:endnote>
  <w:endnote w:type="continuationSeparator" w:id="0">
    <w:p w:rsidR="00DF3DB7" w:rsidRDefault="00DF3DB7" w:rsidP="00920B07">
      <w:r>
        <w:continuationSeparator/>
      </w:r>
    </w:p>
  </w:endnote>
  <w:endnote w:type="continuationNotice" w:id="1">
    <w:p w:rsidR="00DF3DB7" w:rsidRDefault="00DF3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D9" w:rsidRDefault="00F155E1">
    <w:pPr>
      <w:pStyle w:val="Zpat"/>
    </w:pPr>
    <w:r>
      <w:rPr>
        <w:rStyle w:val="slostrnky"/>
        <w:sz w:val="18"/>
        <w:szCs w:val="20"/>
      </w:rPr>
      <w:tab/>
    </w:r>
    <w:r w:rsidR="006B56D5"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PAGE </w:instrText>
    </w:r>
    <w:r w:rsidR="006B56D5">
      <w:rPr>
        <w:rStyle w:val="slostrnky"/>
        <w:sz w:val="18"/>
        <w:szCs w:val="20"/>
      </w:rPr>
      <w:fldChar w:fldCharType="separate"/>
    </w:r>
    <w:r w:rsidR="00271E02">
      <w:rPr>
        <w:rStyle w:val="slostrnky"/>
        <w:noProof/>
        <w:sz w:val="18"/>
        <w:szCs w:val="20"/>
      </w:rPr>
      <w:t>1</w:t>
    </w:r>
    <w:r w:rsidR="006B56D5">
      <w:rPr>
        <w:rStyle w:val="slostrnky"/>
        <w:sz w:val="18"/>
        <w:szCs w:val="20"/>
      </w:rPr>
      <w:fldChar w:fldCharType="end"/>
    </w:r>
    <w:r>
      <w:rPr>
        <w:rStyle w:val="slostrnky"/>
        <w:sz w:val="18"/>
        <w:szCs w:val="20"/>
      </w:rPr>
      <w:t>/</w:t>
    </w:r>
    <w:r w:rsidR="006B56D5"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NUMPAGES \* ARABIC </w:instrText>
    </w:r>
    <w:r w:rsidR="006B56D5">
      <w:rPr>
        <w:rStyle w:val="slostrnky"/>
        <w:sz w:val="18"/>
        <w:szCs w:val="20"/>
      </w:rPr>
      <w:fldChar w:fldCharType="separate"/>
    </w:r>
    <w:r w:rsidR="00271E02">
      <w:rPr>
        <w:rStyle w:val="slostrnky"/>
        <w:noProof/>
        <w:sz w:val="18"/>
        <w:szCs w:val="20"/>
      </w:rPr>
      <w:t>3</w:t>
    </w:r>
    <w:r w:rsidR="006B56D5">
      <w:rPr>
        <w:rStyle w:val="slostrnky"/>
        <w:sz w:val="18"/>
        <w:szCs w:val="20"/>
      </w:rPr>
      <w:fldChar w:fldCharType="end"/>
    </w:r>
  </w:p>
  <w:p w:rsidR="004C0CD9" w:rsidRDefault="00271E0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B7" w:rsidRDefault="00DF3DB7" w:rsidP="00920B07">
      <w:r>
        <w:separator/>
      </w:r>
    </w:p>
  </w:footnote>
  <w:footnote w:type="continuationSeparator" w:id="0">
    <w:p w:rsidR="00DF3DB7" w:rsidRDefault="00DF3DB7" w:rsidP="00920B07">
      <w:r>
        <w:continuationSeparator/>
      </w:r>
    </w:p>
  </w:footnote>
  <w:footnote w:type="continuationNotice" w:id="1">
    <w:p w:rsidR="00DF3DB7" w:rsidRDefault="00DF3D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BDC90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7021EA"/>
    <w:multiLevelType w:val="hybridMultilevel"/>
    <w:tmpl w:val="2556DB7E"/>
    <w:lvl w:ilvl="0" w:tplc="165AE176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D380994"/>
    <w:multiLevelType w:val="hybridMultilevel"/>
    <w:tmpl w:val="637CEA9C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4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9A743FD"/>
    <w:multiLevelType w:val="hybridMultilevel"/>
    <w:tmpl w:val="45762562"/>
    <w:lvl w:ilvl="0" w:tplc="6B90E8EE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6"/>
  </w:num>
  <w:num w:numId="5">
    <w:abstractNumId w:val="7"/>
  </w:num>
  <w:num w:numId="6">
    <w:abstractNumId w:val="0"/>
  </w:num>
  <w:num w:numId="7">
    <w:abstractNumId w:val="1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3"/>
  </w:num>
  <w:num w:numId="14">
    <w:abstractNumId w:val="3"/>
  </w:num>
  <w:num w:numId="15">
    <w:abstractNumId w:val="8"/>
  </w:num>
  <w:num w:numId="16">
    <w:abstractNumId w:val="1"/>
    <w:lvlOverride w:ilvl="0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33F07"/>
    <w:rsid w:val="00034E3D"/>
    <w:rsid w:val="00041066"/>
    <w:rsid w:val="00043258"/>
    <w:rsid w:val="000438E0"/>
    <w:rsid w:val="00052961"/>
    <w:rsid w:val="000676D5"/>
    <w:rsid w:val="000771BB"/>
    <w:rsid w:val="000803F8"/>
    <w:rsid w:val="00084E61"/>
    <w:rsid w:val="00090C4D"/>
    <w:rsid w:val="0009452B"/>
    <w:rsid w:val="000A2D6E"/>
    <w:rsid w:val="000B145C"/>
    <w:rsid w:val="000B2E63"/>
    <w:rsid w:val="000B738B"/>
    <w:rsid w:val="000C156F"/>
    <w:rsid w:val="000C16FE"/>
    <w:rsid w:val="000C189A"/>
    <w:rsid w:val="000C3741"/>
    <w:rsid w:val="000C52D4"/>
    <w:rsid w:val="000D374D"/>
    <w:rsid w:val="000D487B"/>
    <w:rsid w:val="000F599E"/>
    <w:rsid w:val="0011300B"/>
    <w:rsid w:val="001150E2"/>
    <w:rsid w:val="00121848"/>
    <w:rsid w:val="00126572"/>
    <w:rsid w:val="00147B35"/>
    <w:rsid w:val="00161F21"/>
    <w:rsid w:val="00170FAB"/>
    <w:rsid w:val="00171DB9"/>
    <w:rsid w:val="00173DB1"/>
    <w:rsid w:val="00176117"/>
    <w:rsid w:val="00185736"/>
    <w:rsid w:val="00186B53"/>
    <w:rsid w:val="0018794F"/>
    <w:rsid w:val="00191B70"/>
    <w:rsid w:val="0019338A"/>
    <w:rsid w:val="001A727E"/>
    <w:rsid w:val="001B1DEE"/>
    <w:rsid w:val="001B61F0"/>
    <w:rsid w:val="001E48A0"/>
    <w:rsid w:val="002044D6"/>
    <w:rsid w:val="00211079"/>
    <w:rsid w:val="00213163"/>
    <w:rsid w:val="00213FDA"/>
    <w:rsid w:val="00221D71"/>
    <w:rsid w:val="00236572"/>
    <w:rsid w:val="002369F0"/>
    <w:rsid w:val="0024203A"/>
    <w:rsid w:val="00250D35"/>
    <w:rsid w:val="002651D2"/>
    <w:rsid w:val="00271E02"/>
    <w:rsid w:val="00272EE2"/>
    <w:rsid w:val="00273447"/>
    <w:rsid w:val="00281001"/>
    <w:rsid w:val="0028103B"/>
    <w:rsid w:val="00297307"/>
    <w:rsid w:val="002A3B47"/>
    <w:rsid w:val="002A3CA2"/>
    <w:rsid w:val="002A47F5"/>
    <w:rsid w:val="002C06F4"/>
    <w:rsid w:val="002D071D"/>
    <w:rsid w:val="0030624F"/>
    <w:rsid w:val="00306F80"/>
    <w:rsid w:val="00317988"/>
    <w:rsid w:val="00320AC4"/>
    <w:rsid w:val="00322A9E"/>
    <w:rsid w:val="00322FCC"/>
    <w:rsid w:val="00326409"/>
    <w:rsid w:val="00356EB6"/>
    <w:rsid w:val="00371EED"/>
    <w:rsid w:val="00381F0B"/>
    <w:rsid w:val="0039215C"/>
    <w:rsid w:val="003973A9"/>
    <w:rsid w:val="003B1A02"/>
    <w:rsid w:val="003C47BA"/>
    <w:rsid w:val="003D6C4F"/>
    <w:rsid w:val="003F475E"/>
    <w:rsid w:val="003F5F5C"/>
    <w:rsid w:val="00402ABA"/>
    <w:rsid w:val="00434B0A"/>
    <w:rsid w:val="004446E5"/>
    <w:rsid w:val="004730B1"/>
    <w:rsid w:val="0047398D"/>
    <w:rsid w:val="00476A3C"/>
    <w:rsid w:val="00484787"/>
    <w:rsid w:val="004950DE"/>
    <w:rsid w:val="004B2CBF"/>
    <w:rsid w:val="004D2C56"/>
    <w:rsid w:val="004D6A97"/>
    <w:rsid w:val="004E4D51"/>
    <w:rsid w:val="004F22EB"/>
    <w:rsid w:val="00516455"/>
    <w:rsid w:val="00533C9E"/>
    <w:rsid w:val="00534FA9"/>
    <w:rsid w:val="0054049E"/>
    <w:rsid w:val="0054176F"/>
    <w:rsid w:val="0055238D"/>
    <w:rsid w:val="00560EF2"/>
    <w:rsid w:val="00563736"/>
    <w:rsid w:val="00564330"/>
    <w:rsid w:val="00567006"/>
    <w:rsid w:val="00571F3F"/>
    <w:rsid w:val="005728B1"/>
    <w:rsid w:val="00575C2D"/>
    <w:rsid w:val="00575D50"/>
    <w:rsid w:val="00583BB8"/>
    <w:rsid w:val="00596169"/>
    <w:rsid w:val="00596352"/>
    <w:rsid w:val="005A26E9"/>
    <w:rsid w:val="005A2832"/>
    <w:rsid w:val="005A6CB1"/>
    <w:rsid w:val="005B2A3F"/>
    <w:rsid w:val="005B3A88"/>
    <w:rsid w:val="005B7BED"/>
    <w:rsid w:val="005C62EC"/>
    <w:rsid w:val="005F1084"/>
    <w:rsid w:val="0060176D"/>
    <w:rsid w:val="00650ED1"/>
    <w:rsid w:val="00675C4A"/>
    <w:rsid w:val="00680136"/>
    <w:rsid w:val="006869AF"/>
    <w:rsid w:val="00687C7D"/>
    <w:rsid w:val="006910FA"/>
    <w:rsid w:val="006A7470"/>
    <w:rsid w:val="006B56D5"/>
    <w:rsid w:val="006B6BCE"/>
    <w:rsid w:val="006C197D"/>
    <w:rsid w:val="006C2AB3"/>
    <w:rsid w:val="006D3F8C"/>
    <w:rsid w:val="006D6C23"/>
    <w:rsid w:val="006E2375"/>
    <w:rsid w:val="006E2CC5"/>
    <w:rsid w:val="006E54E8"/>
    <w:rsid w:val="0071004C"/>
    <w:rsid w:val="00710C4A"/>
    <w:rsid w:val="007142EE"/>
    <w:rsid w:val="007208EA"/>
    <w:rsid w:val="0072161D"/>
    <w:rsid w:val="0072330E"/>
    <w:rsid w:val="00725F24"/>
    <w:rsid w:val="00757DAE"/>
    <w:rsid w:val="00764BB8"/>
    <w:rsid w:val="007928D1"/>
    <w:rsid w:val="007A0F53"/>
    <w:rsid w:val="007B222C"/>
    <w:rsid w:val="007B34C7"/>
    <w:rsid w:val="007C5EBE"/>
    <w:rsid w:val="007D216B"/>
    <w:rsid w:val="007D4DA3"/>
    <w:rsid w:val="007E29C8"/>
    <w:rsid w:val="00803CCF"/>
    <w:rsid w:val="00820F47"/>
    <w:rsid w:val="00830B4D"/>
    <w:rsid w:val="00846792"/>
    <w:rsid w:val="008516BD"/>
    <w:rsid w:val="00860BC0"/>
    <w:rsid w:val="00884084"/>
    <w:rsid w:val="00897B7D"/>
    <w:rsid w:val="008A5025"/>
    <w:rsid w:val="008B0814"/>
    <w:rsid w:val="008B1FD5"/>
    <w:rsid w:val="008C7180"/>
    <w:rsid w:val="008D5E5E"/>
    <w:rsid w:val="008E7E81"/>
    <w:rsid w:val="008F2F2F"/>
    <w:rsid w:val="008F59E2"/>
    <w:rsid w:val="00913EFB"/>
    <w:rsid w:val="00917275"/>
    <w:rsid w:val="00920B07"/>
    <w:rsid w:val="009212D6"/>
    <w:rsid w:val="00922AB9"/>
    <w:rsid w:val="009249C5"/>
    <w:rsid w:val="00925F5E"/>
    <w:rsid w:val="00930175"/>
    <w:rsid w:val="00941EA1"/>
    <w:rsid w:val="0094267F"/>
    <w:rsid w:val="00942C29"/>
    <w:rsid w:val="0094391C"/>
    <w:rsid w:val="009553BD"/>
    <w:rsid w:val="00956691"/>
    <w:rsid w:val="0097198C"/>
    <w:rsid w:val="00982595"/>
    <w:rsid w:val="009845C5"/>
    <w:rsid w:val="009A0269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242F"/>
    <w:rsid w:val="00A15A05"/>
    <w:rsid w:val="00A1678F"/>
    <w:rsid w:val="00A175B5"/>
    <w:rsid w:val="00A23A3C"/>
    <w:rsid w:val="00A3143A"/>
    <w:rsid w:val="00A33908"/>
    <w:rsid w:val="00A35E59"/>
    <w:rsid w:val="00A42862"/>
    <w:rsid w:val="00A5275A"/>
    <w:rsid w:val="00A54002"/>
    <w:rsid w:val="00A605A6"/>
    <w:rsid w:val="00A649F4"/>
    <w:rsid w:val="00A920D5"/>
    <w:rsid w:val="00A92654"/>
    <w:rsid w:val="00A963F0"/>
    <w:rsid w:val="00AA1B50"/>
    <w:rsid w:val="00AA561B"/>
    <w:rsid w:val="00AB4CE4"/>
    <w:rsid w:val="00AC06D6"/>
    <w:rsid w:val="00AC6666"/>
    <w:rsid w:val="00AD0E0C"/>
    <w:rsid w:val="00AE45B6"/>
    <w:rsid w:val="00B06B7C"/>
    <w:rsid w:val="00B1655D"/>
    <w:rsid w:val="00B1768A"/>
    <w:rsid w:val="00B31A10"/>
    <w:rsid w:val="00B36710"/>
    <w:rsid w:val="00B402BE"/>
    <w:rsid w:val="00B41012"/>
    <w:rsid w:val="00B50ED4"/>
    <w:rsid w:val="00B557E8"/>
    <w:rsid w:val="00B570B3"/>
    <w:rsid w:val="00B60E9F"/>
    <w:rsid w:val="00B74498"/>
    <w:rsid w:val="00B75A2C"/>
    <w:rsid w:val="00B806BB"/>
    <w:rsid w:val="00B827FB"/>
    <w:rsid w:val="00B8406D"/>
    <w:rsid w:val="00B85A4F"/>
    <w:rsid w:val="00B913A1"/>
    <w:rsid w:val="00BB4751"/>
    <w:rsid w:val="00BB7D4F"/>
    <w:rsid w:val="00BC41BC"/>
    <w:rsid w:val="00BC69EF"/>
    <w:rsid w:val="00BD125F"/>
    <w:rsid w:val="00BE0636"/>
    <w:rsid w:val="00BF2557"/>
    <w:rsid w:val="00C0036C"/>
    <w:rsid w:val="00C01EF1"/>
    <w:rsid w:val="00C036FC"/>
    <w:rsid w:val="00C05473"/>
    <w:rsid w:val="00C05505"/>
    <w:rsid w:val="00C15F6C"/>
    <w:rsid w:val="00C1667C"/>
    <w:rsid w:val="00C24A07"/>
    <w:rsid w:val="00C24D8F"/>
    <w:rsid w:val="00C32417"/>
    <w:rsid w:val="00C325CC"/>
    <w:rsid w:val="00C32790"/>
    <w:rsid w:val="00C34B61"/>
    <w:rsid w:val="00C3760B"/>
    <w:rsid w:val="00C514BC"/>
    <w:rsid w:val="00C552EB"/>
    <w:rsid w:val="00C72EA7"/>
    <w:rsid w:val="00C75DEA"/>
    <w:rsid w:val="00C96074"/>
    <w:rsid w:val="00CA17E0"/>
    <w:rsid w:val="00CA1BC1"/>
    <w:rsid w:val="00CB1E73"/>
    <w:rsid w:val="00CB297B"/>
    <w:rsid w:val="00CB6CDC"/>
    <w:rsid w:val="00CD6BBF"/>
    <w:rsid w:val="00CD6FDD"/>
    <w:rsid w:val="00CE14B4"/>
    <w:rsid w:val="00CE4011"/>
    <w:rsid w:val="00CE645A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52365"/>
    <w:rsid w:val="00D64FCD"/>
    <w:rsid w:val="00D81B4E"/>
    <w:rsid w:val="00D8475D"/>
    <w:rsid w:val="00DA3C15"/>
    <w:rsid w:val="00DA6A0F"/>
    <w:rsid w:val="00DE2AA1"/>
    <w:rsid w:val="00DE580F"/>
    <w:rsid w:val="00DF2DE3"/>
    <w:rsid w:val="00DF3DB7"/>
    <w:rsid w:val="00DF61D7"/>
    <w:rsid w:val="00E05DF9"/>
    <w:rsid w:val="00E270C2"/>
    <w:rsid w:val="00E27EB9"/>
    <w:rsid w:val="00E36233"/>
    <w:rsid w:val="00E408A9"/>
    <w:rsid w:val="00E47B6C"/>
    <w:rsid w:val="00E5230F"/>
    <w:rsid w:val="00E64501"/>
    <w:rsid w:val="00E83865"/>
    <w:rsid w:val="00E87E05"/>
    <w:rsid w:val="00E91CE5"/>
    <w:rsid w:val="00EA246C"/>
    <w:rsid w:val="00EB2E1F"/>
    <w:rsid w:val="00EC3F3B"/>
    <w:rsid w:val="00EC4E7B"/>
    <w:rsid w:val="00ED3BAE"/>
    <w:rsid w:val="00F050EA"/>
    <w:rsid w:val="00F06594"/>
    <w:rsid w:val="00F155E1"/>
    <w:rsid w:val="00F2160B"/>
    <w:rsid w:val="00F33956"/>
    <w:rsid w:val="00F462F1"/>
    <w:rsid w:val="00F6243A"/>
    <w:rsid w:val="00F76A48"/>
    <w:rsid w:val="00F77C77"/>
    <w:rsid w:val="00F929F3"/>
    <w:rsid w:val="00FA5DAE"/>
    <w:rsid w:val="00FB5A40"/>
    <w:rsid w:val="00FC548D"/>
    <w:rsid w:val="00FE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4DA1E-6A39-4127-87C0-EE036E69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B1768A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styleId="Siln">
    <w:name w:val="Strong"/>
    <w:basedOn w:val="Standardnpsmoodstavce"/>
    <w:uiPriority w:val="22"/>
    <w:qFormat/>
    <w:rsid w:val="00C32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30AA-B847-44C3-B9AC-294DF1F3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5588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2018-09-14T08:49:00Z</cp:lastPrinted>
  <dcterms:created xsi:type="dcterms:W3CDTF">2020-04-06T14:07:00Z</dcterms:created>
  <dcterms:modified xsi:type="dcterms:W3CDTF">2020-04-06T14:07:00Z</dcterms:modified>
</cp:coreProperties>
</file>