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C03F75">
        <w:rPr>
          <w:sz w:val="34"/>
          <w:szCs w:val="34"/>
        </w:rPr>
        <w:t>0</w:t>
      </w:r>
      <w:r w:rsidR="00FD433A">
        <w:rPr>
          <w:sz w:val="34"/>
          <w:szCs w:val="34"/>
        </w:rPr>
        <w:t>2</w:t>
      </w:r>
      <w:r w:rsidR="00F77725">
        <w:rPr>
          <w:sz w:val="34"/>
          <w:szCs w:val="34"/>
        </w:rPr>
        <w:t>6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7D65F5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7D65F5" w:rsidRDefault="007D65F5" w:rsidP="007D65F5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datu účinnosti dodatku se odpojišťuje toto vozidlo: s pořadovým č. 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3C4207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>898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D65F5" w:rsidRPr="00CB04B4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F77725" w:rsidRDefault="00F77725" w:rsidP="00F7772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25:</w:t>
      </w:r>
    </w:p>
    <w:p w:rsidR="00F77725" w:rsidRDefault="00F77725" w:rsidP="00F7772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114.267,- Kč</w:t>
      </w:r>
    </w:p>
    <w:p w:rsidR="00F77725" w:rsidRDefault="00F77725" w:rsidP="00F77725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429.663,- Kč</w:t>
      </w:r>
    </w:p>
    <w:p w:rsidR="00F77725" w:rsidRDefault="00F77725" w:rsidP="00F7772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543.930</w:t>
      </w:r>
      <w:r w:rsidRPr="00A2130D">
        <w:rPr>
          <w:b/>
          <w:color w:val="auto"/>
          <w:sz w:val="22"/>
          <w:szCs w:val="22"/>
        </w:rPr>
        <w:t>,- Kč</w:t>
      </w:r>
    </w:p>
    <w:p w:rsidR="00BB627F" w:rsidRP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C40091">
        <w:rPr>
          <w:b/>
          <w:color w:val="auto"/>
          <w:sz w:val="22"/>
          <w:szCs w:val="22"/>
        </w:rPr>
        <w:t>2</w:t>
      </w:r>
      <w:r w:rsidR="00F77725">
        <w:rPr>
          <w:b/>
          <w:color w:val="auto"/>
          <w:sz w:val="22"/>
          <w:szCs w:val="22"/>
        </w:rPr>
        <w:t>6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11</w:t>
      </w:r>
      <w:r w:rsidR="00F77725">
        <w:rPr>
          <w:color w:val="auto"/>
          <w:sz w:val="22"/>
          <w:szCs w:val="22"/>
        </w:rPr>
        <w:t>2</w:t>
      </w:r>
      <w:r w:rsidR="00C40091">
        <w:rPr>
          <w:color w:val="auto"/>
          <w:sz w:val="22"/>
          <w:szCs w:val="22"/>
        </w:rPr>
        <w:t>.</w:t>
      </w:r>
      <w:r w:rsidR="00F77725">
        <w:rPr>
          <w:color w:val="auto"/>
          <w:sz w:val="22"/>
          <w:szCs w:val="22"/>
        </w:rPr>
        <w:t>893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4</w:t>
      </w:r>
      <w:r w:rsidR="003C4207">
        <w:rPr>
          <w:color w:val="auto"/>
          <w:sz w:val="22"/>
          <w:szCs w:val="22"/>
        </w:rPr>
        <w:t>2</w:t>
      </w:r>
      <w:r w:rsidR="00F77725">
        <w:rPr>
          <w:color w:val="auto"/>
          <w:sz w:val="22"/>
          <w:szCs w:val="22"/>
        </w:rPr>
        <w:t>6</w:t>
      </w:r>
      <w:r w:rsidR="003C4207">
        <w:rPr>
          <w:color w:val="auto"/>
          <w:sz w:val="22"/>
          <w:szCs w:val="22"/>
        </w:rPr>
        <w:t>.</w:t>
      </w:r>
      <w:r w:rsidR="00F77725">
        <w:rPr>
          <w:color w:val="auto"/>
          <w:sz w:val="22"/>
          <w:szCs w:val="22"/>
        </w:rPr>
        <w:t>050</w:t>
      </w:r>
      <w:r>
        <w:rPr>
          <w:color w:val="auto"/>
          <w:sz w:val="22"/>
          <w:szCs w:val="22"/>
        </w:rPr>
        <w:t>,- Kč</w:t>
      </w:r>
    </w:p>
    <w:p w:rsidR="00EC1BE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C40091">
        <w:rPr>
          <w:b/>
          <w:color w:val="auto"/>
          <w:sz w:val="22"/>
          <w:szCs w:val="22"/>
        </w:rPr>
        <w:t>5</w:t>
      </w:r>
      <w:r w:rsidR="003C4207">
        <w:rPr>
          <w:b/>
          <w:color w:val="auto"/>
          <w:sz w:val="22"/>
          <w:szCs w:val="22"/>
        </w:rPr>
        <w:t>3</w:t>
      </w:r>
      <w:r w:rsidR="00F77725">
        <w:rPr>
          <w:b/>
          <w:color w:val="auto"/>
          <w:sz w:val="22"/>
          <w:szCs w:val="22"/>
        </w:rPr>
        <w:t>8</w:t>
      </w:r>
      <w:r w:rsidR="00C40091">
        <w:rPr>
          <w:b/>
          <w:color w:val="auto"/>
          <w:sz w:val="22"/>
          <w:szCs w:val="22"/>
        </w:rPr>
        <w:t>.9</w:t>
      </w:r>
      <w:r w:rsidR="00F77725">
        <w:rPr>
          <w:b/>
          <w:color w:val="auto"/>
          <w:sz w:val="22"/>
          <w:szCs w:val="22"/>
        </w:rPr>
        <w:t>4</w:t>
      </w:r>
      <w:r w:rsidR="003C4207">
        <w:rPr>
          <w:b/>
          <w:color w:val="auto"/>
          <w:sz w:val="22"/>
          <w:szCs w:val="22"/>
        </w:rPr>
        <w:t>3</w:t>
      </w:r>
      <w:r w:rsidRPr="00A2130D">
        <w:rPr>
          <w:b/>
          <w:color w:val="auto"/>
          <w:sz w:val="22"/>
          <w:szCs w:val="22"/>
        </w:rPr>
        <w:t>,- Kč</w:t>
      </w:r>
    </w:p>
    <w:p w:rsidR="00C40091" w:rsidRPr="00A2130D" w:rsidRDefault="00C40091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</w:p>
    <w:p w:rsidR="00C40091" w:rsidRPr="009E2B3D" w:rsidRDefault="00C40091" w:rsidP="00C4009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F77725">
        <w:rPr>
          <w:color w:val="auto"/>
          <w:sz w:val="22"/>
          <w:szCs w:val="22"/>
        </w:rPr>
        <w:t>05</w:t>
      </w:r>
      <w:r w:rsidR="003C4207">
        <w:rPr>
          <w:color w:val="auto"/>
          <w:sz w:val="22"/>
          <w:szCs w:val="22"/>
        </w:rPr>
        <w:t>.0</w:t>
      </w:r>
      <w:r w:rsidR="00F77725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.2020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>
        <w:rPr>
          <w:color w:val="auto"/>
          <w:sz w:val="22"/>
          <w:szCs w:val="22"/>
        </w:rPr>
        <w:t>20</w:t>
      </w:r>
      <w:r w:rsidRPr="009E2B3D">
        <w:rPr>
          <w:color w:val="auto"/>
          <w:sz w:val="22"/>
          <w:szCs w:val="22"/>
        </w:rPr>
        <w:t xml:space="preserve"> činí  </w:t>
      </w:r>
      <w:r w:rsidR="00F77725">
        <w:rPr>
          <w:b/>
          <w:color w:val="auto"/>
          <w:sz w:val="22"/>
          <w:szCs w:val="22"/>
        </w:rPr>
        <w:t>4.126</w:t>
      </w:r>
      <w:r w:rsidRPr="005908EB">
        <w:rPr>
          <w:b/>
          <w:color w:val="auto"/>
          <w:sz w:val="22"/>
          <w:szCs w:val="22"/>
        </w:rPr>
        <w:t>,- Kč</w:t>
      </w:r>
      <w:r w:rsidRPr="009E2B3D">
        <w:rPr>
          <w:color w:val="auto"/>
          <w:sz w:val="22"/>
          <w:szCs w:val="22"/>
        </w:rPr>
        <w:t>.</w:t>
      </w:r>
    </w:p>
    <w:p w:rsidR="00AC456B" w:rsidRPr="00972FBF" w:rsidRDefault="00C40091" w:rsidP="00972FB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Pr="009E2B3D">
        <w:rPr>
          <w:b/>
          <w:bCs/>
          <w:color w:val="auto"/>
          <w:sz w:val="22"/>
          <w:szCs w:val="22"/>
        </w:rPr>
        <w:t>.</w:t>
      </w: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F77725">
        <w:rPr>
          <w:b/>
        </w:rPr>
        <w:t>05.03</w:t>
      </w:r>
      <w:r w:rsidR="00BB627F">
        <w:rPr>
          <w:b/>
        </w:rPr>
        <w:t>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E947AF" w:rsidRPr="00E947AF">
        <w:rPr>
          <w:sz w:val="24"/>
          <w:szCs w:val="24"/>
          <w:highlight w:val="black"/>
        </w:rPr>
        <w:t>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E947AF" w:rsidRPr="00E947AF">
        <w:rPr>
          <w:sz w:val="24"/>
          <w:szCs w:val="24"/>
          <w:highlight w:val="black"/>
        </w:rPr>
        <w:t>xxxxxxxx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E947AF" w:rsidRPr="00E947AF">
        <w:rPr>
          <w:sz w:val="24"/>
          <w:szCs w:val="24"/>
          <w:highlight w:val="black"/>
        </w:rPr>
        <w:t>xxxxxxxx</w:t>
      </w:r>
      <w:bookmarkStart w:id="1" w:name="_GoBack"/>
      <w:bookmarkEnd w:id="1"/>
      <w:proofErr w:type="spellEnd"/>
      <w:r w:rsidRPr="00CF65BC">
        <w:rPr>
          <w:sz w:val="24"/>
          <w:szCs w:val="24"/>
        </w:rPr>
        <w:t>, tel.</w:t>
      </w:r>
      <w:r w:rsidR="00E947AF">
        <w:rPr>
          <w:sz w:val="24"/>
          <w:szCs w:val="24"/>
        </w:rPr>
        <w:t xml:space="preserve"> </w:t>
      </w:r>
      <w:proofErr w:type="spellStart"/>
      <w:r w:rsidR="00E947AF" w:rsidRPr="00E947AF">
        <w:rPr>
          <w:sz w:val="24"/>
          <w:szCs w:val="24"/>
          <w:highlight w:val="black"/>
        </w:rPr>
        <w:t>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E947AF" w:rsidRPr="00E947AF">
          <w:rPr>
            <w:rStyle w:val="Hypertextovodkaz"/>
            <w:sz w:val="24"/>
            <w:szCs w:val="24"/>
            <w:highlight w:val="black"/>
          </w:rPr>
          <w:t>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F77725">
        <w:rPr>
          <w:sz w:val="22"/>
          <w:szCs w:val="22"/>
        </w:rPr>
        <w:t>04.03</w:t>
      </w:r>
      <w:r w:rsidR="00C40091">
        <w:rPr>
          <w:sz w:val="22"/>
          <w:szCs w:val="22"/>
        </w:rPr>
        <w:t>.2020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40091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C40091" w:rsidRDefault="00C4009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F7" w:rsidRDefault="00107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074F7" w:rsidRDefault="00107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C40091">
      <w:rPr>
        <w:sz w:val="16"/>
        <w:szCs w:val="16"/>
      </w:rPr>
      <w:t>, dodatek č. 2</w:t>
    </w:r>
    <w:r w:rsidR="00F77725">
      <w:rPr>
        <w:sz w:val="16"/>
        <w:szCs w:val="16"/>
      </w:rPr>
      <w:t>6</w:t>
    </w:r>
    <w:r w:rsidR="00C40091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947A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C40091" w:rsidRPr="000A4E0F" w:rsidRDefault="00C40091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F7" w:rsidRDefault="00107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074F7" w:rsidRDefault="00107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21CE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006F"/>
    <w:rsid w:val="00101634"/>
    <w:rsid w:val="00105E4F"/>
    <w:rsid w:val="0010697A"/>
    <w:rsid w:val="001074F7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2B3A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C4207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83DC8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A5152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D65F5"/>
    <w:rsid w:val="007E091A"/>
    <w:rsid w:val="007E4061"/>
    <w:rsid w:val="00804991"/>
    <w:rsid w:val="00811F6A"/>
    <w:rsid w:val="008410D4"/>
    <w:rsid w:val="00854F85"/>
    <w:rsid w:val="00860073"/>
    <w:rsid w:val="008657AE"/>
    <w:rsid w:val="00870007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2FB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3F75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0091"/>
    <w:rsid w:val="00C427B5"/>
    <w:rsid w:val="00C42F31"/>
    <w:rsid w:val="00C447A5"/>
    <w:rsid w:val="00C552E1"/>
    <w:rsid w:val="00C5548F"/>
    <w:rsid w:val="00C5579B"/>
    <w:rsid w:val="00C61EA2"/>
    <w:rsid w:val="00C61F9D"/>
    <w:rsid w:val="00C635AB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47AF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E0EA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77725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33A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F4DBB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2020-03-16T15:06:00Z</dcterms:created>
  <dcterms:modified xsi:type="dcterms:W3CDTF">2020-04-03T11:00:00Z</dcterms:modified>
</cp:coreProperties>
</file>