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10" w:rsidRDefault="00981C50">
      <w:pPr>
        <w:pStyle w:val="Zkladntext1"/>
        <w:shd w:val="clear" w:color="auto" w:fill="auto"/>
        <w:spacing w:after="400"/>
        <w:jc w:val="both"/>
      </w:pPr>
      <w:bookmarkStart w:id="0" w:name="_GoBack"/>
      <w:bookmarkEnd w:id="0"/>
      <w:r>
        <w:rPr>
          <w:b/>
          <w:bCs/>
        </w:rPr>
        <w:t>Pojistná smlouva č. 1690351713</w:t>
      </w:r>
    </w:p>
    <w:p w:rsidR="00943310" w:rsidRDefault="00981C50">
      <w:pPr>
        <w:pStyle w:val="Zkladntext1"/>
        <w:shd w:val="clear" w:color="auto" w:fill="auto"/>
        <w:spacing w:after="60" w:line="221" w:lineRule="auto"/>
        <w:ind w:firstLine="580"/>
        <w:rPr>
          <w:sz w:val="24"/>
          <w:szCs w:val="24"/>
        </w:rPr>
      </w:pPr>
      <w:r>
        <w:rPr>
          <w:b/>
          <w:bCs/>
          <w:sz w:val="24"/>
          <w:szCs w:val="24"/>
        </w:rPr>
        <w:t>LIMITY PLNĚNÍ A ZPŮSOBY ZABEZPEČENÍ</w:t>
      </w:r>
    </w:p>
    <w:p w:rsidR="00943310" w:rsidRDefault="00981C50">
      <w:pPr>
        <w:pStyle w:val="Zkladntext1"/>
        <w:shd w:val="clear" w:color="auto" w:fill="auto"/>
        <w:spacing w:after="60"/>
        <w:ind w:left="580"/>
        <w:jc w:val="both"/>
        <w:rPr>
          <w:sz w:val="22"/>
          <w:szCs w:val="22"/>
        </w:rPr>
      </w:pPr>
      <w:r>
        <w:rPr>
          <w:sz w:val="22"/>
          <w:szCs w:val="22"/>
        </w:rPr>
        <w:t>Při posuzování nároku na pojistné plnění je rozhodující, zda pachatelem překonané konstrukční prvky zabezpečení pojištěných věcí splňovalo dále uvedená ujednání.</w:t>
      </w:r>
    </w:p>
    <w:p w:rsidR="00943310" w:rsidRDefault="00981C50">
      <w:pPr>
        <w:pStyle w:val="Zkladntext1"/>
        <w:shd w:val="clear" w:color="auto" w:fill="auto"/>
        <w:spacing w:after="60"/>
        <w:ind w:left="580"/>
        <w:jc w:val="both"/>
        <w:rPr>
          <w:sz w:val="22"/>
          <w:szCs w:val="22"/>
        </w:rPr>
      </w:pPr>
      <w:r>
        <w:rPr>
          <w:sz w:val="22"/>
          <w:szCs w:val="22"/>
        </w:rPr>
        <w:t>Ujednává se, že pojišťovna</w:t>
      </w:r>
      <w:r>
        <w:rPr>
          <w:sz w:val="22"/>
          <w:szCs w:val="22"/>
        </w:rPr>
        <w:t xml:space="preserve"> poskytne plnění do limitů plnění, které odpovídají způsobu a kvalitě zabezpečení předmětu pojištění vdobě pojistné události. Pokud není pro některý předmět pojištění stanoven u způsobu zabezpečení limit plnění, za limit plnění se pro tento způsob zabezpeč</w:t>
      </w:r>
      <w:r>
        <w:rPr>
          <w:sz w:val="22"/>
          <w:szCs w:val="22"/>
        </w:rPr>
        <w:t>ení považuje limit plnění 1. rizika uvedený vbodu 3.1. této smlouvy. Předmět pojištění musí být současně zabezpečen všemi zabezpečovacími prvky, které jsou u příslušného limitu plnění uvedeny.</w:t>
      </w:r>
    </w:p>
    <w:p w:rsidR="00943310" w:rsidRDefault="00981C50">
      <w:pPr>
        <w:pStyle w:val="Zkladntext1"/>
        <w:shd w:val="clear" w:color="auto" w:fill="auto"/>
        <w:spacing w:after="280"/>
        <w:ind w:left="580"/>
        <w:jc w:val="both"/>
        <w:rPr>
          <w:sz w:val="22"/>
          <w:szCs w:val="22"/>
        </w:rPr>
      </w:pPr>
      <w:r>
        <w:rPr>
          <w:sz w:val="22"/>
          <w:szCs w:val="22"/>
        </w:rPr>
        <w:t>Pojistná událost musí být vždy šetřena Policií a v případě odci</w:t>
      </w:r>
      <w:r>
        <w:rPr>
          <w:sz w:val="22"/>
          <w:szCs w:val="22"/>
        </w:rPr>
        <w:t>zení krádeží vloupáním musí být, s výjimkou odcizení vnějších stavebních součástí a venkovních úprav, šetřením Policie jednoznačně zjištěn způsob vloupání do místa pojištění.</w:t>
      </w:r>
    </w:p>
    <w:p w:rsidR="00943310" w:rsidRDefault="00981C50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Odcizení krádeží vloupáním nebo loupeží (čl. 21 bod 11 a 12 VPPMO-P)</w:t>
      </w:r>
    </w:p>
    <w:p w:rsidR="00943310" w:rsidRDefault="00981C50">
      <w:pPr>
        <w:pStyle w:val="Zkladntext1"/>
        <w:shd w:val="clear" w:color="auto" w:fill="auto"/>
      </w:pPr>
      <w:r>
        <w:t xml:space="preserve">1.1. </w:t>
      </w:r>
      <w:r>
        <w:rPr>
          <w:b/>
          <w:bCs/>
        </w:rPr>
        <w:t>Všechny</w:t>
      </w:r>
      <w:r>
        <w:rPr>
          <w:b/>
          <w:bCs/>
        </w:rPr>
        <w:t xml:space="preserve"> předměty pojištění vyjma peněz a cenin </w:t>
      </w:r>
      <w:r>
        <w:t>(pol. 1 až 4, 6 až8 bodu 3.1. smlouvy)</w:t>
      </w:r>
    </w:p>
    <w:p w:rsidR="00943310" w:rsidRDefault="00981C50">
      <w:pPr>
        <w:pStyle w:val="Titulekobrzku0"/>
        <w:shd w:val="clear" w:color="auto" w:fill="auto"/>
        <w:tabs>
          <w:tab w:val="left" w:pos="4416"/>
        </w:tabs>
        <w:ind w:left="173"/>
        <w:rPr>
          <w:sz w:val="22"/>
          <w:szCs w:val="22"/>
        </w:rPr>
      </w:pPr>
      <w:r>
        <w:rPr>
          <w:b/>
          <w:bCs/>
          <w:sz w:val="22"/>
          <w:szCs w:val="22"/>
        </w:rPr>
        <w:t>Limit plnění</w:t>
      </w:r>
      <w:r>
        <w:rPr>
          <w:b/>
          <w:bCs/>
          <w:sz w:val="22"/>
          <w:szCs w:val="22"/>
        </w:rPr>
        <w:tab/>
        <w:t>Popis prvku zabezpečení</w:t>
      </w:r>
    </w:p>
    <w:p w:rsidR="00943310" w:rsidRDefault="00981C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36335" cy="17310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3633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10" w:rsidRDefault="00981C50">
      <w:pPr>
        <w:pStyle w:val="Titulekobrzku0"/>
        <w:shd w:val="clear" w:color="auto" w:fill="auto"/>
      </w:pPr>
      <w:r>
        <w:t xml:space="preserve">1.2. </w:t>
      </w:r>
      <w:r>
        <w:rPr>
          <w:b/>
          <w:bCs/>
        </w:rPr>
        <w:t xml:space="preserve">Vlastní a cizí peníze a ceniny </w:t>
      </w:r>
      <w:r>
        <w:t>(pol. 5 bodu 3.1. smlouvy)</w:t>
      </w:r>
    </w:p>
    <w:p w:rsidR="00943310" w:rsidRDefault="00943310">
      <w:pPr>
        <w:spacing w:after="199" w:line="1" w:lineRule="exact"/>
      </w:pPr>
    </w:p>
    <w:p w:rsidR="00943310" w:rsidRDefault="00981C50">
      <w:pPr>
        <w:pStyle w:val="Titulekobrzku0"/>
        <w:shd w:val="clear" w:color="auto" w:fill="auto"/>
        <w:tabs>
          <w:tab w:val="left" w:pos="4416"/>
        </w:tabs>
        <w:ind w:left="173"/>
        <w:rPr>
          <w:sz w:val="22"/>
          <w:szCs w:val="22"/>
        </w:rPr>
      </w:pPr>
      <w:r>
        <w:rPr>
          <w:b/>
          <w:bCs/>
          <w:sz w:val="22"/>
          <w:szCs w:val="22"/>
        </w:rPr>
        <w:t>Limit plnění</w:t>
      </w:r>
      <w:r>
        <w:rPr>
          <w:b/>
          <w:bCs/>
          <w:sz w:val="22"/>
          <w:szCs w:val="22"/>
        </w:rPr>
        <w:tab/>
        <w:t>Popis prvku zabezpečení</w:t>
      </w:r>
    </w:p>
    <w:p w:rsidR="00943310" w:rsidRDefault="00981C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36335" cy="8045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3633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10" w:rsidRDefault="00981C50">
      <w:pPr>
        <w:pStyle w:val="Titulekobrzku0"/>
        <w:shd w:val="clear" w:color="auto" w:fill="auto"/>
      </w:pPr>
      <w:r>
        <w:t>Klíče od trezoru nesmí být umístěny</w:t>
      </w:r>
      <w:r>
        <w:t xml:space="preserve"> v tomtéž uzamčeném prostoru, ve kterém se nachází trezor.</w:t>
      </w:r>
    </w:p>
    <w:p w:rsidR="00943310" w:rsidRDefault="00981C50">
      <w:pPr>
        <w:pStyle w:val="Titulekobrzku0"/>
        <w:shd w:val="clear" w:color="auto" w:fill="auto"/>
      </w:pPr>
      <w:r>
        <w:t xml:space="preserve">1.3. </w:t>
      </w:r>
      <w:r>
        <w:rPr>
          <w:b/>
          <w:bCs/>
        </w:rPr>
        <w:t xml:space="preserve">Vlastní a cizí movité věci, zásoby, venkovní úpravy a technické vybavení na venkovním prostranství </w:t>
      </w:r>
      <w:r>
        <w:t>(pol. 1, 3, 4 bodu 3.1. smlouvy)</w:t>
      </w:r>
    </w:p>
    <w:p w:rsidR="00943310" w:rsidRDefault="00943310">
      <w:pPr>
        <w:spacing w:after="199" w:line="1" w:lineRule="exact"/>
      </w:pPr>
    </w:p>
    <w:p w:rsidR="00943310" w:rsidRDefault="00981C50">
      <w:pPr>
        <w:pStyle w:val="Titulekobrzku0"/>
        <w:shd w:val="clear" w:color="auto" w:fill="auto"/>
        <w:tabs>
          <w:tab w:val="left" w:pos="4416"/>
        </w:tabs>
        <w:ind w:left="173"/>
        <w:rPr>
          <w:sz w:val="22"/>
          <w:szCs w:val="22"/>
        </w:rPr>
      </w:pPr>
      <w:r>
        <w:rPr>
          <w:b/>
          <w:bCs/>
          <w:sz w:val="22"/>
          <w:szCs w:val="22"/>
        </w:rPr>
        <w:t>Limit plnění</w:t>
      </w:r>
      <w:r>
        <w:rPr>
          <w:b/>
          <w:bCs/>
          <w:sz w:val="22"/>
          <w:szCs w:val="22"/>
        </w:rPr>
        <w:tab/>
        <w:t>Popis prvku zabezpečení</w:t>
      </w:r>
    </w:p>
    <w:p w:rsidR="00943310" w:rsidRDefault="00981C50">
      <w:pPr>
        <w:jc w:val="center"/>
        <w:rPr>
          <w:sz w:val="2"/>
          <w:szCs w:val="2"/>
        </w:rPr>
        <w:sectPr w:rsidR="00943310">
          <w:pgSz w:w="11900" w:h="16840"/>
          <w:pgMar w:top="582" w:right="670" w:bottom="1350" w:left="137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242050" cy="104267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24205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10" w:rsidRDefault="00981C50">
      <w:pPr>
        <w:pStyle w:val="Zkladntext1"/>
        <w:shd w:val="clear" w:color="auto" w:fill="auto"/>
        <w:spacing w:after="100"/>
      </w:pPr>
      <w:r>
        <w:rPr>
          <w:b/>
          <w:bCs/>
        </w:rPr>
        <w:lastRenderedPageBreak/>
        <w:t xml:space="preserve">Pojistná smlouva č. 1690351713 </w:t>
      </w:r>
      <w:r>
        <w:t xml:space="preserve">1.4. </w:t>
      </w:r>
      <w:r>
        <w:rPr>
          <w:b/>
          <w:bCs/>
        </w:rPr>
        <w:t xml:space="preserve">Vlastní a cizí peníze a ceniny na venkovním prostranství </w:t>
      </w:r>
      <w:r>
        <w:t>(pol. 5 bodu 3.1. smlouvy)</w:t>
      </w:r>
    </w:p>
    <w:p w:rsidR="00943310" w:rsidRDefault="00981C50">
      <w:pPr>
        <w:pStyle w:val="Zkladntext1"/>
        <w:shd w:val="clear" w:color="auto" w:fill="auto"/>
        <w:ind w:left="580"/>
        <w:jc w:val="both"/>
      </w:pPr>
      <w:r>
        <w:t xml:space="preserve">Došlo-li k odcizení peněz a cenin z řádně uzavřené a uzamčené schránky nebo pokladny, pojištěný doloží stav (hodnotu) peněz a cenin, </w:t>
      </w:r>
      <w:r>
        <w:t>která se prokazatelně nacházela v předmětné schránce nebo pokladně za předchozí 4 týdny. V případě vzniku pojistné události pojišťovna poskytne pojistné plnění částkou, odpovídající průměrné hodnotě peněz a cenin v dané schránce nebo pokladně z těchto nahl</w:t>
      </w:r>
      <w:r>
        <w:t>ášených hodnot za předchozí 4 týdny po odečtení sjednané spoluúčasti.</w:t>
      </w:r>
    </w:p>
    <w:p w:rsidR="00943310" w:rsidRDefault="00981C50">
      <w:pPr>
        <w:pStyle w:val="Titulekobrzku0"/>
        <w:shd w:val="clear" w:color="auto" w:fill="auto"/>
        <w:tabs>
          <w:tab w:val="left" w:pos="4416"/>
        </w:tabs>
        <w:ind w:left="173"/>
        <w:rPr>
          <w:sz w:val="22"/>
          <w:szCs w:val="22"/>
        </w:rPr>
      </w:pPr>
      <w:r>
        <w:rPr>
          <w:b/>
          <w:bCs/>
          <w:sz w:val="22"/>
          <w:szCs w:val="22"/>
        </w:rPr>
        <w:t>Limit plnění</w:t>
      </w:r>
      <w:r>
        <w:rPr>
          <w:b/>
          <w:bCs/>
          <w:sz w:val="22"/>
          <w:szCs w:val="22"/>
        </w:rPr>
        <w:tab/>
        <w:t>Popis prvku zabezpečení</w:t>
      </w:r>
    </w:p>
    <w:p w:rsidR="00943310" w:rsidRDefault="00981C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36335" cy="48133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23633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10" w:rsidRDefault="00943310">
      <w:pPr>
        <w:spacing w:after="839" w:line="1" w:lineRule="exact"/>
      </w:pPr>
    </w:p>
    <w:p w:rsidR="00943310" w:rsidRDefault="00981C50">
      <w:pPr>
        <w:pStyle w:val="Zkladntext1"/>
        <w:numPr>
          <w:ilvl w:val="0"/>
          <w:numId w:val="1"/>
        </w:numPr>
        <w:shd w:val="clear" w:color="auto" w:fill="auto"/>
        <w:tabs>
          <w:tab w:val="left" w:pos="52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Odcizení loupeží (čl. 21 bod 8 VPPMO-P)</w:t>
      </w:r>
    </w:p>
    <w:p w:rsidR="00943310" w:rsidRDefault="00981C50">
      <w:pPr>
        <w:pStyle w:val="Zkladntext1"/>
        <w:shd w:val="clear" w:color="auto" w:fill="auto"/>
        <w:tabs>
          <w:tab w:val="left" w:pos="528"/>
        </w:tabs>
      </w:pPr>
      <w:r>
        <w:t>2.1.</w:t>
      </w:r>
      <w:r>
        <w:tab/>
      </w:r>
      <w:r>
        <w:rPr>
          <w:b/>
          <w:bCs/>
        </w:rPr>
        <w:t xml:space="preserve">Soubor peněz a cenin a uměleckých předmětů při přepravě </w:t>
      </w:r>
      <w:r>
        <w:t>(pol. 9 bodu 3.1. smlouvy)</w:t>
      </w:r>
    </w:p>
    <w:p w:rsidR="00943310" w:rsidRDefault="00981C50">
      <w:pPr>
        <w:pStyle w:val="Titulekobrzku0"/>
        <w:shd w:val="clear" w:color="auto" w:fill="auto"/>
        <w:tabs>
          <w:tab w:val="left" w:pos="4416"/>
        </w:tabs>
        <w:ind w:left="173"/>
        <w:rPr>
          <w:sz w:val="22"/>
          <w:szCs w:val="22"/>
        </w:rPr>
      </w:pPr>
      <w:r>
        <w:rPr>
          <w:b/>
          <w:bCs/>
          <w:sz w:val="22"/>
          <w:szCs w:val="22"/>
        </w:rPr>
        <w:t>Limit plnění</w:t>
      </w:r>
      <w:r>
        <w:rPr>
          <w:b/>
          <w:bCs/>
          <w:sz w:val="22"/>
          <w:szCs w:val="22"/>
        </w:rPr>
        <w:tab/>
        <w:t>Popis</w:t>
      </w:r>
      <w:r>
        <w:rPr>
          <w:b/>
          <w:bCs/>
          <w:sz w:val="22"/>
          <w:szCs w:val="22"/>
        </w:rPr>
        <w:t xml:space="preserve"> prvku zabezpečení</w:t>
      </w:r>
    </w:p>
    <w:p w:rsidR="00943310" w:rsidRDefault="00981C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97295" cy="75565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29729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10" w:rsidRDefault="00981C50">
      <w:pPr>
        <w:pStyle w:val="Titulekobrzku0"/>
        <w:shd w:val="clear" w:color="auto" w:fill="auto"/>
      </w:pPr>
      <w:r>
        <w:t>Při přepravě motorovým vozidlem se řidič považuje za osobu provádějící přepravu nebo přepravu doprovázející.</w:t>
      </w:r>
    </w:p>
    <w:p w:rsidR="00943310" w:rsidRDefault="00981C50">
      <w:pPr>
        <w:pStyle w:val="Zkladntext1"/>
        <w:shd w:val="clear" w:color="auto" w:fill="auto"/>
        <w:spacing w:after="0"/>
      </w:pPr>
      <w:r>
        <w:t>Vedle povinností uvedených ve VPPMO-P je povinen pojistník, pojištěný, nebo oprávněná osoba zajistit, aby:</w:t>
      </w:r>
    </w:p>
    <w:p w:rsidR="00943310" w:rsidRDefault="00981C50">
      <w:pPr>
        <w:pStyle w:val="Zkladntext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</w:pPr>
      <w:r>
        <w:t xml:space="preserve">osoby provádějící </w:t>
      </w:r>
      <w:r>
        <w:t>přepravu a ozbrojené osoby doprovázející přepravu (dále jen „osoby doprovázející“) nebyly mladší 18 let a starší 65 let, byly spolehlivé, bezúhonné, vhodné (tj. fyzicky zdatné a psychicky odolné) a pro uvedené účely speciálně vycvičené a vyškolené;</w:t>
      </w:r>
    </w:p>
    <w:p w:rsidR="00943310" w:rsidRDefault="00981C50">
      <w:pPr>
        <w:pStyle w:val="Zkladntext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</w:pPr>
      <w:r>
        <w:t>přeprava nebyla přerušována z jiných důvodů než z důvodů vyplývajících z pravidel silničního provozu;</w:t>
      </w:r>
    </w:p>
    <w:p w:rsidR="00943310" w:rsidRDefault="00981C50">
      <w:pPr>
        <w:pStyle w:val="Zkladntext1"/>
        <w:numPr>
          <w:ilvl w:val="0"/>
          <w:numId w:val="2"/>
        </w:numPr>
        <w:shd w:val="clear" w:color="auto" w:fill="auto"/>
        <w:tabs>
          <w:tab w:val="left" w:pos="301"/>
        </w:tabs>
      </w:pPr>
      <w:r>
        <w:t>druh přepravovaných peněz nebo cenin, jejich množství a doba, kdy bude přeprava prováděna, byly utajeny před nepovolanými osobami.</w:t>
      </w:r>
    </w:p>
    <w:sectPr w:rsidR="00943310">
      <w:pgSz w:w="11900" w:h="16840"/>
      <w:pgMar w:top="582" w:right="578" w:bottom="1350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50" w:rsidRDefault="00981C50">
      <w:r>
        <w:separator/>
      </w:r>
    </w:p>
  </w:endnote>
  <w:endnote w:type="continuationSeparator" w:id="0">
    <w:p w:rsidR="00981C50" w:rsidRDefault="0098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50" w:rsidRDefault="00981C50"/>
  </w:footnote>
  <w:footnote w:type="continuationSeparator" w:id="0">
    <w:p w:rsidR="00981C50" w:rsidRDefault="00981C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F37"/>
    <w:multiLevelType w:val="multilevel"/>
    <w:tmpl w:val="18723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E415A6"/>
    <w:multiLevelType w:val="multilevel"/>
    <w:tmpl w:val="5E545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3310"/>
    <w:rsid w:val="00943310"/>
    <w:rsid w:val="00981C50"/>
    <w:rsid w:val="00F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D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D4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D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D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2_Limity plnění a způsob zabezp._PS 2020_aktual.27.2.20_.doc</dc:title>
  <dc:creator>Spokova</dc:creator>
  <cp:lastModifiedBy>Spokova</cp:lastModifiedBy>
  <cp:revision>2</cp:revision>
  <dcterms:created xsi:type="dcterms:W3CDTF">2020-04-01T07:26:00Z</dcterms:created>
  <dcterms:modified xsi:type="dcterms:W3CDTF">2020-04-01T07:26:00Z</dcterms:modified>
</cp:coreProperties>
</file>