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4" w:lineRule="exact"/>
        <w:ind w:left="107"/>
        <w:rPr>
          <w:sz w:val="3"/>
        </w:rPr>
      </w:pPr>
      <w:r>
        <w:rPr>
          <w:position w:val="0"/>
          <w:sz w:val="3"/>
        </w:rPr>
        <w:pict>
          <v:group style="width:74.5pt;height:1.7pt;mso-position-horizontal-relative:char;mso-position-vertical-relative:line" coordorigin="0,0" coordsize="1490,34">
            <v:line style="position:absolute" from="17,17" to="1472,17" stroked="true" strokeweight="1.67000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85"/>
        <w:ind w:left="0" w:right="102" w:firstLine="0"/>
        <w:jc w:val="right"/>
        <w:rPr>
          <w:rFonts w:ascii="Arial"/>
          <w:b/>
          <w:sz w:val="48"/>
        </w:rPr>
      </w:pPr>
      <w:r>
        <w:rPr>
          <w:rFonts w:ascii="Arial"/>
          <w:b/>
          <w:color w:val="5D5D5D"/>
          <w:w w:val="130"/>
          <w:sz w:val="48"/>
        </w:rPr>
        <w:t>ORACLE</w:t>
      </w:r>
    </w:p>
    <w:p>
      <w:pPr>
        <w:spacing w:before="367"/>
        <w:ind w:left="8273" w:right="0" w:firstLine="0"/>
        <w:jc w:val="left"/>
        <w:rPr>
          <w:b/>
          <w:sz w:val="21"/>
        </w:rPr>
      </w:pPr>
      <w:r>
        <w:rPr>
          <w:b/>
          <w:color w:val="4F4F4F"/>
          <w:w w:val="105"/>
          <w:sz w:val="21"/>
        </w:rPr>
        <w:t>Příloha </w:t>
      </w:r>
      <w:r>
        <w:rPr>
          <w:b/>
          <w:color w:val="4F4F4F"/>
          <w:w w:val="105"/>
          <w:sz w:val="22"/>
        </w:rPr>
        <w:t>č. </w:t>
      </w:r>
      <w:r>
        <w:rPr>
          <w:b/>
          <w:color w:val="4F4F4F"/>
          <w:w w:val="105"/>
          <w:sz w:val="21"/>
        </w:rPr>
        <w:t>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56" w:lineRule="auto"/>
        <w:ind w:left="928" w:right="1542" w:hanging="7"/>
      </w:pPr>
      <w:r>
        <w:rPr>
          <w:b/>
          <w:color w:val="4F4F4F"/>
        </w:rPr>
        <w:t>Oracle Czech, </w:t>
      </w:r>
      <w:r>
        <w:rPr>
          <w:b/>
          <w:color w:val="5D5D5D"/>
        </w:rPr>
        <w:t>s.r.o., </w:t>
      </w:r>
      <w:r>
        <w:rPr>
          <w:color w:val="5D5D5D"/>
        </w:rPr>
        <w:t>U Trezorky 921/2, </w:t>
      </w:r>
      <w:r>
        <w:rPr>
          <w:color w:val="4F4F4F"/>
        </w:rPr>
        <w:t>158 00 </w:t>
      </w:r>
      <w:r>
        <w:rPr>
          <w:color w:val="5D5D5D"/>
        </w:rPr>
        <w:t>Praha5-J inonice </w:t>
      </w:r>
      <w:r>
        <w:rPr>
          <w:color w:val="828282"/>
        </w:rPr>
        <w:t>, </w:t>
      </w:r>
      <w:r>
        <w:rPr>
          <w:color w:val="5D5D5D"/>
        </w:rPr>
        <w:t>zapsána v obchodním </w:t>
      </w:r>
      <w:r>
        <w:rPr>
          <w:color w:val="4F4F4F"/>
        </w:rPr>
        <w:t>rejstříku  </w:t>
      </w:r>
      <w:r>
        <w:rPr>
          <w:color w:val="5D5D5D"/>
        </w:rPr>
        <w:t>vedeném  </w:t>
      </w:r>
      <w:r>
        <w:rPr>
          <w:color w:val="4F4F4F"/>
        </w:rPr>
        <w:t>Městským  </w:t>
      </w:r>
      <w:r>
        <w:rPr>
          <w:color w:val="5D5D5D"/>
        </w:rPr>
        <w:t>soudem  v </w:t>
      </w:r>
      <w:r>
        <w:rPr>
          <w:color w:val="4F4F4F"/>
        </w:rPr>
        <w:t>Praze, </w:t>
      </w:r>
      <w:r>
        <w:rPr>
          <w:color w:val="5D5D5D"/>
        </w:rPr>
        <w:t>oddíl C, </w:t>
      </w:r>
      <w:r>
        <w:rPr>
          <w:color w:val="4F4F4F"/>
        </w:rPr>
        <w:t>vložka   </w:t>
      </w:r>
      <w:r>
        <w:rPr>
          <w:color w:val="5D5D5D"/>
        </w:rPr>
        <w:t>30435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256" w:lineRule="auto"/>
        <w:ind w:left="3825" w:right="3973"/>
        <w:jc w:val="center"/>
      </w:pPr>
      <w:r>
        <w:rPr>
          <w:color w:val="4F4F4F"/>
          <w:w w:val="105"/>
        </w:rPr>
        <w:t>Objednávka technické</w:t>
      </w:r>
      <w:r>
        <w:rPr>
          <w:color w:val="4F4F4F"/>
          <w:w w:val="104"/>
        </w:rPr>
        <w:t> </w:t>
      </w:r>
      <w:r>
        <w:rPr>
          <w:color w:val="4F4F4F"/>
          <w:w w:val="105"/>
        </w:rPr>
        <w:t>podpory</w:t>
      </w:r>
    </w:p>
    <w:p>
      <w:pPr>
        <w:spacing w:before="243"/>
        <w:ind w:left="1126" w:right="0" w:firstLine="0"/>
        <w:jc w:val="left"/>
        <w:rPr>
          <w:b/>
          <w:sz w:val="21"/>
        </w:rPr>
      </w:pPr>
      <w:r>
        <w:rPr>
          <w:b/>
          <w:color w:val="4F4F4F"/>
          <w:w w:val="105"/>
          <w:sz w:val="21"/>
        </w:rPr>
        <w:t>Kontrakt </w:t>
      </w:r>
      <w:r>
        <w:rPr>
          <w:b/>
          <w:color w:val="4F4F4F"/>
          <w:w w:val="105"/>
          <w:sz w:val="22"/>
        </w:rPr>
        <w:t>č.: </w:t>
      </w:r>
      <w:r>
        <w:rPr>
          <w:b/>
          <w:color w:val="4F4F4F"/>
          <w:w w:val="105"/>
          <w:sz w:val="21"/>
        </w:rPr>
        <w:t>2266688</w:t>
      </w:r>
    </w:p>
    <w:p>
      <w:pPr>
        <w:pStyle w:val="BodyText"/>
        <w:rPr>
          <w:b/>
          <w:sz w:val="32"/>
        </w:rPr>
      </w:pPr>
    </w:p>
    <w:p>
      <w:pPr>
        <w:spacing w:before="0"/>
        <w:ind w:left="1124" w:right="0" w:firstLine="0"/>
        <w:jc w:val="left"/>
        <w:rPr>
          <w:b/>
          <w:sz w:val="21"/>
        </w:rPr>
      </w:pPr>
      <w:r>
        <w:rPr>
          <w:b/>
          <w:color w:val="4F4F4F"/>
          <w:w w:val="105"/>
          <w:sz w:val="21"/>
        </w:rPr>
        <w:t>Support: od 1. 1. 2020 do 31. 12. 2020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125" w:right="0" w:firstLine="0"/>
        <w:jc w:val="left"/>
        <w:rPr>
          <w:b/>
          <w:sz w:val="28"/>
        </w:rPr>
      </w:pPr>
      <w:r>
        <w:rPr>
          <w:b/>
          <w:color w:val="4F4F4F"/>
          <w:w w:val="105"/>
          <w:sz w:val="28"/>
        </w:rPr>
        <w:t>Institut plánování a rozvoje hlavního města Prahy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926"/>
        <w:gridCol w:w="997"/>
        <w:gridCol w:w="1921"/>
        <w:gridCol w:w="1247"/>
        <w:gridCol w:w="1752"/>
      </w:tblGrid>
      <w:tr>
        <w:trPr>
          <w:trHeight w:val="771" w:hRule="exact"/>
        </w:trPr>
        <w:tc>
          <w:tcPr>
            <w:tcW w:w="252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84" w:right="878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Produkt</w:t>
            </w:r>
          </w:p>
        </w:tc>
        <w:tc>
          <w:tcPr>
            <w:tcW w:w="92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  <w:r>
              <w:rPr>
                <w:b/>
                <w:color w:val="4F4F4F"/>
                <w:w w:val="105"/>
                <w:sz w:val="20"/>
              </w:rPr>
              <w:t>Typ</w:t>
            </w:r>
          </w:p>
        </w:tc>
        <w:tc>
          <w:tcPr>
            <w:tcW w:w="997" w:type="dxa"/>
          </w:tcPr>
          <w:p>
            <w:pPr>
              <w:pStyle w:val="TableParagraph"/>
              <w:spacing w:line="244" w:lineRule="auto" w:before="155"/>
              <w:ind w:left="208" w:right="182" w:firstLine="106"/>
              <w:rPr>
                <w:b/>
                <w:sz w:val="20"/>
              </w:rPr>
            </w:pPr>
            <w:r>
              <w:rPr>
                <w:b/>
                <w:color w:val="5D5D5D"/>
                <w:sz w:val="20"/>
              </w:rPr>
              <w:t>Typ </w:t>
            </w:r>
            <w:r>
              <w:rPr>
                <w:b/>
                <w:color w:val="4F4F4F"/>
                <w:sz w:val="20"/>
              </w:rPr>
              <w:t>licence</w:t>
            </w:r>
          </w:p>
        </w:tc>
        <w:tc>
          <w:tcPr>
            <w:tcW w:w="1921" w:type="dxa"/>
          </w:tcPr>
          <w:p>
            <w:pPr>
              <w:pStyle w:val="TableParagraph"/>
              <w:spacing w:line="244" w:lineRule="auto" w:before="150"/>
              <w:ind w:left="101" w:firstLine="626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Počet uživatelů/procesorů</w:t>
            </w:r>
          </w:p>
        </w:tc>
        <w:tc>
          <w:tcPr>
            <w:tcW w:w="124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0" w:right="193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CSI</w:t>
            </w:r>
          </w:p>
        </w:tc>
        <w:tc>
          <w:tcPr>
            <w:tcW w:w="1752" w:type="dxa"/>
          </w:tcPr>
          <w:p>
            <w:pPr>
              <w:pStyle w:val="TableParagraph"/>
              <w:spacing w:line="244" w:lineRule="auto" w:before="31"/>
              <w:ind w:left="126" w:right="141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Software Update </w:t>
            </w:r>
            <w:r>
              <w:rPr>
                <w:b/>
                <w:color w:val="5D5D5D"/>
                <w:sz w:val="20"/>
              </w:rPr>
              <w:t>License </w:t>
            </w:r>
            <w:r>
              <w:rPr>
                <w:color w:val="4F4F4F"/>
                <w:sz w:val="20"/>
              </w:rPr>
              <w:t>&amp; </w:t>
            </w:r>
            <w:r>
              <w:rPr>
                <w:b/>
                <w:color w:val="5D5D5D"/>
                <w:sz w:val="20"/>
              </w:rPr>
              <w:t>Support</w:t>
            </w:r>
          </w:p>
        </w:tc>
      </w:tr>
      <w:tr>
        <w:trPr>
          <w:trHeight w:val="531" w:hRule="exact"/>
        </w:trPr>
        <w:tc>
          <w:tcPr>
            <w:tcW w:w="2524" w:type="dxa"/>
          </w:tcPr>
          <w:p>
            <w:pPr>
              <w:pStyle w:val="TableParagraph"/>
              <w:spacing w:line="264" w:lineRule="auto" w:before="16"/>
              <w:ind w:left="776" w:hanging="581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Oracle Database </w:t>
            </w:r>
            <w:r>
              <w:rPr>
                <w:color w:val="5D5D5D"/>
                <w:w w:val="105"/>
                <w:sz w:val="19"/>
              </w:rPr>
              <w:t>Standard Edition </w:t>
            </w:r>
            <w:r>
              <w:rPr>
                <w:color w:val="4F4F4F"/>
                <w:w w:val="105"/>
                <w:sz w:val="19"/>
              </w:rPr>
              <w:t>One</w:t>
            </w:r>
          </w:p>
        </w:tc>
        <w:tc>
          <w:tcPr>
            <w:tcW w:w="926" w:type="dxa"/>
          </w:tcPr>
          <w:p>
            <w:pPr>
              <w:pStyle w:val="TableParagraph"/>
              <w:spacing w:line="264" w:lineRule="auto" w:before="16"/>
              <w:ind w:left="80" w:hanging="5"/>
              <w:rPr>
                <w:sz w:val="19"/>
              </w:rPr>
            </w:pPr>
            <w:r>
              <w:rPr>
                <w:color w:val="4F4F4F"/>
                <w:sz w:val="19"/>
              </w:rPr>
              <w:t>Processor Perpetua!</w:t>
            </w:r>
          </w:p>
        </w:tc>
        <w:tc>
          <w:tcPr>
            <w:tcW w:w="997" w:type="dxa"/>
          </w:tcPr>
          <w:p>
            <w:pPr>
              <w:pStyle w:val="TableParagraph"/>
              <w:spacing w:before="16"/>
              <w:ind w:left="148" w:right="143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16"/>
              <w:ind w:right="907"/>
              <w:jc w:val="right"/>
              <w:rPr>
                <w:sz w:val="19"/>
              </w:rPr>
            </w:pPr>
            <w:r>
              <w:rPr>
                <w:color w:val="5D5D5D"/>
                <w:w w:val="102"/>
                <w:sz w:val="19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6"/>
              <w:ind w:left="168" w:right="193"/>
              <w:jc w:val="center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20384451</w:t>
            </w:r>
          </w:p>
        </w:tc>
        <w:tc>
          <w:tcPr>
            <w:tcW w:w="1752" w:type="dxa"/>
          </w:tcPr>
          <w:p>
            <w:pPr>
              <w:pStyle w:val="TableParagraph"/>
              <w:spacing w:before="11"/>
              <w:ind w:left="458"/>
              <w:rPr>
                <w:sz w:val="19"/>
              </w:rPr>
            </w:pPr>
            <w:r>
              <w:rPr>
                <w:color w:val="5D5D5D"/>
                <w:w w:val="110"/>
                <w:sz w:val="19"/>
              </w:rPr>
              <w:t>48.052,58</w:t>
            </w:r>
          </w:p>
        </w:tc>
      </w:tr>
      <w:tr>
        <w:trPr>
          <w:trHeight w:val="529" w:hRule="exact"/>
        </w:trPr>
        <w:tc>
          <w:tcPr>
            <w:tcW w:w="2524" w:type="dxa"/>
          </w:tcPr>
          <w:p>
            <w:pPr>
              <w:pStyle w:val="TableParagraph"/>
              <w:spacing w:line="256" w:lineRule="auto" w:before="16"/>
              <w:ind w:left="74" w:firstLine="63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Oracle Database Enterprise Edition </w:t>
            </w:r>
            <w:r>
              <w:rPr>
                <w:color w:val="4F4F4F"/>
                <w:w w:val="105"/>
                <w:sz w:val="19"/>
              </w:rPr>
              <w:t>- </w:t>
            </w:r>
            <w:r>
              <w:rPr>
                <w:color w:val="5D5D5D"/>
                <w:w w:val="105"/>
                <w:sz w:val="19"/>
              </w:rPr>
              <w:t>Processor </w:t>
            </w:r>
            <w:r>
              <w:rPr>
                <w:color w:val="4F4F4F"/>
                <w:w w:val="105"/>
                <w:sz w:val="19"/>
              </w:rPr>
              <w:t>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 w:before="16"/>
              <w:ind w:left="80" w:hanging="10"/>
              <w:rPr>
                <w:sz w:val="19"/>
              </w:rPr>
            </w:pPr>
            <w:r>
              <w:rPr>
                <w:color w:val="5D5D5D"/>
                <w:sz w:val="19"/>
              </w:rPr>
              <w:t>Processor Perpetua!</w:t>
            </w:r>
          </w:p>
        </w:tc>
        <w:tc>
          <w:tcPr>
            <w:tcW w:w="997" w:type="dxa"/>
          </w:tcPr>
          <w:p>
            <w:pPr>
              <w:pStyle w:val="TableParagraph"/>
              <w:spacing w:before="16"/>
              <w:ind w:left="147" w:right="143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16"/>
              <w:ind w:right="902"/>
              <w:jc w:val="right"/>
              <w:rPr>
                <w:sz w:val="19"/>
              </w:rPr>
            </w:pPr>
            <w:r>
              <w:rPr>
                <w:color w:val="5D5D5D"/>
                <w:w w:val="107"/>
                <w:sz w:val="19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"/>
              <w:ind w:left="187" w:right="186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14650835</w:t>
            </w:r>
          </w:p>
        </w:tc>
        <w:tc>
          <w:tcPr>
            <w:tcW w:w="1752" w:type="dxa"/>
          </w:tcPr>
          <w:p>
            <w:pPr>
              <w:pStyle w:val="TableParagraph"/>
              <w:spacing w:before="11"/>
              <w:ind w:left="404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526.786,47</w:t>
            </w:r>
          </w:p>
        </w:tc>
      </w:tr>
      <w:tr>
        <w:trPr>
          <w:trHeight w:val="531" w:hRule="exact"/>
        </w:trPr>
        <w:tc>
          <w:tcPr>
            <w:tcW w:w="2524" w:type="dxa"/>
          </w:tcPr>
          <w:p>
            <w:pPr>
              <w:pStyle w:val="TableParagraph"/>
              <w:spacing w:line="256" w:lineRule="auto" w:before="19"/>
              <w:ind w:left="74" w:firstLine="68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Oracle </w:t>
            </w:r>
            <w:r>
              <w:rPr>
                <w:color w:val="4F4F4F"/>
                <w:w w:val="105"/>
                <w:sz w:val="19"/>
              </w:rPr>
              <w:t>Database </w:t>
            </w:r>
            <w:r>
              <w:rPr>
                <w:color w:val="5D5D5D"/>
                <w:w w:val="105"/>
                <w:sz w:val="19"/>
              </w:rPr>
              <w:t>Enterprise Edition </w:t>
            </w:r>
            <w:r>
              <w:rPr>
                <w:color w:val="4F4F4F"/>
                <w:w w:val="105"/>
                <w:sz w:val="19"/>
              </w:rPr>
              <w:t>- Processor 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 w:before="19"/>
              <w:ind w:left="85" w:hanging="10"/>
              <w:rPr>
                <w:sz w:val="19"/>
              </w:rPr>
            </w:pPr>
            <w:r>
              <w:rPr>
                <w:color w:val="4F4F4F"/>
                <w:sz w:val="19"/>
              </w:rPr>
              <w:t>Processor Perpetua!</w:t>
            </w:r>
          </w:p>
        </w:tc>
        <w:tc>
          <w:tcPr>
            <w:tcW w:w="997" w:type="dxa"/>
          </w:tcPr>
          <w:p>
            <w:pPr>
              <w:pStyle w:val="TableParagraph"/>
              <w:spacing w:before="19"/>
              <w:ind w:left="151" w:right="141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</w:t>
            </w:r>
            <w:r>
              <w:rPr>
                <w:color w:val="4F4F4F"/>
                <w:sz w:val="19"/>
              </w:rPr>
              <w:t>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19"/>
              <w:ind w:right="905"/>
              <w:jc w:val="right"/>
              <w:rPr>
                <w:sz w:val="19"/>
              </w:rPr>
            </w:pPr>
            <w:r>
              <w:rPr>
                <w:color w:val="5D5D5D"/>
                <w:w w:val="102"/>
                <w:sz w:val="19"/>
              </w:rPr>
              <w:t>3</w:t>
            </w:r>
          </w:p>
        </w:tc>
        <w:tc>
          <w:tcPr>
            <w:tcW w:w="1247" w:type="dxa"/>
          </w:tcPr>
          <w:p>
            <w:pPr>
              <w:pStyle w:val="TableParagraph"/>
              <w:ind w:left="187" w:right="192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9"/>
              <w:ind w:left="409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522.572,</w:t>
            </w:r>
            <w:r>
              <w:rPr>
                <w:color w:val="4F4F4F"/>
                <w:w w:val="105"/>
                <w:sz w:val="19"/>
              </w:rPr>
              <w:t>11</w:t>
            </w:r>
          </w:p>
        </w:tc>
      </w:tr>
      <w:tr>
        <w:trPr>
          <w:trHeight w:val="527" w:hRule="exact"/>
        </w:trPr>
        <w:tc>
          <w:tcPr>
            <w:tcW w:w="2524" w:type="dxa"/>
          </w:tcPr>
          <w:p>
            <w:pPr>
              <w:pStyle w:val="TableParagraph"/>
              <w:spacing w:line="256" w:lineRule="auto"/>
              <w:ind w:left="74" w:firstLine="68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Oracle Database </w:t>
            </w:r>
            <w:r>
              <w:rPr>
                <w:color w:val="5D5D5D"/>
                <w:w w:val="105"/>
                <w:sz w:val="19"/>
              </w:rPr>
              <w:t>Enterprise Edition - Processor 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/>
              <w:ind w:left="85" w:hanging="10"/>
              <w:rPr>
                <w:sz w:val="19"/>
              </w:rPr>
            </w:pPr>
            <w:r>
              <w:rPr>
                <w:color w:val="4F4F4F"/>
                <w:sz w:val="19"/>
              </w:rPr>
              <w:t>Processor </w:t>
            </w:r>
            <w:r>
              <w:rPr>
                <w:color w:val="5D5D5D"/>
                <w:sz w:val="19"/>
              </w:rPr>
              <w:t>Perpetua!</w:t>
            </w:r>
          </w:p>
        </w:tc>
        <w:tc>
          <w:tcPr>
            <w:tcW w:w="997" w:type="dxa"/>
          </w:tcPr>
          <w:p>
            <w:pPr>
              <w:pStyle w:val="TableParagraph"/>
              <w:ind w:left="151" w:right="141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4"/>
              <w:ind w:right="928"/>
              <w:jc w:val="right"/>
              <w:rPr>
                <w:sz w:val="20"/>
              </w:rPr>
            </w:pPr>
            <w:r>
              <w:rPr>
                <w:color w:val="5D5D5D"/>
                <w:w w:val="64"/>
                <w:sz w:val="20"/>
              </w:rPr>
              <w:t>I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ind w:left="187" w:right="186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9"/>
              <w:ind w:left="425"/>
              <w:rPr>
                <w:sz w:val="19"/>
              </w:rPr>
            </w:pPr>
            <w:r>
              <w:rPr>
                <w:color w:val="4F4F4F"/>
                <w:sz w:val="19"/>
              </w:rPr>
              <w:t>174</w:t>
            </w:r>
            <w:r>
              <w:rPr>
                <w:color w:val="828282"/>
                <w:sz w:val="19"/>
              </w:rPr>
              <w:t>.</w:t>
            </w:r>
            <w:r>
              <w:rPr>
                <w:color w:val="4F4F4F"/>
                <w:sz w:val="19"/>
              </w:rPr>
              <w:t>190,70</w:t>
            </w:r>
          </w:p>
        </w:tc>
      </w:tr>
      <w:tr>
        <w:trPr>
          <w:trHeight w:val="531" w:hRule="exact"/>
        </w:trPr>
        <w:tc>
          <w:tcPr>
            <w:tcW w:w="2524" w:type="dxa"/>
          </w:tcPr>
          <w:p>
            <w:pPr>
              <w:pStyle w:val="TableParagraph"/>
              <w:spacing w:line="256" w:lineRule="auto" w:before="19"/>
              <w:ind w:left="457" w:hanging="262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Oracle </w:t>
            </w:r>
            <w:r>
              <w:rPr>
                <w:color w:val="4F4F4F"/>
                <w:w w:val="105"/>
                <w:sz w:val="19"/>
              </w:rPr>
              <w:t>Diagnostics Pack </w:t>
            </w:r>
            <w:r>
              <w:rPr>
                <w:color w:val="5D5D5D"/>
                <w:w w:val="105"/>
                <w:sz w:val="19"/>
              </w:rPr>
              <w:t>- Processor </w:t>
            </w:r>
            <w:r>
              <w:rPr>
                <w:color w:val="4F4F4F"/>
                <w:w w:val="105"/>
                <w:sz w:val="19"/>
              </w:rPr>
              <w:t>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/>
              <w:ind w:left="80" w:right="51" w:hanging="5"/>
              <w:rPr>
                <w:sz w:val="19"/>
              </w:rPr>
            </w:pPr>
            <w:r>
              <w:rPr>
                <w:color w:val="4F4F4F"/>
                <w:sz w:val="19"/>
              </w:rPr>
              <w:t>Processor </w:t>
            </w:r>
            <w:r>
              <w:rPr>
                <w:color w:val="4F4F4F"/>
                <w:w w:val="105"/>
                <w:sz w:val="19"/>
              </w:rPr>
              <w:t>Perpetua!</w:t>
            </w:r>
          </w:p>
        </w:tc>
        <w:tc>
          <w:tcPr>
            <w:tcW w:w="997" w:type="dxa"/>
          </w:tcPr>
          <w:p>
            <w:pPr>
              <w:pStyle w:val="TableParagraph"/>
              <w:ind w:left="151" w:right="141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ind w:right="898"/>
              <w:jc w:val="right"/>
              <w:rPr>
                <w:sz w:val="19"/>
              </w:rPr>
            </w:pPr>
            <w:r>
              <w:rPr>
                <w:color w:val="5D5D5D"/>
                <w:w w:val="110"/>
                <w:sz w:val="19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ind w:left="187" w:right="182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9"/>
              <w:ind w:left="466"/>
              <w:rPr>
                <w:sz w:val="19"/>
              </w:rPr>
            </w:pPr>
            <w:r>
              <w:rPr>
                <w:color w:val="4F4F4F"/>
                <w:w w:val="95"/>
                <w:sz w:val="19"/>
              </w:rPr>
              <w:t>53.597 </w:t>
            </w:r>
            <w:r>
              <w:rPr>
                <w:color w:val="6E6E6E"/>
                <w:w w:val="95"/>
                <w:sz w:val="19"/>
              </w:rPr>
              <w:t>,</w:t>
            </w:r>
            <w:r>
              <w:rPr>
                <w:color w:val="4F4F4F"/>
                <w:w w:val="95"/>
                <w:sz w:val="19"/>
              </w:rPr>
              <w:t>13</w:t>
            </w:r>
          </w:p>
        </w:tc>
      </w:tr>
      <w:tr>
        <w:trPr>
          <w:trHeight w:val="531" w:hRule="exact"/>
        </w:trPr>
        <w:tc>
          <w:tcPr>
            <w:tcW w:w="2524" w:type="dxa"/>
          </w:tcPr>
          <w:p>
            <w:pPr>
              <w:pStyle w:val="TableParagraph"/>
              <w:spacing w:line="256" w:lineRule="auto" w:before="19"/>
              <w:ind w:left="462" w:hanging="76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Oracle </w:t>
            </w:r>
            <w:r>
              <w:rPr>
                <w:color w:val="5D5D5D"/>
                <w:w w:val="105"/>
                <w:sz w:val="19"/>
              </w:rPr>
              <w:t>Tuning </w:t>
            </w:r>
            <w:r>
              <w:rPr>
                <w:color w:val="4F4F4F"/>
                <w:w w:val="105"/>
                <w:sz w:val="19"/>
              </w:rPr>
              <w:t>Pack </w:t>
            </w:r>
            <w:r>
              <w:rPr>
                <w:color w:val="5D5D5D"/>
                <w:w w:val="105"/>
                <w:sz w:val="19"/>
              </w:rPr>
              <w:t>- </w:t>
            </w:r>
            <w:r>
              <w:rPr>
                <w:color w:val="4F4F4F"/>
                <w:w w:val="105"/>
                <w:sz w:val="19"/>
              </w:rPr>
              <w:t>Processor 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/>
              <w:ind w:left="85" w:hanging="10"/>
              <w:rPr>
                <w:sz w:val="19"/>
              </w:rPr>
            </w:pPr>
            <w:r>
              <w:rPr>
                <w:color w:val="4F4F4F"/>
                <w:sz w:val="19"/>
              </w:rPr>
              <w:t>Processor Perpetua </w:t>
            </w:r>
            <w:r>
              <w:rPr>
                <w:color w:val="4F4F4F"/>
                <w:w w:val="90"/>
                <w:sz w:val="19"/>
              </w:rPr>
              <w:t>I</w:t>
            </w:r>
          </w:p>
        </w:tc>
        <w:tc>
          <w:tcPr>
            <w:tcW w:w="997" w:type="dxa"/>
          </w:tcPr>
          <w:p>
            <w:pPr>
              <w:pStyle w:val="TableParagraph"/>
              <w:ind w:left="151" w:right="141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9"/>
              <w:ind w:right="893"/>
              <w:jc w:val="right"/>
              <w:rPr>
                <w:sz w:val="19"/>
              </w:rPr>
            </w:pPr>
            <w:r>
              <w:rPr>
                <w:color w:val="5D5D5D"/>
                <w:w w:val="110"/>
                <w:sz w:val="19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ind w:left="187" w:right="176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9"/>
              <w:ind w:left="466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53.597,13</w:t>
            </w:r>
          </w:p>
        </w:tc>
      </w:tr>
      <w:tr>
        <w:trPr>
          <w:trHeight w:val="531" w:hRule="exact"/>
        </w:trPr>
        <w:tc>
          <w:tcPr>
            <w:tcW w:w="2524" w:type="dxa"/>
          </w:tcPr>
          <w:p>
            <w:pPr>
              <w:pStyle w:val="TableParagraph"/>
              <w:spacing w:line="256" w:lineRule="auto"/>
              <w:ind w:left="462" w:hanging="80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Oracle Tuning </w:t>
            </w:r>
            <w:r>
              <w:rPr>
                <w:color w:val="4F4F4F"/>
                <w:w w:val="105"/>
                <w:sz w:val="19"/>
              </w:rPr>
              <w:t>Pack - Processor 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auto"/>
              <w:ind w:left="85" w:right="50" w:hanging="15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Processor </w:t>
            </w:r>
            <w:r>
              <w:rPr>
                <w:color w:val="4F4F4F"/>
                <w:sz w:val="19"/>
              </w:rPr>
              <w:t>Perpetua!</w:t>
            </w:r>
          </w:p>
        </w:tc>
        <w:tc>
          <w:tcPr>
            <w:tcW w:w="997" w:type="dxa"/>
          </w:tcPr>
          <w:p>
            <w:pPr>
              <w:pStyle w:val="TableParagraph"/>
              <w:ind w:left="151" w:right="141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ind w:right="933"/>
              <w:jc w:val="right"/>
              <w:rPr>
                <w:sz w:val="19"/>
              </w:rPr>
            </w:pPr>
            <w:r>
              <w:rPr>
                <w:color w:val="4F4F4F"/>
                <w:w w:val="59"/>
                <w:sz w:val="19"/>
              </w:rPr>
              <w:t>I</w:t>
            </w:r>
          </w:p>
        </w:tc>
        <w:tc>
          <w:tcPr>
            <w:tcW w:w="1247" w:type="dxa"/>
          </w:tcPr>
          <w:p>
            <w:pPr>
              <w:pStyle w:val="TableParagraph"/>
              <w:ind w:left="187" w:right="176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9"/>
              <w:ind w:left="477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13.399,29</w:t>
            </w:r>
          </w:p>
        </w:tc>
      </w:tr>
      <w:tr>
        <w:trPr>
          <w:trHeight w:val="529" w:hRule="exact"/>
        </w:trPr>
        <w:tc>
          <w:tcPr>
            <w:tcW w:w="2524" w:type="dxa"/>
          </w:tcPr>
          <w:p>
            <w:pPr>
              <w:pStyle w:val="TableParagraph"/>
              <w:spacing w:line="256" w:lineRule="auto"/>
              <w:ind w:left="466" w:hanging="271"/>
              <w:rPr>
                <w:sz w:val="19"/>
              </w:rPr>
            </w:pPr>
            <w:r>
              <w:rPr>
                <w:color w:val="5D5D5D"/>
                <w:w w:val="105"/>
                <w:sz w:val="19"/>
              </w:rPr>
              <w:t>Oracle </w:t>
            </w:r>
            <w:r>
              <w:rPr>
                <w:color w:val="4F4F4F"/>
                <w:w w:val="105"/>
                <w:sz w:val="19"/>
              </w:rPr>
              <w:t>Diagnostics Pack </w:t>
            </w:r>
            <w:r>
              <w:rPr>
                <w:color w:val="5D5D5D"/>
                <w:w w:val="105"/>
                <w:sz w:val="19"/>
              </w:rPr>
              <w:t>- </w:t>
            </w:r>
            <w:r>
              <w:rPr>
                <w:color w:val="4F4F4F"/>
                <w:w w:val="105"/>
                <w:sz w:val="19"/>
              </w:rPr>
              <w:t>Processor Perpetua!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auto"/>
              <w:ind w:left="85" w:hanging="10"/>
              <w:rPr>
                <w:sz w:val="19"/>
              </w:rPr>
            </w:pPr>
            <w:r>
              <w:rPr>
                <w:color w:val="4F4F4F"/>
                <w:sz w:val="19"/>
              </w:rPr>
              <w:t>Processor Perpetua!</w:t>
            </w:r>
          </w:p>
        </w:tc>
        <w:tc>
          <w:tcPr>
            <w:tcW w:w="997" w:type="dxa"/>
          </w:tcPr>
          <w:p>
            <w:pPr>
              <w:pStyle w:val="TableParagraph"/>
              <w:ind w:left="151" w:right="140"/>
              <w:jc w:val="center"/>
              <w:rPr>
                <w:sz w:val="19"/>
              </w:rPr>
            </w:pPr>
            <w:r>
              <w:rPr>
                <w:color w:val="5D5D5D"/>
                <w:sz w:val="19"/>
              </w:rPr>
              <w:t>Full Use</w:t>
            </w:r>
          </w:p>
        </w:tc>
        <w:tc>
          <w:tcPr>
            <w:tcW w:w="1921" w:type="dxa"/>
          </w:tcPr>
          <w:p>
            <w:pPr>
              <w:pStyle w:val="TableParagraph"/>
              <w:spacing w:before="4"/>
              <w:ind w:right="928"/>
              <w:jc w:val="right"/>
              <w:rPr>
                <w:sz w:val="20"/>
              </w:rPr>
            </w:pPr>
            <w:r>
              <w:rPr>
                <w:color w:val="4F4F4F"/>
                <w:w w:val="64"/>
                <w:sz w:val="20"/>
              </w:rPr>
              <w:t>I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ind w:left="187" w:right="174"/>
              <w:jc w:val="center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17733116</w:t>
            </w:r>
          </w:p>
        </w:tc>
        <w:tc>
          <w:tcPr>
            <w:tcW w:w="1752" w:type="dxa"/>
          </w:tcPr>
          <w:p>
            <w:pPr>
              <w:pStyle w:val="TableParagraph"/>
              <w:spacing w:before="4"/>
              <w:ind w:left="477"/>
              <w:rPr>
                <w:sz w:val="19"/>
              </w:rPr>
            </w:pPr>
            <w:r>
              <w:rPr>
                <w:color w:val="4F4F4F"/>
                <w:w w:val="105"/>
                <w:sz w:val="19"/>
              </w:rPr>
              <w:t>13.399,29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4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8"/>
        <w:gridCol w:w="1754"/>
      </w:tblGrid>
      <w:tr>
        <w:trPr>
          <w:trHeight w:val="361" w:hRule="exact"/>
        </w:trPr>
        <w:tc>
          <w:tcPr>
            <w:tcW w:w="4168" w:type="dxa"/>
          </w:tcPr>
          <w:p>
            <w:pPr>
              <w:pStyle w:val="TableParagraph"/>
              <w:spacing w:before="65"/>
              <w:ind w:left="157" w:right="164"/>
              <w:jc w:val="center"/>
              <w:rPr>
                <w:b/>
                <w:sz w:val="21"/>
              </w:rPr>
            </w:pPr>
            <w:r>
              <w:rPr>
                <w:b/>
                <w:color w:val="4F4F4F"/>
                <w:w w:val="105"/>
                <w:sz w:val="21"/>
              </w:rPr>
              <w:t>SUPPORT CELKEM CZK BEZ DPH</w:t>
            </w:r>
          </w:p>
        </w:tc>
        <w:tc>
          <w:tcPr>
            <w:tcW w:w="1754" w:type="dxa"/>
          </w:tcPr>
          <w:p>
            <w:pPr>
              <w:pStyle w:val="TableParagraph"/>
              <w:spacing w:before="55"/>
              <w:ind w:right="59"/>
              <w:jc w:val="right"/>
              <w:rPr>
                <w:b/>
                <w:sz w:val="21"/>
              </w:rPr>
            </w:pPr>
            <w:r>
              <w:rPr>
                <w:b/>
                <w:color w:val="4F4F4F"/>
                <w:w w:val="105"/>
                <w:sz w:val="21"/>
              </w:rPr>
              <w:t>1.405.594,70</w:t>
            </w:r>
          </w:p>
        </w:tc>
      </w:tr>
      <w:tr>
        <w:trPr>
          <w:trHeight w:val="381" w:hRule="exact"/>
        </w:trPr>
        <w:tc>
          <w:tcPr>
            <w:tcW w:w="4168" w:type="dxa"/>
          </w:tcPr>
          <w:p>
            <w:pPr>
              <w:pStyle w:val="TableParagraph"/>
              <w:spacing w:before="61"/>
              <w:ind w:left="157" w:right="184"/>
              <w:jc w:val="center"/>
              <w:rPr>
                <w:sz w:val="21"/>
              </w:rPr>
            </w:pPr>
            <w:r>
              <w:rPr>
                <w:b/>
                <w:color w:val="5D5D5D"/>
                <w:w w:val="105"/>
                <w:sz w:val="21"/>
              </w:rPr>
              <w:t>SUPPORT </w:t>
            </w:r>
            <w:r>
              <w:rPr>
                <w:b/>
                <w:color w:val="4F4F4F"/>
                <w:w w:val="105"/>
                <w:sz w:val="21"/>
              </w:rPr>
              <w:t>CELKEM CZK </w:t>
            </w:r>
            <w:r>
              <w:rPr>
                <w:rFonts w:ascii="Arial"/>
                <w:b/>
                <w:color w:val="4F4F4F"/>
                <w:w w:val="105"/>
                <w:sz w:val="22"/>
              </w:rPr>
              <w:t>+ </w:t>
            </w:r>
            <w:r>
              <w:rPr>
                <w:b/>
                <w:color w:val="4F4F4F"/>
                <w:w w:val="105"/>
                <w:sz w:val="21"/>
              </w:rPr>
              <w:t>DPH 21</w:t>
            </w:r>
            <w:r>
              <w:rPr>
                <w:color w:val="4F4F4F"/>
                <w:w w:val="105"/>
                <w:sz w:val="21"/>
              </w:rPr>
              <w:t>%</w:t>
            </w:r>
          </w:p>
        </w:tc>
        <w:tc>
          <w:tcPr>
            <w:tcW w:w="1754" w:type="dxa"/>
          </w:tcPr>
          <w:p>
            <w:pPr>
              <w:pStyle w:val="TableParagraph"/>
              <w:spacing w:before="62"/>
              <w:ind w:right="83"/>
              <w:jc w:val="right"/>
              <w:rPr>
                <w:b/>
                <w:sz w:val="21"/>
              </w:rPr>
            </w:pPr>
            <w:r>
              <w:rPr>
                <w:b/>
                <w:color w:val="4F4F4F"/>
                <w:sz w:val="21"/>
              </w:rPr>
              <w:t>1.700.769,59</w:t>
            </w:r>
          </w:p>
        </w:tc>
      </w:tr>
    </w:tbl>
    <w:sectPr>
      <w:type w:val="continuous"/>
      <w:pgSz w:w="11900" w:h="16820"/>
      <w:pgMar w:top="60" w:bottom="280" w:left="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2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KMC308-C-Chodba4p412-20200323130946</dc:title>
  <dcterms:created xsi:type="dcterms:W3CDTF">2020-03-31T19:27:12Z</dcterms:created>
  <dcterms:modified xsi:type="dcterms:W3CDTF">2020-03-31T19:27:12Z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2020-03-31T00:00:00Z</vt:filetime>
  </property>
</Properties>
</file>