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" w:lineRule="exact"/>
        <w:ind w:left="102"/>
        <w:rPr>
          <w:sz w:val="2"/>
        </w:rPr>
      </w:pPr>
      <w:r>
        <w:rPr/>
        <w:pict>
          <v:line style="position:absolute;mso-position-horizontal-relative:page;mso-position-vertical-relative:paragraph;z-index:1048;mso-wrap-distance-left:0;mso-wrap-distance-right:0" from="180.260406pt,5.702003pt" to="592.418106pt,5.702003pt" stroked="true" strokeweight="1.17357pt" strokecolor="#000000">
            <v:stroke dashstyle="solid"/>
            <w10:wrap type="topAndBottom"/>
          </v:line>
        </w:pict>
      </w:r>
      <w:r>
        <w:rPr>
          <w:sz w:val="2"/>
        </w:rPr>
        <w:pict>
          <v:group style="width:77.5pt;height:1.2pt;mso-position-horizontal-relative:char;mso-position-vertical-relative:line" coordorigin="0,0" coordsize="1550,24">
            <v:line style="position:absolute" from="12,12" to="1538,12" stroked="true" strokeweight="1.1735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91"/>
        <w:ind w:right="1603"/>
        <w:jc w:val="right"/>
      </w:pPr>
      <w:r>
        <w:rPr>
          <w:color w:val="595959"/>
          <w:w w:val="105"/>
        </w:rPr>
        <w:t>Příloha č.1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92"/>
        <w:ind w:left="2720" w:right="3193" w:firstLine="0"/>
        <w:jc w:val="center"/>
        <w:rPr>
          <w:b/>
          <w:sz w:val="21"/>
        </w:rPr>
      </w:pPr>
      <w:r>
        <w:rPr>
          <w:b/>
          <w:color w:val="595959"/>
          <w:w w:val="105"/>
          <w:sz w:val="21"/>
        </w:rPr>
        <w:t>SLUŽBA TECHNICKÉ PODPORY ODDĚLENÍ SUPPORT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54" w:lineRule="auto"/>
        <w:ind w:left="1159" w:right="1415" w:firstLine="9"/>
      </w:pPr>
      <w:r>
        <w:rPr>
          <w:color w:val="595959"/>
          <w:w w:val="105"/>
        </w:rPr>
        <w:t>V tomto dokumentu jsou uvedeny informace o službě Software Update License &amp; Support poskytované oddělením Oracle Support Services (dále jen „oddělení Support· </w:t>
      </w:r>
      <w:r>
        <w:rPr>
          <w:color w:val="757575"/>
          <w:w w:val="105"/>
        </w:rPr>
        <w:t>'</w:t>
      </w:r>
      <w:r>
        <w:rPr>
          <w:color w:val="595959"/>
          <w:w w:val="105"/>
        </w:rPr>
        <w:t>) společnosti Oracle Czech</w:t>
      </w:r>
      <w:r>
        <w:rPr>
          <w:color w:val="757575"/>
          <w:w w:val="105"/>
        </w:rPr>
        <w:t>, </w:t>
      </w:r>
      <w:r>
        <w:rPr>
          <w:color w:val="595959"/>
          <w:w w:val="105"/>
        </w:rPr>
        <w:t>s. </w:t>
      </w:r>
      <w:r>
        <w:rPr>
          <w:color w:val="595959"/>
          <w:w w:val="105"/>
          <w:sz w:val="18"/>
        </w:rPr>
        <w:t>r. </w:t>
      </w:r>
      <w:r>
        <w:rPr>
          <w:color w:val="595959"/>
          <w:w w:val="105"/>
        </w:rPr>
        <w:t>o. (dále   jen</w:t>
      </w:r>
    </w:p>
    <w:p>
      <w:pPr>
        <w:pStyle w:val="BodyText"/>
        <w:spacing w:before="6"/>
        <w:ind w:left="1155"/>
      </w:pPr>
      <w:r>
        <w:rPr>
          <w:color w:val="595959"/>
          <w:w w:val="105"/>
        </w:rPr>
        <w:t>,,společnost Oracle</w:t>
      </w:r>
      <w:r>
        <w:rPr>
          <w:color w:val="757575"/>
          <w:w w:val="105"/>
        </w:rPr>
        <w:t>"</w:t>
      </w:r>
      <w:r>
        <w:rPr>
          <w:color w:val="595959"/>
          <w:w w:val="105"/>
        </w:rPr>
        <w:t>).</w:t>
      </w:r>
    </w:p>
    <w:p>
      <w:pPr>
        <w:pStyle w:val="BodyText"/>
        <w:rPr>
          <w:sz w:val="21"/>
        </w:rPr>
      </w:pPr>
    </w:p>
    <w:p>
      <w:pPr>
        <w:pStyle w:val="BodyText"/>
        <w:ind w:left="1173"/>
      </w:pPr>
      <w:r>
        <w:rPr>
          <w:color w:val="595959"/>
          <w:w w:val="105"/>
        </w:rPr>
        <w:t>V objednávkovém  dokumentu jsou jmenovitě  uvedeny softwarové  produkty společnosti  Oracle (dále též jen</w:t>
      </w:r>
    </w:p>
    <w:p>
      <w:pPr>
        <w:pStyle w:val="BodyText"/>
        <w:spacing w:before="13"/>
        <w:ind w:left="1160"/>
      </w:pPr>
      <w:r>
        <w:rPr>
          <w:color w:val="757575"/>
        </w:rPr>
        <w:t>,,</w:t>
      </w:r>
      <w:r>
        <w:rPr>
          <w:color w:val="595959"/>
        </w:rPr>
        <w:t>Programy</w:t>
      </w:r>
      <w:r>
        <w:rPr>
          <w:color w:val="757575"/>
        </w:rPr>
        <w:t>" </w:t>
      </w:r>
      <w:r>
        <w:rPr>
          <w:color w:val="595959"/>
        </w:rPr>
        <w:t>),  pro které jsou  poskytovány  služby  technické  podpory oddělení  Support.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207" w:right="0" w:firstLine="0"/>
        <w:jc w:val="left"/>
        <w:rPr>
          <w:b/>
          <w:sz w:val="19"/>
        </w:rPr>
      </w:pPr>
      <w:r>
        <w:rPr>
          <w:b/>
          <w:color w:val="595959"/>
          <w:w w:val="105"/>
          <w:sz w:val="19"/>
        </w:rPr>
        <w:t>Služba Software Update License &amp; Support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90" w:val="left" w:leader="none"/>
          <w:tab w:pos="1191" w:val="left" w:leader="none"/>
        </w:tabs>
        <w:spacing w:line="240" w:lineRule="auto" w:before="0" w:after="0"/>
        <w:ind w:left="1190" w:right="0" w:hanging="335"/>
        <w:jc w:val="left"/>
        <w:rPr>
          <w:sz w:val="19"/>
        </w:rPr>
      </w:pPr>
      <w:r>
        <w:rPr>
          <w:color w:val="595959"/>
          <w:w w:val="105"/>
          <w:sz w:val="19"/>
        </w:rPr>
        <w:t>Dodávka nových verzí software</w:t>
      </w:r>
      <w:r>
        <w:rPr>
          <w:color w:val="757575"/>
          <w:w w:val="105"/>
          <w:sz w:val="19"/>
        </w:rPr>
        <w:t>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</w:tabs>
        <w:spacing w:line="240" w:lineRule="auto" w:before="1" w:after="0"/>
        <w:ind w:left="1187" w:right="0" w:hanging="332"/>
        <w:jc w:val="left"/>
        <w:rPr>
          <w:sz w:val="19"/>
        </w:rPr>
      </w:pPr>
      <w:r>
        <w:rPr>
          <w:color w:val="595959"/>
          <w:w w:val="105"/>
          <w:sz w:val="19"/>
        </w:rPr>
        <w:t>Servisní verze pro udržení kroku s vývojem verzí hardwaru a operačního</w:t>
      </w:r>
      <w:r>
        <w:rPr>
          <w:color w:val="595959"/>
          <w:spacing w:val="19"/>
          <w:w w:val="105"/>
          <w:sz w:val="19"/>
        </w:rPr>
        <w:t> </w:t>
      </w:r>
      <w:r>
        <w:rPr>
          <w:color w:val="595959"/>
          <w:w w:val="105"/>
          <w:sz w:val="19"/>
        </w:rPr>
        <w:t>systému.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2" w:val="left" w:leader="none"/>
          <w:tab w:pos="1183" w:val="left" w:leader="none"/>
        </w:tabs>
        <w:spacing w:line="240" w:lineRule="auto" w:before="0" w:after="0"/>
        <w:ind w:left="1182" w:right="0" w:hanging="327"/>
        <w:jc w:val="left"/>
        <w:rPr>
          <w:sz w:val="19"/>
        </w:rPr>
      </w:pPr>
      <w:r>
        <w:rPr>
          <w:color w:val="595959"/>
          <w:w w:val="105"/>
          <w:sz w:val="19"/>
        </w:rPr>
        <w:t>Opravy</w:t>
      </w:r>
      <w:r>
        <w:rPr>
          <w:color w:val="595959"/>
          <w:spacing w:val="-7"/>
          <w:w w:val="105"/>
          <w:sz w:val="19"/>
        </w:rPr>
        <w:t> </w:t>
      </w:r>
      <w:r>
        <w:rPr>
          <w:color w:val="595959"/>
          <w:w w:val="105"/>
          <w:sz w:val="19"/>
        </w:rPr>
        <w:t>chyb</w:t>
      </w:r>
      <w:r>
        <w:rPr>
          <w:color w:val="595959"/>
          <w:spacing w:val="-13"/>
          <w:w w:val="105"/>
          <w:sz w:val="19"/>
        </w:rPr>
        <w:t> </w:t>
      </w:r>
      <w:r>
        <w:rPr>
          <w:color w:val="595959"/>
          <w:w w:val="105"/>
          <w:sz w:val="19"/>
        </w:rPr>
        <w:t>softwaru,</w:t>
      </w:r>
      <w:r>
        <w:rPr>
          <w:color w:val="595959"/>
          <w:spacing w:val="-7"/>
          <w:w w:val="105"/>
          <w:sz w:val="19"/>
        </w:rPr>
        <w:t> </w:t>
      </w:r>
      <w:r>
        <w:rPr>
          <w:color w:val="595959"/>
          <w:w w:val="105"/>
          <w:sz w:val="19"/>
        </w:rPr>
        <w:t>opravné</w:t>
      </w:r>
      <w:r>
        <w:rPr>
          <w:color w:val="595959"/>
          <w:spacing w:val="-4"/>
          <w:w w:val="105"/>
          <w:sz w:val="19"/>
        </w:rPr>
        <w:t> </w:t>
      </w:r>
      <w:r>
        <w:rPr>
          <w:color w:val="595959"/>
          <w:w w:val="105"/>
          <w:sz w:val="19"/>
        </w:rPr>
        <w:t>kódy</w:t>
      </w:r>
      <w:r>
        <w:rPr>
          <w:color w:val="595959"/>
          <w:spacing w:val="-22"/>
          <w:w w:val="105"/>
          <w:sz w:val="19"/>
        </w:rPr>
        <w:t> </w:t>
      </w:r>
      <w:r>
        <w:rPr>
          <w:color w:val="757575"/>
          <w:w w:val="105"/>
          <w:sz w:val="19"/>
        </w:rPr>
        <w:t>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95" w:val="left" w:leader="none"/>
          <w:tab w:pos="1196" w:val="left" w:leader="none"/>
        </w:tabs>
        <w:spacing w:line="240" w:lineRule="auto" w:before="1" w:after="0"/>
        <w:ind w:left="1195" w:right="0" w:hanging="340"/>
        <w:jc w:val="left"/>
        <w:rPr>
          <w:sz w:val="19"/>
        </w:rPr>
      </w:pPr>
      <w:r>
        <w:rPr>
          <w:color w:val="595959"/>
          <w:sz w:val="19"/>
        </w:rPr>
        <w:t>Dokumentace  k  novým  verzím</w:t>
      </w:r>
      <w:r>
        <w:rPr>
          <w:color w:val="595959"/>
          <w:spacing w:val="-8"/>
          <w:sz w:val="19"/>
        </w:rPr>
        <w:t> </w:t>
      </w:r>
      <w:r>
        <w:rPr>
          <w:color w:val="595959"/>
          <w:sz w:val="19"/>
        </w:rPr>
        <w:t>software.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3" w:val="left" w:leader="none"/>
        </w:tabs>
        <w:spacing w:line="240" w:lineRule="auto" w:before="0" w:after="0"/>
        <w:ind w:left="1192" w:right="0" w:hanging="337"/>
        <w:jc w:val="left"/>
        <w:rPr>
          <w:sz w:val="19"/>
        </w:rPr>
      </w:pPr>
      <w:r>
        <w:rPr>
          <w:color w:val="595959"/>
          <w:w w:val="105"/>
          <w:sz w:val="19"/>
        </w:rPr>
        <w:t>Nepřetržitá elektronická pomoc pro řešení problémů a dotazů Odběratele, 24 hodin denně </w:t>
      </w:r>
      <w:r>
        <w:rPr>
          <w:color w:val="757575"/>
          <w:w w:val="105"/>
          <w:sz w:val="19"/>
        </w:rPr>
        <w:t>, </w:t>
      </w:r>
      <w:r>
        <w:rPr>
          <w:color w:val="595959"/>
          <w:w w:val="105"/>
          <w:sz w:val="19"/>
        </w:rPr>
        <w:t>7 dnů v</w:t>
      </w:r>
      <w:r>
        <w:rPr>
          <w:color w:val="595959"/>
          <w:spacing w:val="-28"/>
          <w:w w:val="105"/>
          <w:sz w:val="19"/>
        </w:rPr>
        <w:t> </w:t>
      </w:r>
      <w:r>
        <w:rPr>
          <w:color w:val="595959"/>
          <w:w w:val="105"/>
          <w:sz w:val="19"/>
        </w:rPr>
        <w:t>týdnu.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56" w:lineRule="auto" w:before="0" w:after="0"/>
        <w:ind w:left="1190" w:right="1560" w:hanging="335"/>
        <w:jc w:val="both"/>
        <w:rPr>
          <w:sz w:val="19"/>
        </w:rPr>
      </w:pPr>
      <w:r>
        <w:rPr>
          <w:color w:val="595959"/>
          <w:sz w:val="19"/>
        </w:rPr>
        <w:t>Přímý elektronický přístup k pracovníkům oddělení Support pro řešení problémů, oznámení závady v produktu, objasnění dokumentace, oznámení požadavku na rozšíření  funkčnosti  produktu  a  technickou  pomoc  pro  problémy a dotazy během obvyklé pracovní doby. Služby oddělení Support společnosti Oracle řeší problémy prokazatelné v aktuálně podporovaných verzích Programů za předpokladu,  že tyto  Programy  nebyly změněny a  jsou  provozovány  na podporované  konfiguraci  hardwaru  a  operačního</w:t>
      </w:r>
      <w:r>
        <w:rPr>
          <w:color w:val="595959"/>
          <w:spacing w:val="11"/>
          <w:sz w:val="19"/>
        </w:rPr>
        <w:t> </w:t>
      </w:r>
      <w:r>
        <w:rPr>
          <w:color w:val="595959"/>
          <w:spacing w:val="3"/>
          <w:sz w:val="19"/>
        </w:rPr>
        <w:t>systému</w:t>
      </w:r>
      <w:r>
        <w:rPr>
          <w:color w:val="757575"/>
          <w:spacing w:val="3"/>
          <w:sz w:val="19"/>
        </w:rPr>
        <w:t>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54" w:lineRule="auto" w:before="0" w:after="0"/>
        <w:ind w:left="1189" w:right="1561" w:hanging="330"/>
        <w:jc w:val="both"/>
        <w:rPr>
          <w:sz w:val="19"/>
        </w:rPr>
      </w:pPr>
      <w:r>
        <w:rPr>
          <w:color w:val="595959"/>
          <w:w w:val="105"/>
          <w:sz w:val="19"/>
        </w:rPr>
        <w:t>Priorita řešení podle pracovního dopadu. Společnost Oracle bude pracovat na řešení požadavků Odběratele v souladu s úrovněmi závažnosti stanovenými podle dopadu problému na pracovní činnost</w:t>
      </w:r>
      <w:r>
        <w:rPr>
          <w:color w:val="595959"/>
          <w:spacing w:val="14"/>
          <w:w w:val="105"/>
          <w:sz w:val="19"/>
        </w:rPr>
        <w:t> </w:t>
      </w:r>
      <w:r>
        <w:rPr>
          <w:color w:val="595959"/>
          <w:w w:val="105"/>
          <w:sz w:val="19"/>
        </w:rPr>
        <w:t>Odběratele.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59" w:lineRule="auto" w:before="0" w:after="0"/>
        <w:ind w:left="1202" w:right="1566" w:hanging="343"/>
        <w:jc w:val="both"/>
        <w:rPr>
          <w:sz w:val="19"/>
        </w:rPr>
      </w:pPr>
      <w:r>
        <w:rPr>
          <w:color w:val="595959"/>
          <w:w w:val="105"/>
          <w:sz w:val="19"/>
        </w:rPr>
        <w:t>Přístup k informacím společnosti Oracle prostřednictvím elektronických systémů</w:t>
      </w:r>
      <w:r>
        <w:rPr>
          <w:color w:val="757575"/>
          <w:w w:val="105"/>
          <w:sz w:val="19"/>
        </w:rPr>
        <w:t>. </w:t>
      </w:r>
      <w:r>
        <w:rPr>
          <w:color w:val="595959"/>
          <w:w w:val="105"/>
          <w:sz w:val="19"/>
        </w:rPr>
        <w:t>Technické pokyny, návrhy </w:t>
      </w:r>
      <w:r>
        <w:rPr>
          <w:color w:val="757575"/>
          <w:w w:val="105"/>
          <w:sz w:val="19"/>
        </w:rPr>
        <w:t>, </w:t>
      </w:r>
      <w:r>
        <w:rPr>
          <w:color w:val="595959"/>
          <w:w w:val="105"/>
          <w:sz w:val="19"/>
        </w:rPr>
        <w:t>informace o vývoji produktů, dostupnost produktů, oznámení o ukončení podpory, podrobnosti o známých problémech včetně náhradních</w:t>
      </w:r>
      <w:r>
        <w:rPr>
          <w:color w:val="595959"/>
          <w:spacing w:val="-11"/>
          <w:w w:val="105"/>
          <w:sz w:val="19"/>
        </w:rPr>
        <w:t> </w:t>
      </w:r>
      <w:r>
        <w:rPr>
          <w:color w:val="595959"/>
          <w:w w:val="105"/>
          <w:sz w:val="19"/>
        </w:rPr>
        <w:t>řešení.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1173"/>
      </w:pPr>
      <w:r>
        <w:rPr>
          <w:color w:val="595959"/>
        </w:rPr>
        <w:t>Aktuální verze podmínek  poskytování  Technické  podpory  je k dispozici  na adrese</w:t>
      </w: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117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595959"/>
          <w:w w:val="88"/>
          <w:sz w:val="20"/>
          <w:u w:val="single" w:color="000000"/>
        </w:rPr>
        <w:t>htt</w:t>
      </w:r>
      <w:r>
        <w:rPr>
          <w:rFonts w:ascii="Arial"/>
          <w:b/>
          <w:color w:val="595959"/>
          <w:spacing w:val="4"/>
          <w:w w:val="88"/>
          <w:sz w:val="20"/>
          <w:u w:val="single" w:color="000000"/>
        </w:rPr>
        <w:t>p</w:t>
      </w:r>
      <w:r>
        <w:rPr>
          <w:color w:val="595959"/>
          <w:spacing w:val="-8"/>
          <w:w w:val="109"/>
          <w:sz w:val="22"/>
          <w:u w:val="single" w:color="000000"/>
        </w:rPr>
        <w:t>s</w:t>
      </w:r>
      <w:r>
        <w:rPr>
          <w:color w:val="595959"/>
          <w:w w:val="109"/>
          <w:sz w:val="21"/>
          <w:u w:val="single" w:color="000000"/>
        </w:rPr>
        <w:t>:</w:t>
      </w:r>
      <w:r>
        <w:rPr>
          <w:color w:val="757575"/>
          <w:w w:val="101"/>
          <w:sz w:val="21"/>
          <w:u w:val="single" w:color="000000"/>
        </w:rPr>
        <w:t>/</w:t>
      </w:r>
      <w:r>
        <w:rPr>
          <w:color w:val="757575"/>
          <w:spacing w:val="11"/>
          <w:w w:val="101"/>
          <w:sz w:val="21"/>
          <w:u w:val="single" w:color="000000"/>
        </w:rPr>
        <w:t>/</w:t>
      </w:r>
      <w:hyperlink r:id="rId5">
        <w:r>
          <w:rPr>
            <w:color w:val="595959"/>
            <w:w w:val="95"/>
            <w:sz w:val="21"/>
            <w:u w:val="single" w:color="000000"/>
          </w:rPr>
          <w:t>www</w:t>
        </w:r>
        <w:r>
          <w:rPr>
            <w:color w:val="595959"/>
            <w:spacing w:val="-26"/>
            <w:sz w:val="21"/>
            <w:u w:val="single" w:color="000000"/>
          </w:rPr>
          <w:t> </w:t>
        </w:r>
        <w:r>
          <w:rPr>
            <w:color w:val="595959"/>
            <w:w w:val="95"/>
            <w:sz w:val="22"/>
            <w:u w:val="single" w:color="000000"/>
          </w:rPr>
          <w:t>.ora</w:t>
        </w:r>
        <w:r>
          <w:rPr>
            <w:color w:val="595959"/>
            <w:spacing w:val="20"/>
            <w:w w:val="95"/>
            <w:sz w:val="22"/>
            <w:u w:val="single" w:color="000000"/>
          </w:rPr>
          <w:t>c</w:t>
        </w:r>
        <w:r>
          <w:rPr>
            <w:color w:val="595959"/>
            <w:spacing w:val="4"/>
            <w:w w:val="72"/>
            <w:sz w:val="22"/>
            <w:u w:val="single" w:color="000000"/>
          </w:rPr>
          <w:t>l</w:t>
        </w:r>
        <w:r>
          <w:rPr>
            <w:color w:val="595959"/>
            <w:w w:val="104"/>
            <w:sz w:val="22"/>
            <w:u w:val="single" w:color="000000"/>
          </w:rPr>
          <w:t>e.c</w:t>
        </w:r>
        <w:r>
          <w:rPr>
            <w:color w:val="595959"/>
            <w:spacing w:val="-11"/>
            <w:w w:val="104"/>
            <w:sz w:val="22"/>
            <w:u w:val="single" w:color="000000"/>
          </w:rPr>
          <w:t>o</w:t>
        </w:r>
        <w:r>
          <w:rPr>
            <w:color w:val="595959"/>
            <w:spacing w:val="20"/>
            <w:w w:val="84"/>
            <w:sz w:val="22"/>
            <w:u w:val="single" w:color="000000"/>
          </w:rPr>
          <w:t>m</w:t>
        </w:r>
        <w:r>
          <w:rPr>
            <w:color w:val="8E8E8E"/>
            <w:spacing w:val="-2"/>
            <w:w w:val="89"/>
            <w:sz w:val="22"/>
            <w:u w:val="single" w:color="000000"/>
          </w:rPr>
          <w:t>/</w:t>
        </w:r>
        <w:r>
          <w:rPr>
            <w:color w:val="595959"/>
            <w:w w:val="105"/>
            <w:sz w:val="22"/>
            <w:u w:val="single" w:color="000000"/>
          </w:rPr>
          <w:t>c</w:t>
        </w:r>
        <w:r>
          <w:rPr>
            <w:color w:val="595959"/>
            <w:spacing w:val="2"/>
            <w:w w:val="105"/>
            <w:sz w:val="22"/>
            <w:u w:val="single" w:color="000000"/>
          </w:rPr>
          <w:t>o</w:t>
        </w:r>
        <w:r>
          <w:rPr>
            <w:color w:val="595959"/>
            <w:w w:val="81"/>
            <w:sz w:val="22"/>
            <w:u w:val="single" w:color="000000"/>
          </w:rPr>
          <w:t>r</w:t>
        </w:r>
        <w:r>
          <w:rPr>
            <w:color w:val="595959"/>
            <w:spacing w:val="16"/>
            <w:w w:val="81"/>
            <w:sz w:val="22"/>
            <w:u w:val="single" w:color="000000"/>
          </w:rPr>
          <w:t>p</w:t>
        </w:r>
        <w:r>
          <w:rPr>
            <w:color w:val="595959"/>
            <w:spacing w:val="1"/>
            <w:w w:val="107"/>
            <w:sz w:val="22"/>
            <w:u w:val="single" w:color="000000"/>
          </w:rPr>
          <w:t>o</w:t>
        </w:r>
        <w:r>
          <w:rPr>
            <w:color w:val="595959"/>
            <w:w w:val="94"/>
            <w:sz w:val="22"/>
            <w:u w:val="single" w:color="000000"/>
          </w:rPr>
          <w:t>rat</w:t>
        </w:r>
        <w:r>
          <w:rPr>
            <w:color w:val="595959"/>
            <w:spacing w:val="12"/>
            <w:w w:val="94"/>
            <w:sz w:val="22"/>
            <w:u w:val="single" w:color="000000"/>
          </w:rPr>
          <w:t>e</w:t>
        </w:r>
        <w:r>
          <w:rPr>
            <w:color w:val="757575"/>
            <w:spacing w:val="-1"/>
            <w:w w:val="96"/>
            <w:sz w:val="22"/>
            <w:u w:val="single" w:color="000000"/>
          </w:rPr>
          <w:t>/</w:t>
        </w:r>
        <w:r>
          <w:rPr>
            <w:color w:val="595959"/>
            <w:w w:val="99"/>
            <w:sz w:val="22"/>
            <w:u w:val="single" w:color="000000"/>
          </w:rPr>
          <w:t>con</w:t>
        </w:r>
        <w:r>
          <w:rPr>
            <w:color w:val="595959"/>
            <w:spacing w:val="8"/>
            <w:w w:val="99"/>
            <w:sz w:val="22"/>
            <w:u w:val="single" w:color="000000"/>
          </w:rPr>
          <w:t>t</w:t>
        </w:r>
        <w:r>
          <w:rPr>
            <w:color w:val="595959"/>
            <w:w w:val="94"/>
            <w:sz w:val="22"/>
            <w:u w:val="single" w:color="000000"/>
          </w:rPr>
          <w:t>ract</w:t>
        </w:r>
        <w:r>
          <w:rPr>
            <w:color w:val="595959"/>
            <w:spacing w:val="11"/>
            <w:w w:val="94"/>
            <w:sz w:val="22"/>
            <w:u w:val="single" w:color="000000"/>
          </w:rPr>
          <w:t>s</w:t>
        </w:r>
        <w:r>
          <w:rPr>
            <w:color w:val="8E8E8E"/>
            <w:w w:val="96"/>
            <w:sz w:val="22"/>
            <w:u w:val="single" w:color="000000"/>
          </w:rPr>
          <w:t>/</w:t>
        </w:r>
        <w:r>
          <w:rPr>
            <w:color w:val="595959"/>
            <w:w w:val="91"/>
            <w:sz w:val="22"/>
            <w:u w:val="single" w:color="000000"/>
          </w:rPr>
          <w:t>s</w:t>
        </w:r>
        <w:r>
          <w:rPr>
            <w:color w:val="595959"/>
            <w:w w:val="92"/>
            <w:sz w:val="22"/>
            <w:u w:val="single" w:color="000000"/>
          </w:rPr>
          <w:t>u</w:t>
        </w:r>
        <w:r>
          <w:rPr>
            <w:color w:val="595959"/>
            <w:spacing w:val="-29"/>
            <w:sz w:val="22"/>
            <w:u w:val="single" w:color="000000"/>
          </w:rPr>
          <w:t> </w:t>
        </w:r>
        <w:r>
          <w:rPr>
            <w:color w:val="595959"/>
            <w:w w:val="89"/>
            <w:sz w:val="22"/>
            <w:u w:val="single" w:color="000000"/>
          </w:rPr>
          <w:t>p</w:t>
        </w:r>
        <w:r>
          <w:rPr>
            <w:color w:val="595959"/>
            <w:spacing w:val="5"/>
            <w:w w:val="89"/>
            <w:sz w:val="22"/>
            <w:u w:val="single" w:color="000000"/>
          </w:rPr>
          <w:t>p</w:t>
        </w:r>
        <w:r>
          <w:rPr>
            <w:color w:val="595959"/>
            <w:spacing w:val="5"/>
            <w:w w:val="107"/>
            <w:sz w:val="22"/>
            <w:u w:val="single" w:color="000000"/>
          </w:rPr>
          <w:t>o</w:t>
        </w:r>
        <w:r>
          <w:rPr>
            <w:color w:val="595959"/>
            <w:w w:val="89"/>
            <w:sz w:val="22"/>
            <w:u w:val="single" w:color="000000"/>
          </w:rPr>
          <w:t>r</w:t>
        </w:r>
        <w:r>
          <w:rPr>
            <w:color w:val="595959"/>
            <w:spacing w:val="2"/>
            <w:w w:val="89"/>
            <w:sz w:val="22"/>
            <w:u w:val="single" w:color="000000"/>
          </w:rPr>
          <w:t>t</w:t>
        </w:r>
        <w:r>
          <w:rPr>
            <w:color w:val="595959"/>
            <w:w w:val="107"/>
            <w:sz w:val="22"/>
            <w:u w:val="single" w:color="000000"/>
          </w:rPr>
          <w:t>-</w:t>
        </w:r>
        <w:r>
          <w:rPr>
            <w:color w:val="595959"/>
            <w:spacing w:val="-16"/>
            <w:w w:val="107"/>
            <w:sz w:val="22"/>
            <w:u w:val="single" w:color="000000"/>
          </w:rPr>
          <w:t>s</w:t>
        </w:r>
        <w:r>
          <w:rPr>
            <w:color w:val="757575"/>
            <w:spacing w:val="2"/>
            <w:w w:val="104"/>
            <w:sz w:val="22"/>
            <w:u w:val="single" w:color="000000"/>
          </w:rPr>
          <w:t>e</w:t>
        </w:r>
        <w:r>
          <w:rPr>
            <w:color w:val="595959"/>
            <w:w w:val="93"/>
            <w:sz w:val="22"/>
            <w:u w:val="single" w:color="000000"/>
          </w:rPr>
          <w:t>r</w:t>
        </w:r>
        <w:r>
          <w:rPr>
            <w:color w:val="595959"/>
            <w:spacing w:val="15"/>
            <w:w w:val="93"/>
            <w:sz w:val="22"/>
            <w:u w:val="single" w:color="000000"/>
          </w:rPr>
          <w:t>v</w:t>
        </w:r>
        <w:r>
          <w:rPr>
            <w:color w:val="595959"/>
            <w:spacing w:val="6"/>
            <w:w w:val="64"/>
            <w:sz w:val="22"/>
            <w:u w:val="single" w:color="000000"/>
          </w:rPr>
          <w:t>i</w:t>
        </w:r>
        <w:r>
          <w:rPr>
            <w:color w:val="595959"/>
            <w:w w:val="105"/>
            <w:sz w:val="22"/>
            <w:u w:val="single" w:color="000000"/>
          </w:rPr>
          <w:t>ce</w:t>
        </w:r>
        <w:r>
          <w:rPr>
            <w:color w:val="595959"/>
            <w:spacing w:val="-18"/>
            <w:w w:val="105"/>
            <w:sz w:val="22"/>
            <w:u w:val="single" w:color="000000"/>
          </w:rPr>
          <w:t>s</w:t>
        </w:r>
        <w:r>
          <w:rPr>
            <w:color w:val="8E8E8E"/>
            <w:spacing w:val="12"/>
            <w:w w:val="104"/>
            <w:sz w:val="22"/>
            <w:u w:val="single" w:color="000000"/>
          </w:rPr>
          <w:t>/</w:t>
        </w:r>
        <w:r>
          <w:rPr>
            <w:color w:val="595959"/>
            <w:w w:val="95"/>
            <w:sz w:val="22"/>
            <w:u w:val="single" w:color="000000"/>
          </w:rPr>
          <w:t>p</w:t>
        </w:r>
        <w:r>
          <w:rPr>
            <w:color w:val="595959"/>
            <w:spacing w:val="9"/>
            <w:w w:val="95"/>
            <w:sz w:val="22"/>
            <w:u w:val="single" w:color="000000"/>
          </w:rPr>
          <w:t>o</w:t>
        </w:r>
        <w:r>
          <w:rPr>
            <w:color w:val="595959"/>
            <w:spacing w:val="10"/>
            <w:w w:val="50"/>
            <w:sz w:val="22"/>
            <w:u w:val="single" w:color="000000"/>
          </w:rPr>
          <w:t>I</w:t>
        </w:r>
        <w:r>
          <w:rPr>
            <w:rFonts w:ascii="Arial"/>
            <w:b/>
            <w:color w:val="595959"/>
            <w:spacing w:val="3"/>
            <w:w w:val="95"/>
            <w:sz w:val="21"/>
            <w:u w:val="single" w:color="000000"/>
          </w:rPr>
          <w:t>i</w:t>
        </w:r>
        <w:r>
          <w:rPr>
            <w:color w:val="595959"/>
            <w:w w:val="99"/>
            <w:sz w:val="22"/>
            <w:u w:val="single" w:color="000000"/>
          </w:rPr>
          <w:t>cies</w:t>
        </w:r>
        <w:r>
          <w:rPr>
            <w:color w:val="595959"/>
            <w:spacing w:val="-4"/>
            <w:w w:val="99"/>
            <w:sz w:val="22"/>
            <w:u w:val="single" w:color="000000"/>
          </w:rPr>
          <w:t>.</w:t>
        </w:r>
        <w:r>
          <w:rPr>
            <w:rFonts w:ascii="Arial"/>
            <w:b/>
            <w:color w:val="595959"/>
            <w:w w:val="92"/>
            <w:sz w:val="20"/>
            <w:u w:val="single" w:color="000000"/>
          </w:rPr>
          <w:t>ht</w:t>
        </w:r>
        <w:r>
          <w:rPr>
            <w:rFonts w:ascii="Arial"/>
            <w:b/>
            <w:color w:val="595959"/>
            <w:spacing w:val="11"/>
            <w:w w:val="92"/>
            <w:sz w:val="20"/>
            <w:u w:val="single" w:color="000000"/>
          </w:rPr>
          <w:t>m</w:t>
        </w:r>
        <w:r>
          <w:rPr>
            <w:rFonts w:ascii="Arial"/>
            <w:b/>
            <w:color w:val="595959"/>
            <w:w w:val="92"/>
            <w:sz w:val="20"/>
            <w:u w:val="single" w:color="000000"/>
          </w:rPr>
          <w:t>I</w:t>
        </w:r>
      </w:hyperlink>
    </w:p>
    <w:sectPr>
      <w:type w:val="continuous"/>
      <w:pgSz w:w="11900" w:h="16820"/>
      <w:pgMar w:top="80" w:bottom="280" w:left="2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90" w:hanging="336"/>
      </w:pPr>
      <w:rPr>
        <w:rFonts w:hint="default" w:ascii="Times New Roman" w:hAnsi="Times New Roman" w:eastAsia="Times New Roman" w:cs="Times New Roman"/>
        <w:color w:val="595959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2250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0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0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0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0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190" w:hanging="33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racle.com/corporate/contracts/support-services/poIicies.htmI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KMC308-C-Chodba4p412-20200323130926</dc:title>
  <dcterms:created xsi:type="dcterms:W3CDTF">2020-03-31T19:26:13Z</dcterms:created>
  <dcterms:modified xsi:type="dcterms:W3CDTF">2020-03-31T19:26:13Z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2020-03-31T00:00:00Z</vt:filetime>
  </property>
</Properties>
</file>