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17277ACC" w:rsidR="00632078" w:rsidRPr="00440112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9C2665">
        <w:rPr>
          <w:rFonts w:ascii="Arial" w:hAnsi="Arial" w:cs="Arial"/>
          <w:b/>
          <w:sz w:val="28"/>
          <w:szCs w:val="28"/>
        </w:rPr>
        <w:t>zajištění systémové</w:t>
      </w:r>
      <w:r>
        <w:rPr>
          <w:rFonts w:ascii="Arial" w:hAnsi="Arial" w:cs="Arial"/>
          <w:b/>
          <w:sz w:val="28"/>
          <w:szCs w:val="28"/>
        </w:rPr>
        <w:t xml:space="preserve"> podpory</w:t>
      </w: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26487E13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7DF5E5BB" w14:textId="77777777" w:rsidR="001E7107" w:rsidRDefault="001E7107" w:rsidP="001E7107">
      <w:pPr>
        <w:pStyle w:val="Nadpis1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Karlovarský kraj</w:t>
      </w:r>
    </w:p>
    <w:p w14:paraId="5D7B2F6B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Závodní 356/88, 360 06 Karlovy Vary</w:t>
      </w:r>
    </w:p>
    <w:p w14:paraId="59D6F8B5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70891168</w:t>
      </w:r>
    </w:p>
    <w:p w14:paraId="2710139E" w14:textId="77777777" w:rsidR="001E7107" w:rsidRDefault="001E7107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70891168</w:t>
      </w:r>
    </w:p>
    <w:p w14:paraId="2ECD6266" w14:textId="4493C2B5" w:rsidR="001E7107" w:rsidRDefault="001E7107" w:rsidP="001E710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Komerční banka, a.s., pobočka Karlovy Vary (č.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110CA">
        <w:rPr>
          <w:rFonts w:ascii="Arial" w:hAnsi="Arial" w:cs="Arial"/>
        </w:rPr>
        <w:t>xxxxxxxxxxxxxxxxx</w:t>
      </w:r>
      <w:proofErr w:type="spellEnd"/>
      <w:r>
        <w:rPr>
          <w:rFonts w:ascii="Arial" w:hAnsi="Arial" w:cs="Arial"/>
        </w:rPr>
        <w:t>)</w:t>
      </w:r>
    </w:p>
    <w:p w14:paraId="1844C045" w14:textId="45C92D89" w:rsidR="001E7107" w:rsidRDefault="001E7107" w:rsidP="001E7107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ČSOB (č.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110CA">
        <w:rPr>
          <w:rFonts w:ascii="Arial" w:hAnsi="Arial" w:cs="Arial"/>
        </w:rPr>
        <w:t>xxxxxxxxxxxxxxx</w:t>
      </w:r>
      <w:proofErr w:type="spellEnd"/>
      <w:r>
        <w:rPr>
          <w:rFonts w:ascii="Arial" w:hAnsi="Arial" w:cs="Arial"/>
        </w:rPr>
        <w:t>)</w:t>
      </w:r>
    </w:p>
    <w:p w14:paraId="2090C90C" w14:textId="4C1F8AE8"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Česká spořitelna (č.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110CA">
        <w:rPr>
          <w:rFonts w:ascii="Arial" w:hAnsi="Arial" w:cs="Arial"/>
        </w:rPr>
        <w:t>xxxxxxxxxxxxx</w:t>
      </w:r>
      <w:proofErr w:type="spellEnd"/>
      <w:r>
        <w:rPr>
          <w:rFonts w:ascii="Arial" w:hAnsi="Arial" w:cs="Arial"/>
        </w:rPr>
        <w:t>)</w:t>
      </w:r>
    </w:p>
    <w:p w14:paraId="6D7D8AC1" w14:textId="2A4F87CF" w:rsidR="001E7107" w:rsidRDefault="001E7107" w:rsidP="001E7107">
      <w:pPr>
        <w:ind w:left="2127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PPF Banka (č.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110CA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>)</w:t>
      </w:r>
    </w:p>
    <w:p w14:paraId="0440ED34" w14:textId="365CE80A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Ing. Jiřím </w:t>
      </w:r>
      <w:proofErr w:type="spellStart"/>
      <w:r w:rsidR="006E46F4">
        <w:rPr>
          <w:rFonts w:ascii="Arial" w:hAnsi="Arial" w:cs="Arial"/>
        </w:rPr>
        <w:t>Heliksem</w:t>
      </w:r>
      <w:proofErr w:type="spellEnd"/>
      <w:r w:rsidR="006E46F4">
        <w:rPr>
          <w:rFonts w:ascii="Arial" w:hAnsi="Arial" w:cs="Arial"/>
        </w:rPr>
        <w:t xml:space="preserve">, vedoucím odboru informatiky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77777777" w:rsidR="00FC724C" w:rsidRPr="00C2244B" w:rsidRDefault="00FC724C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B9F1303" w14:textId="77777777" w:rsidR="00D43228" w:rsidRPr="00D43228" w:rsidRDefault="00D43228" w:rsidP="00D43228">
      <w:pPr>
        <w:jc w:val="both"/>
        <w:rPr>
          <w:rFonts w:ascii="Arial" w:hAnsi="Arial" w:cs="Arial"/>
          <w:b/>
          <w:bCs/>
        </w:rPr>
      </w:pPr>
      <w:r w:rsidRPr="00D43228">
        <w:rPr>
          <w:rFonts w:ascii="Arial" w:hAnsi="Arial" w:cs="Arial"/>
          <w:b/>
          <w:bCs/>
        </w:rPr>
        <w:t>ANECT a.s.</w:t>
      </w:r>
    </w:p>
    <w:p w14:paraId="00A94252" w14:textId="027261B2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3228">
        <w:rPr>
          <w:rFonts w:ascii="Arial" w:hAnsi="Arial" w:cs="Arial"/>
        </w:rPr>
        <w:t>Vídeňská 204/125, Přízřenice, 619 00 Brno</w:t>
      </w:r>
    </w:p>
    <w:p w14:paraId="7861EA4D" w14:textId="2931E3B7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3228">
        <w:rPr>
          <w:rFonts w:ascii="Arial" w:hAnsi="Arial" w:cs="Arial"/>
        </w:rPr>
        <w:t>25313029</w:t>
      </w:r>
    </w:p>
    <w:p w14:paraId="5F6673BF" w14:textId="4A5546D7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3228">
        <w:rPr>
          <w:rFonts w:ascii="Arial" w:hAnsi="Arial" w:cs="Arial"/>
        </w:rPr>
        <w:t>CZ25313029</w:t>
      </w:r>
    </w:p>
    <w:p w14:paraId="787361CA" w14:textId="448B8F88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D43228">
        <w:rPr>
          <w:rFonts w:ascii="Arial" w:hAnsi="Arial" w:cs="Arial"/>
        </w:rPr>
        <w:t>Komerční banka, a.s., pobočka Brno</w:t>
      </w:r>
    </w:p>
    <w:p w14:paraId="7D7B88CD" w14:textId="1DF0E210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10CA">
        <w:rPr>
          <w:rFonts w:ascii="Arial" w:hAnsi="Arial" w:cs="Arial"/>
        </w:rPr>
        <w:t>xxxxxxxxxxxxxxxxxxxxxxx</w:t>
      </w:r>
      <w:bookmarkStart w:id="0" w:name="_GoBack"/>
      <w:bookmarkEnd w:id="0"/>
    </w:p>
    <w:p w14:paraId="073C1B95" w14:textId="3D99DA44" w:rsidR="00D43228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3228">
        <w:rPr>
          <w:rFonts w:ascii="Arial" w:hAnsi="Arial" w:cs="Arial"/>
        </w:rPr>
        <w:t>Janem Zinkem, předsedou představenstva</w:t>
      </w:r>
    </w:p>
    <w:p w14:paraId="268D54EF" w14:textId="27FAE764" w:rsidR="00FC724C" w:rsidRPr="00D43228" w:rsidRDefault="00D43228" w:rsidP="00D43228">
      <w:pPr>
        <w:jc w:val="both"/>
        <w:rPr>
          <w:rFonts w:ascii="Arial" w:hAnsi="Arial" w:cs="Arial"/>
        </w:rPr>
      </w:pPr>
      <w:r w:rsidRPr="00D43228">
        <w:rPr>
          <w:rFonts w:ascii="Arial" w:hAnsi="Arial" w:cs="Arial"/>
        </w:rPr>
        <w:t>zapsaná v obchodním rejstříku vedeném Krajským soudem v Brně oddíl B, vložka 2113</w:t>
      </w:r>
    </w:p>
    <w:p w14:paraId="75BB8122" w14:textId="77777777" w:rsidR="00D43228" w:rsidRDefault="00D43228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17002D2B" w14:textId="52572F39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19CAB0F1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0FF2D9FB" w14:textId="77777777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0437E82A" w:rsidR="00FC724C" w:rsidRDefault="0010423E" w:rsidP="00125BF0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FC724C" w:rsidRPr="006840DC">
        <w:rPr>
          <w:rFonts w:ascii="Arial" w:hAnsi="Arial" w:cs="Arial"/>
        </w:rPr>
        <w:t xml:space="preserve"> je vybraným účastníkem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9C2665" w:rsidRPr="00737533">
        <w:rPr>
          <w:rFonts w:ascii="Arial" w:hAnsi="Arial" w:cs="Arial"/>
          <w:b/>
          <w:bCs/>
          <w:iCs/>
        </w:rPr>
        <w:t xml:space="preserve">Obnova </w:t>
      </w:r>
      <w:proofErr w:type="spellStart"/>
      <w:r w:rsidR="009C2665" w:rsidRPr="00737533">
        <w:rPr>
          <w:rFonts w:ascii="Arial" w:hAnsi="Arial" w:cs="Arial"/>
          <w:b/>
          <w:bCs/>
          <w:iCs/>
        </w:rPr>
        <w:t>maintenance</w:t>
      </w:r>
      <w:proofErr w:type="spellEnd"/>
      <w:r w:rsidR="009C2665" w:rsidRPr="00737533">
        <w:rPr>
          <w:rFonts w:ascii="Arial" w:hAnsi="Arial" w:cs="Arial"/>
          <w:b/>
          <w:bCs/>
          <w:iCs/>
        </w:rPr>
        <w:t xml:space="preserve"> </w:t>
      </w:r>
      <w:proofErr w:type="spellStart"/>
      <w:r w:rsidR="009C2665" w:rsidRPr="00737533">
        <w:rPr>
          <w:rFonts w:ascii="Arial" w:hAnsi="Arial" w:cs="Arial"/>
          <w:b/>
          <w:bCs/>
          <w:iCs/>
        </w:rPr>
        <w:t>CheckPoint</w:t>
      </w:r>
      <w:proofErr w:type="spellEnd"/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proofErr w:type="gramStart"/>
      <w:r w:rsidR="006E46F4">
        <w:rPr>
          <w:rFonts w:ascii="Arial" w:hAnsi="Arial" w:cs="Arial"/>
        </w:rPr>
        <w:t>11.03. 2020</w:t>
      </w:r>
      <w:proofErr w:type="gramEnd"/>
      <w:r w:rsidR="00FC724C" w:rsidRPr="006840DC">
        <w:rPr>
          <w:rFonts w:ascii="Arial" w:hAnsi="Arial" w:cs="Arial"/>
        </w:rPr>
        <w:t xml:space="preserve"> </w:t>
      </w:r>
      <w:r w:rsidR="00FC724C">
        <w:rPr>
          <w:rFonts w:ascii="Arial" w:hAnsi="Arial" w:cs="Arial"/>
        </w:rPr>
        <w:t>objednatelem</w:t>
      </w:r>
      <w:r w:rsidR="00FC724C" w:rsidRPr="006840DC">
        <w:rPr>
          <w:rFonts w:ascii="Arial" w:hAnsi="Arial" w:cs="Arial"/>
        </w:rPr>
        <w:t xml:space="preserve"> jako zadavatelem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2790DDE2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</w:rPr>
        <w:t>je držitelem potřebného živnostenského oprávnění</w:t>
      </w:r>
      <w:r w:rsidR="00FC724C" w:rsidRPr="00B4787C">
        <w:rPr>
          <w:rFonts w:ascii="Tahoma" w:hAnsi="Tahoma" w:cs="Tahoma"/>
        </w:rPr>
        <w:t xml:space="preserve"> </w:t>
      </w:r>
      <w:r w:rsidR="00FC724C" w:rsidRPr="006840DC">
        <w:rPr>
          <w:rFonts w:ascii="Arial" w:hAnsi="Arial" w:cs="Arial"/>
        </w:rPr>
        <w:t xml:space="preserve">a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6590CA1C" w14:textId="77777777" w:rsidR="00FC724C" w:rsidRPr="00C2244B" w:rsidRDefault="00FC724C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75EA13C9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77777777" w:rsidR="00632078" w:rsidRPr="00C2244B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2BC1526B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O </w:t>
      </w:r>
      <w:r w:rsidR="009C2665">
        <w:rPr>
          <w:rFonts w:ascii="Arial" w:hAnsi="Arial" w:cs="Arial"/>
          <w:sz w:val="28"/>
          <w:szCs w:val="28"/>
        </w:rPr>
        <w:t>ZAJIŠTĚNÍ SYSTÉMOVÉ</w:t>
      </w:r>
      <w:r w:rsidRPr="00E841ED">
        <w:rPr>
          <w:rFonts w:ascii="Arial" w:hAnsi="Arial" w:cs="Arial"/>
          <w:sz w:val="28"/>
          <w:szCs w:val="28"/>
        </w:rPr>
        <w:t xml:space="preserve"> PODPORY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67E657CE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0AC369EF" w14:textId="77777777" w:rsidR="009C2665" w:rsidRDefault="009C2665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5FEFD96E" w14:textId="64EBA4A0" w:rsidR="009C2665" w:rsidRDefault="001715F9" w:rsidP="006E46F4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9C2665">
        <w:rPr>
          <w:rFonts w:cs="Arial"/>
          <w:sz w:val="20"/>
          <w:szCs w:val="20"/>
        </w:rPr>
        <w:t xml:space="preserve">zajistit </w:t>
      </w:r>
      <w:r w:rsidRPr="009C2665">
        <w:rPr>
          <w:rFonts w:cs="Arial"/>
          <w:sz w:val="20"/>
          <w:szCs w:val="20"/>
        </w:rPr>
        <w:t>poskyt</w:t>
      </w:r>
      <w:r w:rsidR="00656D4B" w:rsidRPr="009C2665">
        <w:rPr>
          <w:rFonts w:cs="Arial"/>
          <w:sz w:val="20"/>
          <w:szCs w:val="20"/>
        </w:rPr>
        <w:t>n</w:t>
      </w:r>
      <w:r w:rsidR="009C2665">
        <w:rPr>
          <w:rFonts w:cs="Arial"/>
          <w:sz w:val="20"/>
          <w:szCs w:val="20"/>
        </w:rPr>
        <w:t>u</w:t>
      </w:r>
      <w:r w:rsidR="00656D4B" w:rsidRPr="009C2665">
        <w:rPr>
          <w:rFonts w:cs="Arial"/>
          <w:sz w:val="20"/>
          <w:szCs w:val="20"/>
        </w:rPr>
        <w:t>t</w:t>
      </w:r>
      <w:r w:rsidR="009C2665">
        <w:rPr>
          <w:rFonts w:cs="Arial"/>
          <w:sz w:val="20"/>
          <w:szCs w:val="20"/>
        </w:rPr>
        <w:t>í</w:t>
      </w:r>
      <w:r w:rsidR="00656D4B" w:rsidRPr="009C2665">
        <w:rPr>
          <w:rFonts w:cs="Arial"/>
          <w:sz w:val="20"/>
          <w:szCs w:val="20"/>
        </w:rPr>
        <w:t xml:space="preserve"> </w:t>
      </w:r>
      <w:r w:rsidR="009C2665" w:rsidRPr="009C2665">
        <w:rPr>
          <w:rFonts w:cs="Arial"/>
          <w:sz w:val="20"/>
          <w:szCs w:val="20"/>
        </w:rPr>
        <w:t>systémov</w:t>
      </w:r>
      <w:r w:rsidR="009C2665">
        <w:rPr>
          <w:rFonts w:cs="Arial"/>
          <w:sz w:val="20"/>
          <w:szCs w:val="20"/>
        </w:rPr>
        <w:t>é</w:t>
      </w:r>
      <w:r w:rsidR="009C2665" w:rsidRPr="009C2665">
        <w:rPr>
          <w:rFonts w:cs="Arial"/>
          <w:sz w:val="20"/>
          <w:szCs w:val="20"/>
        </w:rPr>
        <w:t xml:space="preserve"> podpor</w:t>
      </w:r>
      <w:r w:rsidR="009C2665">
        <w:rPr>
          <w:rFonts w:cs="Arial"/>
          <w:sz w:val="20"/>
          <w:szCs w:val="20"/>
        </w:rPr>
        <w:t>y</w:t>
      </w:r>
      <w:r w:rsidR="009C2665" w:rsidRPr="009C2665">
        <w:rPr>
          <w:rFonts w:cs="Arial"/>
          <w:sz w:val="20"/>
          <w:szCs w:val="20"/>
        </w:rPr>
        <w:t xml:space="preserve"> </w:t>
      </w:r>
      <w:proofErr w:type="spellStart"/>
      <w:r w:rsidR="009C2665" w:rsidRPr="009C2665">
        <w:rPr>
          <w:rFonts w:cs="Arial"/>
          <w:sz w:val="20"/>
          <w:szCs w:val="20"/>
        </w:rPr>
        <w:t>CheckPoint</w:t>
      </w:r>
      <w:proofErr w:type="spellEnd"/>
      <w:r w:rsidR="009C2665" w:rsidRPr="009C2665">
        <w:rPr>
          <w:rFonts w:cs="Arial"/>
          <w:sz w:val="20"/>
          <w:szCs w:val="20"/>
        </w:rPr>
        <w:t xml:space="preserve"> (firewallu) K</w:t>
      </w:r>
      <w:r w:rsidR="006E46F4">
        <w:rPr>
          <w:rFonts w:cs="Arial"/>
          <w:sz w:val="20"/>
          <w:szCs w:val="20"/>
        </w:rPr>
        <w:t xml:space="preserve">rajského úřadu </w:t>
      </w:r>
      <w:r w:rsidR="009C2665" w:rsidRPr="009C2665">
        <w:rPr>
          <w:rFonts w:cs="Arial"/>
          <w:sz w:val="20"/>
          <w:szCs w:val="20"/>
        </w:rPr>
        <w:t>K</w:t>
      </w:r>
      <w:r w:rsidR="006E46F4">
        <w:rPr>
          <w:rFonts w:cs="Arial"/>
          <w:sz w:val="20"/>
          <w:szCs w:val="20"/>
        </w:rPr>
        <w:t>arlovarského kraje</w:t>
      </w:r>
      <w:r w:rsidR="009C2665" w:rsidRPr="009C2665">
        <w:rPr>
          <w:rFonts w:cs="Arial"/>
          <w:sz w:val="20"/>
          <w:szCs w:val="20"/>
        </w:rPr>
        <w:t xml:space="preserve"> </w:t>
      </w:r>
      <w:r w:rsidR="00737533">
        <w:rPr>
          <w:rFonts w:cs="Arial"/>
          <w:sz w:val="20"/>
          <w:szCs w:val="20"/>
        </w:rPr>
        <w:t>do 4. 3. 2023</w:t>
      </w:r>
      <w:r w:rsidR="009C2665">
        <w:rPr>
          <w:rFonts w:cs="Arial"/>
          <w:sz w:val="20"/>
          <w:szCs w:val="20"/>
        </w:rPr>
        <w:t xml:space="preserve"> </w:t>
      </w:r>
      <w:r w:rsidR="00656D4B" w:rsidRPr="009C2665">
        <w:rPr>
          <w:rFonts w:cs="Arial"/>
          <w:sz w:val="20"/>
          <w:szCs w:val="20"/>
        </w:rPr>
        <w:t>v</w:t>
      </w:r>
      <w:r w:rsidR="009C2665">
        <w:rPr>
          <w:rFonts w:cs="Arial"/>
          <w:sz w:val="20"/>
          <w:szCs w:val="20"/>
        </w:rPr>
        <w:t> </w:t>
      </w:r>
      <w:r w:rsidR="00656D4B" w:rsidRPr="009C2665">
        <w:rPr>
          <w:rFonts w:cs="Arial"/>
          <w:sz w:val="20"/>
          <w:szCs w:val="20"/>
        </w:rPr>
        <w:t>rozsahu</w:t>
      </w:r>
      <w:r w:rsidR="009C2665">
        <w:rPr>
          <w:rFonts w:cs="Arial"/>
          <w:sz w:val="20"/>
          <w:szCs w:val="20"/>
        </w:rPr>
        <w:t>:</w:t>
      </w:r>
      <w:r w:rsidR="00656D4B" w:rsidRPr="009C2665">
        <w:rPr>
          <w:rFonts w:cs="Arial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635"/>
        <w:gridCol w:w="1349"/>
        <w:gridCol w:w="5954"/>
      </w:tblGrid>
      <w:tr w:rsidR="009C2665" w:rsidRPr="009C2665" w14:paraId="3BCBE395" w14:textId="77777777" w:rsidTr="006E46F4">
        <w:trPr>
          <w:jc w:val="center"/>
        </w:trPr>
        <w:tc>
          <w:tcPr>
            <w:tcW w:w="635" w:type="dxa"/>
          </w:tcPr>
          <w:p w14:paraId="52DD7400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ks</w:t>
            </w:r>
          </w:p>
        </w:tc>
        <w:tc>
          <w:tcPr>
            <w:tcW w:w="1349" w:type="dxa"/>
          </w:tcPr>
          <w:p w14:paraId="14B81119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kód</w:t>
            </w:r>
          </w:p>
        </w:tc>
        <w:tc>
          <w:tcPr>
            <w:tcW w:w="5954" w:type="dxa"/>
          </w:tcPr>
          <w:p w14:paraId="7474B18A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popis</w:t>
            </w:r>
          </w:p>
        </w:tc>
      </w:tr>
      <w:tr w:rsidR="009C2665" w:rsidRPr="009C2665" w14:paraId="7B2A0A57" w14:textId="77777777" w:rsidTr="006E46F4">
        <w:trPr>
          <w:jc w:val="center"/>
        </w:trPr>
        <w:tc>
          <w:tcPr>
            <w:tcW w:w="635" w:type="dxa"/>
          </w:tcPr>
          <w:p w14:paraId="17E6AD10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1349" w:type="dxa"/>
          </w:tcPr>
          <w:p w14:paraId="078A01CD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CPES-CO-Standard</w:t>
            </w:r>
          </w:p>
        </w:tc>
        <w:tc>
          <w:tcPr>
            <w:tcW w:w="5954" w:type="dxa"/>
          </w:tcPr>
          <w:p w14:paraId="5473D7C9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C2665">
              <w:rPr>
                <w:rFonts w:ascii="Arial" w:hAnsi="Arial" w:cs="Arial"/>
              </w:rPr>
              <w:t>Collaborative</w:t>
            </w:r>
            <w:proofErr w:type="spellEnd"/>
            <w:r w:rsidRPr="009C2665">
              <w:rPr>
                <w:rFonts w:ascii="Arial" w:hAnsi="Arial" w:cs="Arial"/>
              </w:rPr>
              <w:t xml:space="preserve"> Support Standard, </w:t>
            </w:r>
            <w:proofErr w:type="spellStart"/>
            <w:r w:rsidRPr="009C2665">
              <w:rPr>
                <w:rFonts w:ascii="Arial" w:hAnsi="Arial" w:cs="Arial"/>
              </w:rPr>
              <w:t>Coverage</w:t>
            </w:r>
            <w:proofErr w:type="spellEnd"/>
            <w:r w:rsidRPr="009C2665">
              <w:rPr>
                <w:rFonts w:ascii="Arial" w:hAnsi="Arial" w:cs="Arial"/>
              </w:rPr>
              <w:t xml:space="preserve"> period (od </w:t>
            </w:r>
            <w:proofErr w:type="gramStart"/>
            <w:r w:rsidRPr="009C2665">
              <w:rPr>
                <w:rFonts w:ascii="Arial" w:hAnsi="Arial" w:cs="Arial"/>
              </w:rPr>
              <w:t>05.03.2020</w:t>
            </w:r>
            <w:proofErr w:type="gramEnd"/>
            <w:r w:rsidRPr="009C2665">
              <w:rPr>
                <w:rFonts w:ascii="Arial" w:hAnsi="Arial" w:cs="Arial"/>
              </w:rPr>
              <w:t xml:space="preserve"> – do 04.03.2023)</w:t>
            </w:r>
          </w:p>
        </w:tc>
      </w:tr>
      <w:tr w:rsidR="009C2665" w:rsidRPr="009C2665" w14:paraId="49A79B56" w14:textId="77777777" w:rsidTr="006E46F4">
        <w:trPr>
          <w:jc w:val="center"/>
        </w:trPr>
        <w:tc>
          <w:tcPr>
            <w:tcW w:w="635" w:type="dxa"/>
          </w:tcPr>
          <w:p w14:paraId="16DBA105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1349" w:type="dxa"/>
          </w:tcPr>
          <w:p w14:paraId="02BD0893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CPEBP-NGTX</w:t>
            </w:r>
          </w:p>
        </w:tc>
        <w:tc>
          <w:tcPr>
            <w:tcW w:w="5954" w:type="dxa"/>
          </w:tcPr>
          <w:p w14:paraId="28FE9505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C2665">
              <w:rPr>
                <w:rFonts w:ascii="Arial" w:hAnsi="Arial" w:cs="Arial"/>
              </w:rPr>
              <w:t>Security</w:t>
            </w:r>
            <w:proofErr w:type="spellEnd"/>
            <w:r w:rsidRPr="009C2665">
              <w:rPr>
                <w:rFonts w:ascii="Arial" w:hAnsi="Arial" w:cs="Arial"/>
              </w:rPr>
              <w:t xml:space="preserve"> </w:t>
            </w:r>
            <w:proofErr w:type="spellStart"/>
            <w:r w:rsidRPr="009C2665">
              <w:rPr>
                <w:rFonts w:ascii="Arial" w:hAnsi="Arial" w:cs="Arial"/>
              </w:rPr>
              <w:t>Services</w:t>
            </w:r>
            <w:proofErr w:type="spellEnd"/>
            <w:r w:rsidRPr="009C2665">
              <w:rPr>
                <w:rFonts w:ascii="Arial" w:hAnsi="Arial" w:cs="Arial"/>
              </w:rPr>
              <w:t xml:space="preserve"> – </w:t>
            </w:r>
            <w:proofErr w:type="spellStart"/>
            <w:r w:rsidRPr="009C2665">
              <w:rPr>
                <w:rFonts w:ascii="Arial" w:hAnsi="Arial" w:cs="Arial"/>
              </w:rPr>
              <w:t>Enterprise</w:t>
            </w:r>
            <w:proofErr w:type="spellEnd"/>
            <w:r w:rsidRPr="009C2665">
              <w:rPr>
                <w:rFonts w:ascii="Arial" w:hAnsi="Arial" w:cs="Arial"/>
              </w:rPr>
              <w:t xml:space="preserve"> </w:t>
            </w:r>
            <w:proofErr w:type="spellStart"/>
            <w:r w:rsidRPr="009C2665">
              <w:rPr>
                <w:rFonts w:ascii="Arial" w:hAnsi="Arial" w:cs="Arial"/>
              </w:rPr>
              <w:t>Based</w:t>
            </w:r>
            <w:proofErr w:type="spellEnd"/>
            <w:r w:rsidRPr="009C2665">
              <w:rPr>
                <w:rFonts w:ascii="Arial" w:hAnsi="Arial" w:cs="Arial"/>
              </w:rPr>
              <w:t xml:space="preserve"> </w:t>
            </w:r>
            <w:proofErr w:type="spellStart"/>
            <w:r w:rsidRPr="009C2665">
              <w:rPr>
                <w:rFonts w:ascii="Arial" w:hAnsi="Arial" w:cs="Arial"/>
              </w:rPr>
              <w:t>Protection</w:t>
            </w:r>
            <w:proofErr w:type="spellEnd"/>
          </w:p>
        </w:tc>
      </w:tr>
      <w:tr w:rsidR="009C2665" w:rsidRPr="009C2665" w14:paraId="4941CFF0" w14:textId="77777777" w:rsidTr="006E46F4">
        <w:trPr>
          <w:jc w:val="center"/>
        </w:trPr>
        <w:tc>
          <w:tcPr>
            <w:tcW w:w="635" w:type="dxa"/>
          </w:tcPr>
          <w:p w14:paraId="3DFF1DC4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1</w:t>
            </w:r>
          </w:p>
        </w:tc>
        <w:tc>
          <w:tcPr>
            <w:tcW w:w="1349" w:type="dxa"/>
          </w:tcPr>
          <w:p w14:paraId="7F25B4C7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665">
              <w:rPr>
                <w:rFonts w:ascii="Arial" w:hAnsi="Arial" w:cs="Arial"/>
              </w:rPr>
              <w:t>CPSB-EVS-5-3Y</w:t>
            </w:r>
          </w:p>
        </w:tc>
        <w:tc>
          <w:tcPr>
            <w:tcW w:w="5954" w:type="dxa"/>
          </w:tcPr>
          <w:p w14:paraId="6495288F" w14:textId="77777777" w:rsidR="009C2665" w:rsidRPr="009C2665" w:rsidRDefault="009C2665" w:rsidP="009D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C2665">
              <w:rPr>
                <w:rFonts w:ascii="Arial" w:hAnsi="Arial" w:cs="Arial"/>
              </w:rPr>
              <w:t>SmartEvent</w:t>
            </w:r>
            <w:proofErr w:type="spellEnd"/>
            <w:r w:rsidRPr="009C2665">
              <w:rPr>
                <w:rFonts w:ascii="Arial" w:hAnsi="Arial" w:cs="Arial"/>
              </w:rPr>
              <w:t xml:space="preserve"> &amp; </w:t>
            </w:r>
            <w:proofErr w:type="spellStart"/>
            <w:r w:rsidRPr="009C2665">
              <w:rPr>
                <w:rFonts w:ascii="Arial" w:hAnsi="Arial" w:cs="Arial"/>
              </w:rPr>
              <w:t>SmartReporter</w:t>
            </w:r>
            <w:proofErr w:type="spellEnd"/>
          </w:p>
        </w:tc>
      </w:tr>
    </w:tbl>
    <w:p w14:paraId="704706CE" w14:textId="227A66E9" w:rsidR="00590122" w:rsidRPr="009C2665" w:rsidRDefault="00E85B2E" w:rsidP="009C2665">
      <w:pPr>
        <w:pStyle w:val="slovn2rove"/>
        <w:ind w:left="567"/>
        <w:rPr>
          <w:rFonts w:cs="Arial"/>
          <w:sz w:val="20"/>
          <w:szCs w:val="20"/>
        </w:rPr>
      </w:pPr>
      <w:r w:rsidRPr="009C2665">
        <w:rPr>
          <w:rFonts w:cs="Arial"/>
          <w:sz w:val="20"/>
          <w:szCs w:val="20"/>
        </w:rPr>
        <w:t>(dále jen „</w:t>
      </w:r>
      <w:r w:rsidR="009C2665">
        <w:rPr>
          <w:rFonts w:cs="Arial"/>
          <w:sz w:val="20"/>
          <w:szCs w:val="20"/>
        </w:rPr>
        <w:t>Podpora</w:t>
      </w:r>
      <w:r w:rsidRPr="009C2665">
        <w:rPr>
          <w:rFonts w:cs="Arial"/>
          <w:sz w:val="20"/>
          <w:szCs w:val="20"/>
        </w:rPr>
        <w:t>“)</w:t>
      </w:r>
      <w:r w:rsidR="00656D4B" w:rsidRPr="009C2665">
        <w:rPr>
          <w:rFonts w:cs="Arial"/>
          <w:sz w:val="20"/>
          <w:szCs w:val="20"/>
        </w:rPr>
        <w:t>.</w:t>
      </w:r>
      <w:r w:rsidR="001715F9" w:rsidRPr="009C2665">
        <w:rPr>
          <w:rFonts w:cs="Arial"/>
          <w:sz w:val="20"/>
          <w:szCs w:val="20"/>
        </w:rPr>
        <w:t xml:space="preserve"> </w:t>
      </w:r>
    </w:p>
    <w:p w14:paraId="39BB59B2" w14:textId="45112D6F" w:rsidR="00DD3459" w:rsidRPr="001E7107" w:rsidRDefault="0010423E" w:rsidP="001E7107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9C2665">
        <w:rPr>
          <w:rFonts w:cs="Arial"/>
          <w:sz w:val="20"/>
          <w:szCs w:val="20"/>
        </w:rPr>
        <w:t>zajištěnou</w:t>
      </w:r>
      <w:r w:rsidRPr="0010423E">
        <w:rPr>
          <w:rFonts w:cs="Arial"/>
          <w:sz w:val="20"/>
          <w:szCs w:val="20"/>
        </w:rPr>
        <w:t xml:space="preserve"> </w:t>
      </w:r>
      <w:r w:rsidR="009C2665">
        <w:rPr>
          <w:rFonts w:cs="Arial"/>
          <w:sz w:val="20"/>
          <w:szCs w:val="20"/>
        </w:rPr>
        <w:t>Podporu</w:t>
      </w:r>
      <w:r w:rsidRPr="0010423E">
        <w:rPr>
          <w:rFonts w:cs="Arial"/>
          <w:sz w:val="20"/>
          <w:szCs w:val="20"/>
        </w:rPr>
        <w:t xml:space="preserve"> 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>
        <w:rPr>
          <w:rFonts w:cs="Arial"/>
          <w:sz w:val="20"/>
          <w:szCs w:val="20"/>
        </w:rPr>
        <w:t>dodavatele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774B1A69" w14:textId="4C6D700E" w:rsidR="00DD3459" w:rsidRDefault="00DD3459" w:rsidP="00DD3459">
      <w:pPr>
        <w:pStyle w:val="slovn2rove"/>
        <w:ind w:left="705"/>
        <w:rPr>
          <w:rFonts w:cs="Arial"/>
          <w:sz w:val="20"/>
          <w:szCs w:val="20"/>
        </w:rPr>
      </w:pPr>
    </w:p>
    <w:p w14:paraId="5126365C" w14:textId="41314583" w:rsidR="00DD3459" w:rsidRDefault="00E85B2E" w:rsidP="00DD345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2DECFEE6" w14:textId="1428646F" w:rsidR="00580554" w:rsidRPr="00CE76FA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 w:rsidRPr="00CE76FA">
        <w:rPr>
          <w:rFonts w:cs="Arial"/>
          <w:sz w:val="20"/>
          <w:szCs w:val="20"/>
        </w:rPr>
        <w:t xml:space="preserve">Poskytovatel je povinen </w:t>
      </w:r>
      <w:r w:rsidR="009C2665" w:rsidRPr="00CE76FA">
        <w:rPr>
          <w:rFonts w:cs="Arial"/>
          <w:sz w:val="20"/>
          <w:szCs w:val="20"/>
        </w:rPr>
        <w:t>zajistit poskytnutí Podpory</w:t>
      </w:r>
      <w:r w:rsidRPr="00CE76FA">
        <w:rPr>
          <w:rFonts w:cs="Arial"/>
          <w:sz w:val="20"/>
          <w:szCs w:val="20"/>
        </w:rPr>
        <w:t xml:space="preserve"> nejpozději do </w:t>
      </w:r>
      <w:r w:rsidR="009C2665" w:rsidRPr="00CE76FA">
        <w:rPr>
          <w:rFonts w:cs="Arial"/>
          <w:sz w:val="20"/>
          <w:szCs w:val="20"/>
        </w:rPr>
        <w:t>10 dnů od účinnosti smlouvy.</w:t>
      </w:r>
    </w:p>
    <w:p w14:paraId="45B48B8E" w14:textId="76C6E65A" w:rsidR="00580554" w:rsidRDefault="00580554" w:rsidP="00580554">
      <w:pPr>
        <w:pStyle w:val="slovn2rove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Místem plnění je sídlo objednatele.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43A05B6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9C2665">
        <w:rPr>
          <w:rFonts w:cs="Arial"/>
          <w:sz w:val="20"/>
          <w:szCs w:val="20"/>
        </w:rPr>
        <w:t>zajištění Podpory</w:t>
      </w:r>
      <w:r w:rsidRPr="00DD3459">
        <w:rPr>
          <w:rFonts w:cs="Arial"/>
          <w:sz w:val="20"/>
          <w:szCs w:val="20"/>
        </w:rPr>
        <w:t xml:space="preserve"> dle článku čl. </w:t>
      </w:r>
      <w:r w:rsidRPr="00AB2847">
        <w:rPr>
          <w:rFonts w:cs="Arial"/>
          <w:sz w:val="20"/>
          <w:szCs w:val="20"/>
        </w:rPr>
        <w:t>1.1</w:t>
      </w:r>
      <w:r w:rsidRPr="00DD3459">
        <w:rPr>
          <w:rFonts w:cs="Arial"/>
          <w:sz w:val="20"/>
          <w:szCs w:val="20"/>
        </w:rPr>
        <w:t xml:space="preserve"> činí </w:t>
      </w:r>
    </w:p>
    <w:p w14:paraId="6CD3C861" w14:textId="748FC586" w:rsidR="00CD2FF2" w:rsidRPr="00CD2FF2" w:rsidRDefault="00CD2FF2" w:rsidP="00CD2FF2">
      <w:pPr>
        <w:pStyle w:val="slovn2rove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 </w:t>
      </w:r>
      <w:r w:rsidRPr="00CD2FF2">
        <w:rPr>
          <w:rFonts w:cs="Arial"/>
          <w:sz w:val="20"/>
          <w:szCs w:val="20"/>
        </w:rPr>
        <w:t>212 600,00 Kč (slovy: jeden milion dvě stě dvanáct tisíc šest set korun českých) bez DPH</w:t>
      </w:r>
    </w:p>
    <w:p w14:paraId="13BB35A4" w14:textId="77777777" w:rsidR="00CD2FF2" w:rsidRPr="00CD2FF2" w:rsidRDefault="00CD2FF2" w:rsidP="00CD2FF2">
      <w:pPr>
        <w:pStyle w:val="slovn2rove"/>
        <w:ind w:left="567"/>
        <w:rPr>
          <w:rFonts w:cs="Arial"/>
          <w:sz w:val="20"/>
          <w:szCs w:val="20"/>
        </w:rPr>
      </w:pPr>
      <w:r w:rsidRPr="00CD2FF2">
        <w:rPr>
          <w:rFonts w:cs="Arial"/>
          <w:sz w:val="20"/>
          <w:szCs w:val="20"/>
        </w:rPr>
        <w:t>DPH ve výši 21% činí 254 646,00 Kč</w:t>
      </w:r>
    </w:p>
    <w:p w14:paraId="1005868F" w14:textId="77777777" w:rsidR="00CD2FF2" w:rsidRPr="00CD2FF2" w:rsidRDefault="00CD2FF2" w:rsidP="00CD2FF2">
      <w:pPr>
        <w:pStyle w:val="slovn2rove"/>
        <w:ind w:left="567"/>
        <w:rPr>
          <w:rFonts w:cs="Arial"/>
          <w:sz w:val="20"/>
          <w:szCs w:val="20"/>
        </w:rPr>
      </w:pPr>
      <w:r w:rsidRPr="00CD2FF2">
        <w:rPr>
          <w:rFonts w:cs="Arial"/>
          <w:sz w:val="20"/>
          <w:szCs w:val="20"/>
        </w:rPr>
        <w:t>cena včetně DPH činí 1 467 246,00 Kč (slovy: jeden milion čtyři sta šedesát sedm tisíc dvě stě</w:t>
      </w:r>
    </w:p>
    <w:p w14:paraId="42C530BF" w14:textId="77777777" w:rsidR="00CD2FF2" w:rsidRDefault="00CD2FF2" w:rsidP="00CD2FF2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CD2FF2">
        <w:rPr>
          <w:rFonts w:cs="Arial"/>
          <w:sz w:val="20"/>
          <w:szCs w:val="20"/>
        </w:rPr>
        <w:t xml:space="preserve">čtyřicet šest korun českých) </w:t>
      </w:r>
    </w:p>
    <w:p w14:paraId="1EF70419" w14:textId="02278FD3" w:rsidR="00E85B2E" w:rsidRDefault="00E85B2E" w:rsidP="00CD2FF2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„Cena“)</w:t>
      </w:r>
    </w:p>
    <w:p w14:paraId="067E6569" w14:textId="67FB25A6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>poskytnutí Podpory</w:t>
      </w:r>
      <w:r w:rsidRPr="00AB2847">
        <w:rPr>
          <w:rFonts w:cs="Arial"/>
          <w:sz w:val="20"/>
          <w:szCs w:val="20"/>
        </w:rPr>
        <w:t xml:space="preserve"> dle článku I.</w:t>
      </w:r>
      <w:r w:rsidR="00AB2847" w:rsidRPr="00AB2847">
        <w:rPr>
          <w:rFonts w:cs="Arial"/>
          <w:sz w:val="20"/>
          <w:szCs w:val="20"/>
        </w:rPr>
        <w:t xml:space="preserve"> odst. 1.1</w:t>
      </w:r>
      <w:r w:rsidRPr="00AB2847">
        <w:rPr>
          <w:rFonts w:cs="Arial"/>
          <w:sz w:val="20"/>
          <w:szCs w:val="20"/>
        </w:rPr>
        <w:t xml:space="preserve"> smlouvy</w:t>
      </w:r>
      <w:r w:rsidR="00AB2847">
        <w:rPr>
          <w:rFonts w:cs="Arial"/>
          <w:sz w:val="20"/>
          <w:szCs w:val="20"/>
        </w:rPr>
        <w:t>.</w:t>
      </w:r>
      <w:r w:rsidR="00023BCB">
        <w:rPr>
          <w:rFonts w:cs="Arial"/>
          <w:sz w:val="20"/>
          <w:szCs w:val="20"/>
        </w:rPr>
        <w:t xml:space="preserve"> Cena je stanovena jako nejvýše přípustná.</w:t>
      </w:r>
    </w:p>
    <w:p w14:paraId="071CFDC8" w14:textId="77777777" w:rsidR="00AB2847" w:rsidRDefault="00AB2847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Daň z přidané hodnoty bude připočtena k ceně ve výši dle právní úpravy platné ke dni uskutečnění zdanitelného plnění.</w:t>
      </w:r>
    </w:p>
    <w:p w14:paraId="67E6D66A" w14:textId="2218D4B7" w:rsidR="00DD3459" w:rsidRPr="00023BCB" w:rsidRDefault="00DD3459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>Ce</w:t>
      </w:r>
      <w:r w:rsidR="00456CB4">
        <w:rPr>
          <w:rFonts w:cs="Arial"/>
          <w:sz w:val="20"/>
          <w:szCs w:val="20"/>
        </w:rPr>
        <w:t xml:space="preserve">nu za </w:t>
      </w:r>
      <w:r w:rsidR="00737533">
        <w:rPr>
          <w:rFonts w:cs="Arial"/>
          <w:sz w:val="20"/>
          <w:szCs w:val="20"/>
        </w:rPr>
        <w:t>Podporu</w:t>
      </w:r>
      <w:r w:rsidR="00456CB4">
        <w:rPr>
          <w:rFonts w:cs="Arial"/>
          <w:sz w:val="20"/>
          <w:szCs w:val="20"/>
        </w:rPr>
        <w:t xml:space="preserve"> </w:t>
      </w:r>
      <w:r w:rsidR="00E85B2E">
        <w:rPr>
          <w:rFonts w:cs="Arial"/>
          <w:sz w:val="20"/>
          <w:szCs w:val="20"/>
        </w:rPr>
        <w:t>u</w:t>
      </w:r>
      <w:r w:rsidR="00456CB4">
        <w:rPr>
          <w:rFonts w:cs="Arial"/>
          <w:sz w:val="20"/>
          <w:szCs w:val="20"/>
        </w:rPr>
        <w:t xml:space="preserve">hradí objednatel na základě </w:t>
      </w:r>
      <w:r w:rsidR="00AB2847">
        <w:rPr>
          <w:rFonts w:cs="Arial"/>
          <w:sz w:val="20"/>
          <w:szCs w:val="20"/>
        </w:rPr>
        <w:t>faktur</w:t>
      </w:r>
      <w:r w:rsidR="00656D4B">
        <w:rPr>
          <w:rFonts w:cs="Arial"/>
          <w:sz w:val="20"/>
          <w:szCs w:val="20"/>
        </w:rPr>
        <w:t>y</w:t>
      </w:r>
      <w:r w:rsidR="00AB2847">
        <w:rPr>
          <w:rFonts w:cs="Arial"/>
          <w:sz w:val="20"/>
          <w:szCs w:val="20"/>
        </w:rPr>
        <w:t xml:space="preserve"> vystaven</w:t>
      </w:r>
      <w:r w:rsidR="00737533">
        <w:rPr>
          <w:rFonts w:cs="Arial"/>
          <w:sz w:val="20"/>
          <w:szCs w:val="20"/>
        </w:rPr>
        <w:t>é</w:t>
      </w:r>
      <w:r w:rsidR="00AB2847">
        <w:rPr>
          <w:rFonts w:cs="Arial"/>
          <w:sz w:val="20"/>
          <w:szCs w:val="20"/>
        </w:rPr>
        <w:t xml:space="preserve"> poskytovatelem</w:t>
      </w:r>
      <w:r w:rsidR="00E85B2E">
        <w:rPr>
          <w:rFonts w:cs="Arial"/>
          <w:sz w:val="20"/>
          <w:szCs w:val="20"/>
        </w:rPr>
        <w:t xml:space="preserve"> </w:t>
      </w:r>
      <w:r w:rsidR="00737533">
        <w:rPr>
          <w:rFonts w:cs="Arial"/>
          <w:sz w:val="20"/>
          <w:szCs w:val="20"/>
        </w:rPr>
        <w:t>po zajištění Podpory dle čl. 3.1 smlouvy</w:t>
      </w:r>
      <w:r w:rsidR="00AB2847">
        <w:rPr>
          <w:rFonts w:cs="Arial"/>
          <w:sz w:val="20"/>
          <w:szCs w:val="20"/>
        </w:rPr>
        <w:t xml:space="preserve">.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48FACBA7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Pr="00023BCB">
        <w:rPr>
          <w:rFonts w:cs="Arial"/>
          <w:sz w:val="20"/>
          <w:szCs w:val="20"/>
        </w:rPr>
        <w:lastRenderedPageBreak/>
        <w:t>citovaného právního předpisu.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5863A906" w14:textId="02581F7A" w:rsidR="00546999" w:rsidRDefault="00546999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325C9D3B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737533">
        <w:rPr>
          <w:rFonts w:cs="Arial"/>
          <w:sz w:val="20"/>
          <w:szCs w:val="20"/>
        </w:rPr>
        <w:t>Podporu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7E230758" w14:textId="5FDFF155" w:rsidR="00F706D9" w:rsidRDefault="00F706D9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3352B57B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prodlení </w:t>
      </w:r>
      <w:r w:rsidR="00DA3588" w:rsidRPr="00950B1A">
        <w:rPr>
          <w:rFonts w:ascii="Arial" w:hAnsi="Arial" w:cs="Arial"/>
        </w:rPr>
        <w:t>poskytovatele</w:t>
      </w:r>
      <w:r w:rsidRPr="00950B1A">
        <w:rPr>
          <w:rFonts w:ascii="Arial" w:hAnsi="Arial" w:cs="Arial"/>
        </w:rPr>
        <w:t xml:space="preserve"> s plněním předmětu smlouvy dle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>smlouvy, je objednatel vůči němu oprávněn uplatnit smluvní pokutu ve výši 0,1 % z </w:t>
      </w:r>
      <w:r w:rsidR="00737533">
        <w:rPr>
          <w:rFonts w:ascii="Arial" w:hAnsi="Arial" w:cs="Arial"/>
        </w:rPr>
        <w:t>c</w:t>
      </w:r>
      <w:r w:rsidRPr="00950B1A">
        <w:rPr>
          <w:rFonts w:ascii="Arial" w:hAnsi="Arial" w:cs="Arial"/>
        </w:rPr>
        <w:t xml:space="preserve">eny </w:t>
      </w:r>
      <w:r w:rsidR="00DA3588" w:rsidRPr="00950B1A">
        <w:rPr>
          <w:rFonts w:ascii="Arial" w:hAnsi="Arial" w:cs="Arial"/>
        </w:rPr>
        <w:t>dle čl. III. odst. 3.1 smlouvy</w:t>
      </w:r>
      <w:r w:rsidRPr="00950B1A">
        <w:rPr>
          <w:rFonts w:ascii="Arial" w:hAnsi="Arial" w:cs="Arial"/>
        </w:rPr>
        <w:t xml:space="preserve"> včetně DPH, a to za každý i započatý den prodlení</w:t>
      </w:r>
      <w:r w:rsidR="00950B1A">
        <w:rPr>
          <w:rFonts w:ascii="Arial" w:hAnsi="Arial" w:cs="Arial"/>
        </w:rPr>
        <w:t>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6B84D6C7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1D15AF5F" w14:textId="3A245D33" w:rsidR="00F409B3" w:rsidRPr="00596632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 xml:space="preserve">uplatnit smluvní pokutu ve výši 10.000,- Kč za každé porušení. </w:t>
      </w:r>
    </w:p>
    <w:p w14:paraId="63F5A381" w14:textId="77777777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51AC7AE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60F363B4" w14:textId="7444D94A" w:rsidR="009E3771" w:rsidRDefault="009E3771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7EA24442" w:rsidR="009E3771" w:rsidRPr="00254504" w:rsidRDefault="009E3771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Trvání smlouvy</w:t>
      </w:r>
    </w:p>
    <w:p w14:paraId="2D3A30AF" w14:textId="3DC0BBAB" w:rsidR="00F409B3" w:rsidRP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9E3771">
        <w:rPr>
          <w:rFonts w:ascii="Arial" w:hAnsi="Arial" w:cs="Arial"/>
        </w:rPr>
        <w:t xml:space="preserve">Tato smlouva se uzavírá na dobu </w:t>
      </w:r>
      <w:r w:rsidR="00580554">
        <w:rPr>
          <w:rFonts w:ascii="Arial" w:hAnsi="Arial" w:cs="Arial"/>
        </w:rPr>
        <w:t>určitou</w:t>
      </w:r>
      <w:r w:rsidR="00950B1A">
        <w:rPr>
          <w:rFonts w:ascii="Arial" w:hAnsi="Arial" w:cs="Arial"/>
        </w:rPr>
        <w:t xml:space="preserve">, a to </w:t>
      </w:r>
      <w:r w:rsidR="00737533">
        <w:rPr>
          <w:rFonts w:ascii="Arial" w:hAnsi="Arial" w:cs="Arial"/>
        </w:rPr>
        <w:t>do 4. 3. 2023</w:t>
      </w:r>
      <w:r w:rsidR="00950B1A">
        <w:rPr>
          <w:rFonts w:ascii="Arial" w:hAnsi="Arial" w:cs="Arial"/>
        </w:rPr>
        <w:t>.</w:t>
      </w:r>
      <w:r w:rsidR="00580554">
        <w:rPr>
          <w:rFonts w:ascii="Arial" w:hAnsi="Arial" w:cs="Arial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13E1F3DB" w14:textId="1123F28A" w:rsidR="002909DC" w:rsidRPr="00950B1A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737533">
        <w:rPr>
          <w:rFonts w:cs="Arial"/>
          <w:sz w:val="20"/>
          <w:szCs w:val="20"/>
        </w:rPr>
        <w:t>poskytování Podpory</w:t>
      </w:r>
      <w:r w:rsidR="002909DC" w:rsidRPr="00950B1A">
        <w:rPr>
          <w:rFonts w:cs="Arial"/>
          <w:sz w:val="20"/>
          <w:szCs w:val="20"/>
        </w:rPr>
        <w:t>.</w:t>
      </w:r>
    </w:p>
    <w:p w14:paraId="6F668D06" w14:textId="6244FDF2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336BCE">
        <w:rPr>
          <w:rFonts w:ascii="Arial" w:hAnsi="Arial" w:cs="Arial"/>
        </w:rPr>
        <w:t>poskytnutí Podpory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2951CD4D" w14:textId="7713CEC2" w:rsidR="00470039" w:rsidRDefault="00470039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4DEFEBD3" w14:textId="77777777" w:rsidR="00E97616" w:rsidRDefault="00E97616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4454ECFE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Smlouva je vyhotovena ve třech stejnopisech, z nichž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obdrží dva výtisky a </w:t>
      </w:r>
      <w:r w:rsidR="00470039">
        <w:rPr>
          <w:rFonts w:ascii="Arial" w:hAnsi="Arial" w:cs="Arial"/>
        </w:rPr>
        <w:t>poskytovatel</w:t>
      </w:r>
      <w:r w:rsidRPr="0056713C">
        <w:rPr>
          <w:rFonts w:ascii="Arial" w:hAnsi="Arial" w:cs="Arial"/>
        </w:rPr>
        <w:t xml:space="preserve"> jeden výtisk. Každý stejnopis této smlouvy má právní sílu originálu. 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733E6B08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0E4A82">
        <w:rPr>
          <w:rFonts w:ascii="Arial" w:hAnsi="Arial" w:cs="Arial"/>
        </w:rPr>
        <w:t> Karlových Varech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271EA54C" w14:textId="6AA5E214" w:rsidR="002909DC" w:rsidRDefault="002909DC" w:rsidP="002909DC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objednatel</w:t>
      </w:r>
      <w:r w:rsidRPr="000E4CD3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          </w:t>
      </w:r>
      <w:r w:rsidR="00470039">
        <w:rPr>
          <w:rFonts w:ascii="Arial" w:hAnsi="Arial" w:cs="Arial"/>
        </w:rPr>
        <w:t>poskytovatel</w:t>
      </w:r>
    </w:p>
    <w:p w14:paraId="78DF11D2" w14:textId="60BAE1F2" w:rsidR="00845F49" w:rsidRDefault="00845F49" w:rsidP="002909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zastoupený</w:t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  <w:t xml:space="preserve">          </w:t>
      </w:r>
      <w:proofErr w:type="spellStart"/>
      <w:r w:rsidR="000E4A82">
        <w:rPr>
          <w:rFonts w:ascii="Arial" w:hAnsi="Arial" w:cs="Arial"/>
        </w:rPr>
        <w:t>zastoupený</w:t>
      </w:r>
      <w:proofErr w:type="spellEnd"/>
    </w:p>
    <w:p w14:paraId="313B5CA9" w14:textId="6DA76DB2" w:rsidR="00845F49" w:rsidRDefault="00845F49" w:rsidP="002909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Ing. Jiřím </w:t>
      </w:r>
      <w:proofErr w:type="spellStart"/>
      <w:r>
        <w:rPr>
          <w:rFonts w:ascii="Arial" w:hAnsi="Arial" w:cs="Arial"/>
        </w:rPr>
        <w:t>Heliksem</w:t>
      </w:r>
      <w:proofErr w:type="spellEnd"/>
      <w:r>
        <w:rPr>
          <w:rFonts w:ascii="Arial" w:hAnsi="Arial" w:cs="Arial"/>
        </w:rPr>
        <w:t xml:space="preserve">   </w:t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  <w:t xml:space="preserve">       </w:t>
      </w:r>
      <w:r w:rsidR="000E4A82">
        <w:rPr>
          <w:rFonts w:ascii="Arial" w:eastAsiaTheme="minorHAnsi" w:hAnsi="Arial" w:cs="Arial"/>
          <w:lang w:eastAsia="en-US"/>
        </w:rPr>
        <w:t>Janem Zinkem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14:paraId="6946AEA1" w14:textId="5D94E9B9" w:rsidR="00590122" w:rsidRPr="00220283" w:rsidRDefault="00845F49" w:rsidP="00220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vedoucí</w:t>
      </w:r>
      <w:r w:rsidR="000024D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odboru informatiky  </w:t>
      </w:r>
      <w:r w:rsidR="000E4A82">
        <w:rPr>
          <w:rFonts w:ascii="Arial" w:hAnsi="Arial" w:cs="Arial"/>
        </w:rPr>
        <w:tab/>
      </w:r>
      <w:r w:rsidR="000E4A82">
        <w:rPr>
          <w:rFonts w:ascii="Arial" w:hAnsi="Arial" w:cs="Arial"/>
        </w:rPr>
        <w:tab/>
      </w:r>
      <w:r w:rsidR="000E4A82">
        <w:rPr>
          <w:rFonts w:ascii="ArialMT" w:eastAsiaTheme="minorHAnsi" w:hAnsi="ArialMT" w:cs="ArialMT"/>
          <w:lang w:eastAsia="en-US"/>
        </w:rPr>
        <w:t>předsedou představenstva ANECT a.s.</w:t>
      </w:r>
      <w:r>
        <w:rPr>
          <w:rFonts w:ascii="Arial" w:hAnsi="Arial" w:cs="Arial"/>
        </w:rPr>
        <w:t xml:space="preserve">                                               </w:t>
      </w:r>
    </w:p>
    <w:sectPr w:rsidR="00590122" w:rsidRPr="00220283" w:rsidSect="00573C0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C522" w14:textId="77777777" w:rsidR="00573C02" w:rsidRDefault="00573C02" w:rsidP="00573C02">
      <w:r>
        <w:separator/>
      </w:r>
    </w:p>
  </w:endnote>
  <w:endnote w:type="continuationSeparator" w:id="0">
    <w:p w14:paraId="3D114175" w14:textId="77777777" w:rsidR="00573C02" w:rsidRDefault="00573C02" w:rsidP="0057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8359" w14:textId="77777777" w:rsidR="00573C02" w:rsidRDefault="00573C02" w:rsidP="00573C02">
      <w:r>
        <w:separator/>
      </w:r>
    </w:p>
  </w:footnote>
  <w:footnote w:type="continuationSeparator" w:id="0">
    <w:p w14:paraId="2CDCEB21" w14:textId="77777777" w:rsidR="00573C02" w:rsidRDefault="00573C02" w:rsidP="0057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2FFD" w14:textId="224FBCA8" w:rsidR="00573C02" w:rsidRDefault="00573C02">
    <w:pPr>
      <w:pStyle w:val="Zhlav"/>
    </w:pPr>
    <w:r>
      <w:tab/>
    </w:r>
    <w:r>
      <w:tab/>
      <w:t>KK00400/2020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A45D3D"/>
    <w:multiLevelType w:val="multilevel"/>
    <w:tmpl w:val="E0082EC2"/>
    <w:numStyleLink w:val="Styl1"/>
  </w:abstractNum>
  <w:abstractNum w:abstractNumId="6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311EC5"/>
    <w:multiLevelType w:val="multilevel"/>
    <w:tmpl w:val="DA9E98E4"/>
    <w:numStyleLink w:val="Styl3"/>
  </w:abstractNum>
  <w:abstractNum w:abstractNumId="16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17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2"/>
  </w:num>
  <w:num w:numId="16">
    <w:abstractNumId w:val="7"/>
  </w:num>
  <w:num w:numId="17">
    <w:abstractNumId w:val="24"/>
  </w:num>
  <w:num w:numId="18">
    <w:abstractNumId w:val="2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9"/>
  </w:num>
  <w:num w:numId="25">
    <w:abstractNumId w:val="6"/>
  </w:num>
  <w:num w:numId="26">
    <w:abstractNumId w:val="12"/>
  </w:num>
  <w:num w:numId="27">
    <w:abstractNumId w:val="25"/>
  </w:num>
  <w:num w:numId="28">
    <w:abstractNumId w:val="8"/>
  </w:num>
  <w:num w:numId="29">
    <w:abstractNumId w:val="8"/>
  </w:num>
  <w:num w:numId="30">
    <w:abstractNumId w:val="14"/>
  </w:num>
  <w:num w:numId="31">
    <w:abstractNumId w:val="8"/>
  </w:num>
  <w:num w:numId="32">
    <w:abstractNumId w:val="4"/>
  </w:num>
  <w:num w:numId="33">
    <w:abstractNumId w:val="8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D0BF7"/>
    <w:rsid w:val="000E4A82"/>
    <w:rsid w:val="0010423E"/>
    <w:rsid w:val="00120DAB"/>
    <w:rsid w:val="00125BF0"/>
    <w:rsid w:val="00144C86"/>
    <w:rsid w:val="001715F9"/>
    <w:rsid w:val="001E7107"/>
    <w:rsid w:val="00220283"/>
    <w:rsid w:val="002909DC"/>
    <w:rsid w:val="002932A3"/>
    <w:rsid w:val="002E61D9"/>
    <w:rsid w:val="00336BCE"/>
    <w:rsid w:val="00456CB4"/>
    <w:rsid w:val="00470039"/>
    <w:rsid w:val="00546999"/>
    <w:rsid w:val="0055266C"/>
    <w:rsid w:val="00573C02"/>
    <w:rsid w:val="00580554"/>
    <w:rsid w:val="00590122"/>
    <w:rsid w:val="00632078"/>
    <w:rsid w:val="0064119E"/>
    <w:rsid w:val="0064491F"/>
    <w:rsid w:val="00656D4B"/>
    <w:rsid w:val="00676E7E"/>
    <w:rsid w:val="00682DEE"/>
    <w:rsid w:val="006E46F4"/>
    <w:rsid w:val="00737533"/>
    <w:rsid w:val="00760986"/>
    <w:rsid w:val="00767C8D"/>
    <w:rsid w:val="007D012D"/>
    <w:rsid w:val="00845F49"/>
    <w:rsid w:val="00895402"/>
    <w:rsid w:val="008E1094"/>
    <w:rsid w:val="00950B1A"/>
    <w:rsid w:val="00990B27"/>
    <w:rsid w:val="009C2665"/>
    <w:rsid w:val="009E3771"/>
    <w:rsid w:val="00A464B3"/>
    <w:rsid w:val="00A563BB"/>
    <w:rsid w:val="00A57CCA"/>
    <w:rsid w:val="00AB2847"/>
    <w:rsid w:val="00AB41D0"/>
    <w:rsid w:val="00C424D2"/>
    <w:rsid w:val="00C42849"/>
    <w:rsid w:val="00CB16EE"/>
    <w:rsid w:val="00CD2FF2"/>
    <w:rsid w:val="00CE76FA"/>
    <w:rsid w:val="00D43228"/>
    <w:rsid w:val="00DA3588"/>
    <w:rsid w:val="00DC1AB4"/>
    <w:rsid w:val="00DD3459"/>
    <w:rsid w:val="00E85B2E"/>
    <w:rsid w:val="00E97616"/>
    <w:rsid w:val="00EF3F00"/>
    <w:rsid w:val="00F110CA"/>
    <w:rsid w:val="00F268B8"/>
    <w:rsid w:val="00F409B3"/>
    <w:rsid w:val="00F706D9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3C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3C02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3C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C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4FE6-AEC0-4501-963E-CCF7436F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1640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Korandová Michaela</cp:lastModifiedBy>
  <cp:revision>3</cp:revision>
  <cp:lastPrinted>2020-03-24T13:53:00Z</cp:lastPrinted>
  <dcterms:created xsi:type="dcterms:W3CDTF">2020-03-31T10:41:00Z</dcterms:created>
  <dcterms:modified xsi:type="dcterms:W3CDTF">2020-03-31T10:42:00Z</dcterms:modified>
</cp:coreProperties>
</file>