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FB" w:rsidRPr="00577C93" w:rsidRDefault="005765FB" w:rsidP="005765FB">
      <w:pPr>
        <w:pStyle w:val="Bezmezer"/>
        <w:spacing w:line="276" w:lineRule="auto"/>
        <w:jc w:val="center"/>
        <w:rPr>
          <w:rFonts w:cstheme="minorHAnsi"/>
          <w:b/>
          <w:sz w:val="40"/>
          <w:szCs w:val="40"/>
        </w:rPr>
      </w:pPr>
      <w:r w:rsidRPr="00577C93">
        <w:rPr>
          <w:rFonts w:cstheme="minorHAnsi"/>
          <w:b/>
          <w:sz w:val="40"/>
          <w:szCs w:val="40"/>
        </w:rPr>
        <w:t>SMLOUVA O POSKYTOVÁNÍ PODLICENCÍ K ŠÍŘENÍ AUDOOVIZUÁLNÍCH DĚL V KINECH A OBDOBNÝCH ZAŘÍZENÍCH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  <w:b/>
          <w:i/>
        </w:rPr>
      </w:pPr>
      <w:r w:rsidRPr="00612C0C">
        <w:rPr>
          <w:rFonts w:cstheme="minorHAnsi"/>
          <w:b/>
          <w:i/>
        </w:rPr>
        <w:t>DISTRIBUTOR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  <w:b/>
        </w:rPr>
      </w:pPr>
      <w:r w:rsidRPr="00612C0C">
        <w:rPr>
          <w:rFonts w:cstheme="minorHAnsi"/>
          <w:b/>
        </w:rPr>
        <w:t>APK Cinema Service, s.r.o.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Politických vězňů 445/13,  266 01 Beroun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Zastoupený: Přemyslem Šobou, jednatelem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Bankovní spojení: Komerční banka a. s., č.ú. 43-5027350257/0100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IČ</w:t>
      </w:r>
      <w:r>
        <w:rPr>
          <w:rFonts w:cstheme="minorHAnsi"/>
        </w:rPr>
        <w:t>O</w:t>
      </w:r>
      <w:r w:rsidRPr="00612C0C">
        <w:rPr>
          <w:rFonts w:cstheme="minorHAnsi"/>
        </w:rPr>
        <w:t>: 29415233, DIČ: CZ29415233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(dále jen distributor)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a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  <w:b/>
          <w:i/>
        </w:rPr>
      </w:pPr>
      <w:r w:rsidRPr="00612C0C">
        <w:rPr>
          <w:rFonts w:cstheme="minorHAnsi"/>
          <w:b/>
          <w:i/>
        </w:rPr>
        <w:t>PROVOZOVATEL KINA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 xml:space="preserve">Obchodní jméno firmy: 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Kulturní zařízení města Boskovice, příspěvková organizace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 xml:space="preserve">Adresa obchodní firmy: </w:t>
      </w:r>
      <w:r w:rsidRPr="00612C0C">
        <w:rPr>
          <w:rFonts w:cstheme="minorHAnsi"/>
        </w:rPr>
        <w:tab/>
      </w:r>
      <w:r>
        <w:rPr>
          <w:rFonts w:cstheme="minorHAnsi"/>
        </w:rPr>
        <w:t>Kpt. Jaroše 15, 680 01  Boskovice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Zastoupen(a):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PaedDr. Oldřich Kovář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Název kina: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kino Panorama Boskovice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Adresa kina: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Kpt. Jaroše 15, 680 01  Boskovice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Kontaktní pracovník: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 xml:space="preserve"> 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Telefonický kontakt: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 xml:space="preserve"> 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Email: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 xml:space="preserve"> 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IČO: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69648468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DIČ: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CZ69648468</w:t>
      </w: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Bankovní spojení, č.ú.: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>
        <w:rPr>
          <w:rFonts w:cstheme="minorHAnsi"/>
        </w:rPr>
        <w:t>19-4880360247/0100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Plátce DPH*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F728C">
        <w:rPr>
          <w:rFonts w:cstheme="minorHAnsi"/>
          <w:u w:val="single"/>
        </w:rPr>
        <w:t>ANO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NE</w:t>
      </w:r>
      <w:r>
        <w:rPr>
          <w:rFonts w:cstheme="minorHAnsi"/>
        </w:rPr>
        <w:br/>
        <w:t xml:space="preserve">Plátce DPH ze vstupného* </w:t>
      </w:r>
      <w:r>
        <w:rPr>
          <w:rFonts w:cstheme="minorHAnsi"/>
        </w:rPr>
        <w:tab/>
        <w:t xml:space="preserve">ANO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F728C">
        <w:rPr>
          <w:rFonts w:cstheme="minorHAnsi"/>
          <w:u w:val="single"/>
        </w:rPr>
        <w:t>NE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(dále jen provozovatel)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>uzavírají tuto smlouvu: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577C93">
        <w:rPr>
          <w:rFonts w:cstheme="minorHAnsi"/>
          <w:b/>
        </w:rPr>
        <w:t>1.</w:t>
      </w:r>
      <w:r w:rsidRPr="00612C0C">
        <w:rPr>
          <w:rFonts w:cstheme="minorHAnsi"/>
        </w:rPr>
        <w:t xml:space="preserve"> Smluvní strany se zavazují, že budou ve vzájemných vztazích dodržovat kromě ustanovení této smlouvy a příslušných právních předpisů Všeobecnými obchodními podmínkami poskytování podlicencí k veřejnému provozování kinematografických děl ze záznamu v kinech a obdobných zařízeních přijatými dne 23.</w:t>
      </w:r>
      <w:r>
        <w:rPr>
          <w:rFonts w:cstheme="minorHAnsi"/>
        </w:rPr>
        <w:t xml:space="preserve"> </w:t>
      </w:r>
      <w:r w:rsidRPr="00612C0C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612C0C">
        <w:rPr>
          <w:rFonts w:cstheme="minorHAnsi"/>
        </w:rPr>
        <w:t>2012 Asociací provozovatelů kin (APK) a Unií filmových distributorů (UFD) ve znění dodatku č. 2 ze dne 1. července 2013, včetně změn či případných dalších doplňků odsouhlasených APK a UFD.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  <w:b/>
        </w:rPr>
      </w:pPr>
    </w:p>
    <w:p w:rsidR="005765FB" w:rsidRDefault="005765FB" w:rsidP="005765FB">
      <w:pPr>
        <w:jc w:val="both"/>
        <w:rPr>
          <w:bCs/>
          <w:sz w:val="18"/>
          <w:szCs w:val="18"/>
        </w:rPr>
      </w:pPr>
      <w:r>
        <w:rPr>
          <w:rFonts w:cstheme="minorHAnsi"/>
          <w:b/>
        </w:rPr>
        <w:t xml:space="preserve">2. </w:t>
      </w:r>
      <w:r w:rsidRPr="00157F85">
        <w:rPr>
          <w:rFonts w:cstheme="minorHAnsi"/>
        </w:rPr>
        <w:t>Vzhledem k přijetí krizových opatření a vyhlášení nouzového stavu na území České republiky v souvislosti s pandemií coronaviru SARS-CoV-2, jejichž důsledkem bylo povinné uzavření všech kin, schválilo představenstvo APK projekt na záchranu kin „Vaše kino“ na podporu kin prostřednictvím digitální distribuce obsahu k osobnímu užití se zachováním většiny prvků klasické kinodistribuce (dále jen „Projekt“).</w:t>
      </w:r>
      <w:r>
        <w:rPr>
          <w:bCs/>
          <w:sz w:val="18"/>
          <w:szCs w:val="18"/>
        </w:rPr>
        <w:t xml:space="preserve"> 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3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Distributor se zavazuje v souladu se Všeobecnými obchodními podmínkami </w:t>
      </w:r>
      <w:r>
        <w:rPr>
          <w:rFonts w:cstheme="minorHAnsi"/>
        </w:rPr>
        <w:t>provozovateli v rámci Projektu umožnit předvádět (promítat) audiovizuální díla</w:t>
      </w:r>
      <w:r w:rsidRPr="00157F85">
        <w:rPr>
          <w:rFonts w:cstheme="minorHAnsi"/>
        </w:rPr>
        <w:t xml:space="preserve"> v síti Internet přes doménu </w:t>
      </w:r>
      <w:r>
        <w:rPr>
          <w:rFonts w:cstheme="minorHAnsi"/>
        </w:rPr>
        <w:t>vasekino.cz</w:t>
      </w:r>
      <w:r w:rsidRPr="00157F85">
        <w:rPr>
          <w:rFonts w:cstheme="minorHAnsi"/>
        </w:rPr>
        <w:t xml:space="preserve"> formou lineárního streamu, který </w:t>
      </w:r>
      <w:r>
        <w:rPr>
          <w:rFonts w:cstheme="minorHAnsi"/>
        </w:rPr>
        <w:t>bude</w:t>
      </w:r>
      <w:r w:rsidRPr="00157F85">
        <w:rPr>
          <w:rFonts w:cstheme="minorHAnsi"/>
        </w:rPr>
        <w:t xml:space="preserve"> přístupný veřejnosti pouze v časech předem určených</w:t>
      </w:r>
      <w:r>
        <w:rPr>
          <w:rFonts w:cstheme="minorHAnsi"/>
        </w:rPr>
        <w:t xml:space="preserve"> ze strany APK. Za tuto možnost náleží</w:t>
      </w:r>
      <w:r w:rsidRPr="00612C0C">
        <w:rPr>
          <w:rFonts w:cstheme="minorHAnsi"/>
        </w:rPr>
        <w:t xml:space="preserve"> distributorovi </w:t>
      </w:r>
      <w:r>
        <w:rPr>
          <w:rFonts w:cstheme="minorHAnsi"/>
        </w:rPr>
        <w:t>tzv. „půjčovné“</w:t>
      </w:r>
      <w:r w:rsidRPr="00612C0C">
        <w:rPr>
          <w:rFonts w:cstheme="minorHAnsi"/>
        </w:rPr>
        <w:t>. Provozovatel se touto smlouvou zároveň zavazuje, že bude distributorovi hlásit výsledky jeho filmů (počet představení, počet diváků, hrubé tržby) nejpozději do sedmi dnů od uskutečněné projekce.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Veškeré změny týkající se právního subjektu, adresy (sídla) a bankovního spojení je povinna smluvní strana, které se tyto změny týkají, bez zbytečného odkladu oznámit druhé smluvní straně.</w:t>
      </w: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Provozovatel uhradí za jednotlivé tituly dodané dle sestavení programu 50% z</w:t>
      </w:r>
      <w:r>
        <w:rPr>
          <w:rFonts w:cstheme="minorHAnsi"/>
        </w:rPr>
        <w:t xml:space="preserve"> čisté</w:t>
      </w:r>
      <w:r w:rsidRPr="00612C0C">
        <w:rPr>
          <w:rFonts w:cstheme="minorHAnsi"/>
        </w:rPr>
        <w:t> tržby,</w:t>
      </w:r>
      <w:r>
        <w:rPr>
          <w:rFonts w:cstheme="minorHAnsi"/>
        </w:rPr>
        <w:t xml:space="preserve"> jíž se rozumí hrubá (celková) tržba</w:t>
      </w:r>
      <w:r w:rsidRPr="00612C0C">
        <w:rPr>
          <w:rFonts w:cstheme="minorHAnsi"/>
        </w:rPr>
        <w:t xml:space="preserve"> snížen</w:t>
      </w:r>
      <w:r>
        <w:rPr>
          <w:rFonts w:cstheme="minorHAnsi"/>
        </w:rPr>
        <w:t>á</w:t>
      </w:r>
      <w:r w:rsidRPr="00612C0C">
        <w:rPr>
          <w:rFonts w:cstheme="minorHAnsi"/>
        </w:rPr>
        <w:t xml:space="preserve"> o</w:t>
      </w:r>
      <w:r>
        <w:rPr>
          <w:rFonts w:cstheme="minorHAnsi"/>
        </w:rPr>
        <w:t xml:space="preserve"> částku odpovídající zákonné výši poplatku z kinematografického představení dle ust. § 26 zák. č. 496/2012 Sb., o audiovizi,</w:t>
      </w:r>
      <w:r w:rsidRPr="00612C0C">
        <w:rPr>
          <w:rFonts w:cstheme="minorHAnsi"/>
        </w:rPr>
        <w:t xml:space="preserve"> a </w:t>
      </w:r>
      <w:r>
        <w:rPr>
          <w:rFonts w:cstheme="minorHAnsi"/>
        </w:rPr>
        <w:t xml:space="preserve">dále o </w:t>
      </w:r>
      <w:r w:rsidRPr="00612C0C">
        <w:rPr>
          <w:rFonts w:cstheme="minorHAnsi"/>
        </w:rPr>
        <w:t>poplat</w:t>
      </w:r>
      <w:r>
        <w:rPr>
          <w:rFonts w:cstheme="minorHAnsi"/>
        </w:rPr>
        <w:t>e</w:t>
      </w:r>
      <w:r w:rsidRPr="00612C0C">
        <w:rPr>
          <w:rFonts w:cstheme="minorHAnsi"/>
        </w:rPr>
        <w:t xml:space="preserve">k </w:t>
      </w:r>
      <w:r>
        <w:rPr>
          <w:rFonts w:cstheme="minorHAnsi"/>
        </w:rPr>
        <w:t xml:space="preserve">pro </w:t>
      </w:r>
      <w:r w:rsidRPr="00612C0C">
        <w:rPr>
          <w:rFonts w:cstheme="minorHAnsi"/>
        </w:rPr>
        <w:t>OSA, a to na zák</w:t>
      </w:r>
      <w:r>
        <w:rPr>
          <w:rFonts w:cstheme="minorHAnsi"/>
        </w:rPr>
        <w:t>l</w:t>
      </w:r>
      <w:r w:rsidRPr="00612C0C">
        <w:rPr>
          <w:rFonts w:cstheme="minorHAnsi"/>
        </w:rPr>
        <w:t>adě dodané faktury ve lhůtě její splatnosti.</w:t>
      </w:r>
      <w:r>
        <w:rPr>
          <w:rFonts w:cstheme="minorHAnsi"/>
        </w:rPr>
        <w:t xml:space="preserve"> K takto vypočítanému půjčovnému se připočítá DPH v příslušné sazbě. Distributor bere na vědomí, že s ohledem na mimořádné okolnosti a charakter Projektu nebude v tomto případě odváděn Státnímu fondu kinematografie poplatek z kinematografického představení a částku odpovídající tomuto poplatku ve smyslu předcházející věty je provozovatel oprávněn si ponechat. 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6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V případě prodlení se zaplacením částky dle bodu 4. této smlouvy zaplatí provozovatel distributorovi úrok z prodlení ve výši 0,1% dlužné částky za každý den prodlení.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Smlouva se uzavírá na dobu </w:t>
      </w:r>
      <w:r>
        <w:rPr>
          <w:rFonts w:cstheme="minorHAnsi"/>
        </w:rPr>
        <w:t>určitou v délce trvání tří měsíců od data podpisu.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Každá ze smluvních stran je oprávněna od smlouvy odstoupit, jestliže druhá smluvní strana neplní své závazky vyplývající z tohoto </w:t>
      </w:r>
      <w:r>
        <w:rPr>
          <w:rFonts w:cstheme="minorHAnsi"/>
        </w:rPr>
        <w:t>smluvního vztahu řádně a včas. T</w:t>
      </w:r>
      <w:r w:rsidRPr="00612C0C">
        <w:rPr>
          <w:rFonts w:cstheme="minorHAnsi"/>
        </w:rPr>
        <w:t>ímto aktem nezanikají případné pohledávky vůči druhé straně.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V den podepsání této smlouvy oběma stranami ostatní smlouvy o poskytování podlicencí k šíření audiovizuálních děl uzavřené před tímto datem pozbývají platnosti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10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Tato smlouva je vyhotovena ve dvou stejnopisech, z nichž každé straně náleží jeden.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  <w:b/>
        </w:rPr>
        <w:t>11</w:t>
      </w:r>
      <w:r w:rsidRPr="00577C93">
        <w:rPr>
          <w:rFonts w:cstheme="minorHAnsi"/>
          <w:b/>
        </w:rPr>
        <w:t>.</w:t>
      </w:r>
      <w:r w:rsidRPr="00612C0C">
        <w:rPr>
          <w:rFonts w:cstheme="minorHAnsi"/>
        </w:rPr>
        <w:t xml:space="preserve"> Smluvní strany prohlašují, že tato smlouva je výrazem jejich svobodné vůle a vážné vůle, že se seznámily s jejich textem a plně mu porozuměly. Na důkaz toho ji stvrzuji svými podpisy.</w:t>
      </w: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 Boskovicích d</w:t>
      </w:r>
      <w:r w:rsidRPr="00612C0C">
        <w:rPr>
          <w:rFonts w:cstheme="minorHAnsi"/>
        </w:rPr>
        <w:t>ne</w:t>
      </w:r>
      <w:r>
        <w:rPr>
          <w:rFonts w:cstheme="minorHAnsi"/>
        </w:rPr>
        <w:t>27.3.2020</w:t>
      </w: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Default="005765FB" w:rsidP="005765FB">
      <w:pPr>
        <w:pStyle w:val="Bezmezer"/>
        <w:spacing w:line="276" w:lineRule="auto"/>
        <w:jc w:val="both"/>
        <w:rPr>
          <w:rFonts w:cstheme="minorHAnsi"/>
        </w:rPr>
      </w:pPr>
    </w:p>
    <w:p w:rsidR="005765FB" w:rsidRPr="00612C0C" w:rsidRDefault="005765FB" w:rsidP="005765FB">
      <w:pPr>
        <w:pStyle w:val="Bezmezer"/>
        <w:spacing w:line="276" w:lineRule="auto"/>
        <w:jc w:val="both"/>
        <w:rPr>
          <w:rFonts w:cstheme="minorHAnsi"/>
        </w:rPr>
      </w:pPr>
      <w:r w:rsidRPr="00612C0C">
        <w:rPr>
          <w:rFonts w:cstheme="minorHAnsi"/>
        </w:rPr>
        <w:tab/>
        <w:t>…………………………………………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  <w:t>…………………………………………</w:t>
      </w:r>
    </w:p>
    <w:p w:rsidR="005765FB" w:rsidRPr="00157F85" w:rsidRDefault="005765FB" w:rsidP="005765FB">
      <w:pPr>
        <w:ind w:left="708" w:firstLine="708"/>
        <w:jc w:val="both"/>
        <w:rPr>
          <w:rFonts w:cstheme="minorHAnsi"/>
        </w:rPr>
      </w:pPr>
      <w:r w:rsidRPr="00612C0C">
        <w:rPr>
          <w:rFonts w:cstheme="minorHAnsi"/>
        </w:rPr>
        <w:t>Distributor</w:t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</w:r>
      <w:r w:rsidRPr="00612C0C">
        <w:rPr>
          <w:rFonts w:cstheme="minorHAnsi"/>
        </w:rPr>
        <w:tab/>
        <w:t>Provozovatel</w:t>
      </w:r>
    </w:p>
    <w:p w:rsidR="0080365D" w:rsidRDefault="0080365D">
      <w:bookmarkStart w:id="0" w:name="_GoBack"/>
      <w:bookmarkEnd w:id="0"/>
    </w:p>
    <w:sectPr w:rsidR="0080365D" w:rsidSect="00436207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93" w:rsidRDefault="005765FB">
    <w:pPr>
      <w:pStyle w:val="Zhlav"/>
    </w:pPr>
    <w:r>
      <w:rPr>
        <w:noProof/>
        <w:lang w:eastAsia="cs-CZ"/>
      </w:rPr>
      <w:drawing>
        <wp:inline distT="0" distB="0" distL="0" distR="0" wp14:anchorId="58D5C142" wp14:editId="1B63DA5E">
          <wp:extent cx="1394425" cy="30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pk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2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  <w:r>
      <w:t xml:space="preserve">       </w:t>
    </w:r>
    <w:r>
      <w:rPr>
        <w:noProof/>
        <w:lang w:eastAsia="cs-CZ"/>
      </w:rPr>
      <w:drawing>
        <wp:inline distT="0" distB="0" distL="0" distR="0" wp14:anchorId="60BD165F" wp14:editId="51102CA0">
          <wp:extent cx="558800" cy="32448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0504-apk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225" cy="32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7C93" w:rsidRDefault="005765FB">
    <w:pPr>
      <w:pStyle w:val="Zhlav"/>
    </w:pPr>
  </w:p>
  <w:p w:rsidR="00577C93" w:rsidRDefault="005765FB">
    <w:pPr>
      <w:pStyle w:val="Zhlav"/>
    </w:pPr>
  </w:p>
  <w:p w:rsidR="00577C93" w:rsidRDefault="005765FB">
    <w:pPr>
      <w:pStyle w:val="Zhlav"/>
    </w:pPr>
  </w:p>
  <w:p w:rsidR="00577C93" w:rsidRDefault="005765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C8"/>
    <w:rsid w:val="005765FB"/>
    <w:rsid w:val="0080365D"/>
    <w:rsid w:val="00E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65F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5FB"/>
  </w:style>
  <w:style w:type="paragraph" w:styleId="Textbubliny">
    <w:name w:val="Balloon Text"/>
    <w:basedOn w:val="Normln"/>
    <w:link w:val="TextbublinyChar"/>
    <w:uiPriority w:val="99"/>
    <w:semiHidden/>
    <w:unhideWhenUsed/>
    <w:rsid w:val="0057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65F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5FB"/>
  </w:style>
  <w:style w:type="paragraph" w:styleId="Textbubliny">
    <w:name w:val="Balloon Text"/>
    <w:basedOn w:val="Normln"/>
    <w:link w:val="TextbublinyChar"/>
    <w:uiPriority w:val="99"/>
    <w:semiHidden/>
    <w:unhideWhenUsed/>
    <w:rsid w:val="0057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3634</Characters>
  <Application>Microsoft Office Word</Application>
  <DocSecurity>0</DocSecurity>
  <Lines>30</Lines>
  <Paragraphs>8</Paragraphs>
  <ScaleCrop>false</ScaleCrop>
  <Company>Kulturní zařízení města Boskovice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Ježková</dc:creator>
  <cp:keywords/>
  <dc:description/>
  <cp:lastModifiedBy>Helena Ježková</cp:lastModifiedBy>
  <cp:revision>2</cp:revision>
  <dcterms:created xsi:type="dcterms:W3CDTF">2020-03-31T10:10:00Z</dcterms:created>
  <dcterms:modified xsi:type="dcterms:W3CDTF">2020-03-31T10:10:00Z</dcterms:modified>
</cp:coreProperties>
</file>