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tabs>
          <w:tab w:leader="none" w:pos="71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320" w:right="0" w:firstLine="0"/>
      </w:pPr>
      <w:r>
        <w:rPr>
          <w:rStyle w:val="CharStyle7"/>
          <w:i w:val="0"/>
          <w:iCs w:val="0"/>
        </w:rPr>
        <w:t>^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kuss-cce</w:t>
      </w:r>
      <w:r>
        <w:rPr>
          <w:rStyle w:val="CharStyle8"/>
          <w:b w:val="0"/>
          <w:bCs w:val="0"/>
          <w:i/>
          <w:iCs/>
        </w:rPr>
        <w:t>/í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/>
        <w:ind w:left="6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č.29202/2020</w:t>
      </w:r>
      <w:bookmarkEnd w:id="0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571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jejich závazkový vztah ve smyslu § 2586 a následujících zákona č. 89/2012 Sb., Občanského zákoníku</w:t>
      </w:r>
      <w:r>
        <w:rPr>
          <w:rStyle w:val="CharStyle16"/>
          <w:i w:val="0"/>
          <w:iCs w:val="0"/>
        </w:rPr>
        <w:t xml:space="preserve"> v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platném znění (dále jen ,,NOZ‘j se řídí tímto zákonem.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7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strany: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20"/>
          <w:b/>
          <w:bCs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INEX Moravské Budějovice, s.r.o.</w:t>
      </w:r>
    </w:p>
    <w:p>
      <w:pPr>
        <w:pStyle w:val="Style3"/>
        <w:tabs>
          <w:tab w:leader="none" w:pos="358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00" w:right="35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Husova 890, 676 02 Moravské Budějovice Zastoupena : I </w:t>
      </w:r>
      <w:r>
        <w:rPr>
          <w:lang w:val="cs-CZ" w:eastAsia="cs-CZ" w:bidi="cs-CZ"/>
          <w:vertAlign w:val="subscript"/>
          <w:sz w:val="24"/>
          <w:szCs w:val="24"/>
          <w:w w:val="100"/>
          <w:spacing w:val="0"/>
          <w:color w:val="000000"/>
          <w:position w:val="0"/>
        </w:rPr>
        <w:t>w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ab/>
        <w:t>-jednatel společnosti</w:t>
      </w:r>
    </w:p>
    <w:p>
      <w:pPr>
        <w:pStyle w:val="Style3"/>
        <w:tabs>
          <w:tab w:leader="none" w:pos="3738" w:val="left"/>
          <w:tab w:leader="none" w:pos="50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zapsán v obchodním rejstříku vedeném u Krajského soudu v Brně, oddíl C, vložka 10783 Jednající ve věcech smluvních : ~</w:t>
        <w:tab/>
        <w:t>~</w:t>
        <w:tab/>
        <w:t>' natel společnosti</w:t>
      </w:r>
    </w:p>
    <w:p>
      <w:pPr>
        <w:pStyle w:val="Style3"/>
        <w:tabs>
          <w:tab w:leader="none" w:pos="3589" w:val="left"/>
          <w:tab w:leader="none" w:pos="53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Jednající ve věcech technických</w:t>
        <w:tab/>
      </w:r>
      <w:r>
        <w:rPr>
          <w:lang w:val="cs-CZ" w:eastAsia="cs-CZ" w:bidi="cs-CZ"/>
          <w:vertAlign w:val="subscript"/>
          <w:sz w:val="24"/>
          <w:szCs w:val="24"/>
          <w:w w:val="100"/>
          <w:spacing w:val="0"/>
          <w:color w:val="000000"/>
          <w:position w:val="0"/>
        </w:rPr>
        <w:t>w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ab/>
        <w:t>- stavbyvedoucí</w:t>
      </w:r>
    </w:p>
    <w:p>
      <w:pPr>
        <w:pStyle w:val="Style3"/>
        <w:tabs>
          <w:tab w:leader="underscore" w:pos="2773" w:val="left"/>
          <w:tab w:leader="underscore" w:pos="35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</w:t>
        <w:tab/>
        <w:t>,</w:t>
        <w:tab/>
        <w:t>,</w:t>
      </w:r>
    </w:p>
    <w:p>
      <w:pPr>
        <w:pStyle w:val="Style3"/>
        <w:tabs>
          <w:tab w:leader="none" w:pos="42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 : 48531235</w:t>
        <w:tab/>
        <w:t>DIČ : CZ48531235</w:t>
      </w:r>
    </w:p>
    <w:p>
      <w:pPr>
        <w:pStyle w:val="Style3"/>
        <w:tabs>
          <w:tab w:leader="none" w:pos="4285" w:val="left"/>
          <w:tab w:leader="none" w:pos="48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Tel: 5"</w:t>
        <w:tab/>
        <w:t>"</w:t>
        <w:tab/>
        <w:t>" @inexmb.cz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1051" w:line="240" w:lineRule="exact"/>
        <w:ind w:left="0" w:right="0" w:firstLine="0"/>
      </w:pPr>
      <w:r>
        <w:rPr>
          <w:rStyle w:val="CharStyle23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„objednatel“,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/>
        <w:ind w:left="200" w:right="480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organizace,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</w:t>
      </w:r>
    </w:p>
    <w:p>
      <w:pPr>
        <w:pStyle w:val="Style3"/>
        <w:tabs>
          <w:tab w:leader="none" w:pos="3056" w:val="left"/>
          <w:tab w:leader="none" w:pos="42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00" w:right="11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statutárním zástupcem: Ing. Radovanem Necidem - ředitel organizace Jednající ve věci: I ~ ”</w:t>
        <w:tab/>
        <w:t>~ '"</w:t>
        <w:tab/>
        <w:t>- výrobní náměstek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Jihlava,</w:t>
      </w:r>
    </w:p>
    <w:p>
      <w:pPr>
        <w:pStyle w:val="Style3"/>
        <w:tabs>
          <w:tab w:leader="none" w:pos="30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</w:r>
    </w:p>
    <w:p>
      <w:pPr>
        <w:pStyle w:val="Style3"/>
        <w:tabs>
          <w:tab w:leader="none" w:pos="2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  <w:tab/>
        <w:t>.cz</w:t>
      </w:r>
    </w:p>
    <w:p>
      <w:pPr>
        <w:pStyle w:val="Style3"/>
        <w:tabs>
          <w:tab w:leader="none" w:pos="3056" w:val="left"/>
          <w:tab w:leader="none" w:pos="45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 _</w:t>
        <w:tab/>
        <w:t>Fax: 5</w:t>
        <w:tab/>
        <w:t>9</w:t>
      </w:r>
    </w:p>
    <w:p>
      <w:pPr>
        <w:pStyle w:val="Style3"/>
        <w:tabs>
          <w:tab w:leader="none" w:pos="75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Zástupce oprávněný jednat ve věcech technických :</w:t>
        <w:tab/>
        <w:t>- VVO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7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 Jihlava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293" w:line="240" w:lineRule="exact"/>
        <w:ind w:left="0" w:right="0" w:firstLine="0"/>
      </w:pPr>
      <w:r>
        <w:rPr>
          <w:rStyle w:val="CharStyle23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„zhotovitel“,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3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na základě vzájemné shody tuto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21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Smlouvu o dílo</w:t>
      </w:r>
      <w:bookmarkEnd w:id="3"/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6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I.</w:t>
      </w:r>
      <w:bookmarkEnd w:id="4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67" w:line="240" w:lineRule="exact"/>
        <w:ind w:left="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smlouvy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Předmětem této smlouvy je zhotovení asfaltových ploch v místech výkopů provedených f. INEX v areálu KSÚSV Jihlava, Kosovská 16 (dále jen díla).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Specifikace díla:</w:t>
      </w:r>
    </w:p>
    <w:p>
      <w:pPr>
        <w:pStyle w:val="Style3"/>
        <w:numPr>
          <w:ilvl w:val="0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780" w:right="60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Jedná se o provedení podkladních asfaltových vrstev ACP 16, asfaltových vrstev ložních ACL 16 a asfaltový beton ACO 11 vrstva obrusná včetně postřiku infiltračního a spojovacího z asfaltu silničního.</w:t>
      </w:r>
    </w:p>
    <w:p>
      <w:pPr>
        <w:pStyle w:val="Style3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30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Nedílnou součástí této smlouvy je odsouhlasený položkový rozpočet.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15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</w:p>
    <w:p>
      <w:pPr>
        <w:pStyle w:val="Style3"/>
        <w:numPr>
          <w:ilvl w:val="0"/>
          <w:numId w:val="3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67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na základě této smlouvy provést dílo v době : předpoklad zahájení stavebních prací - 04/2020. Ukončení díla : 04/2020.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III.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dílo</w:t>
      </w:r>
    </w:p>
    <w:p>
      <w:pPr>
        <w:pStyle w:val="Style3"/>
        <w:numPr>
          <w:ilvl w:val="0"/>
          <w:numId w:val="5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provedení díla v rozsahu této smlouvy činní:</w:t>
      </w:r>
    </w:p>
    <w:p>
      <w:pPr>
        <w:pStyle w:val="Style3"/>
        <w:tabs>
          <w:tab w:leader="none" w:pos="37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bez DPH :</w:t>
        <w:tab/>
        <w:t>766 846,82 Kč</w:t>
      </w:r>
    </w:p>
    <w:p>
      <w:pPr>
        <w:pStyle w:val="Style3"/>
        <w:tabs>
          <w:tab w:leader="none" w:pos="37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21%:</w:t>
        <w:tab/>
        <w:t>161 037,83 Kč</w:t>
      </w:r>
    </w:p>
    <w:p>
      <w:pPr>
        <w:pStyle w:val="Style3"/>
        <w:tabs>
          <w:tab w:leader="none" w:pos="37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celkem :</w:t>
        <w:tab/>
        <w:t>927 884,65 Kč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IV.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15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Platební podmínky</w:t>
      </w:r>
    </w:p>
    <w:p>
      <w:pPr>
        <w:pStyle w:val="Style3"/>
        <w:numPr>
          <w:ilvl w:val="0"/>
          <w:numId w:val="7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doručení faktury objednateli.</w:t>
      </w:r>
    </w:p>
    <w:p>
      <w:pPr>
        <w:pStyle w:val="Style3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Veškeré náklady, které vzniknou zhotoviteli nad rámec této smlouvy je zhotovitel povinen předem oznámit objednateli.</w:t>
      </w:r>
    </w:p>
    <w:p>
      <w:pPr>
        <w:pStyle w:val="Style3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Za nesplnění termínu plnění dle čl. II zaplatí zhotovitel objednateli smluvní pokutu ve výši 0,2 </w:t>
      </w:r>
      <w:r>
        <w:rPr>
          <w:rStyle w:val="CharStyle28"/>
        </w:rPr>
        <w:t>%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z celkové ceny díla za každý i započatý den prodlení. Smluvní pokutu zaplatí zhotovitel na účet objednatele do 10 dnů ode dne uplatnění.</w:t>
      </w:r>
    </w:p>
    <w:p>
      <w:pPr>
        <w:pStyle w:val="Style3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  <w:r>
        <w:br w:type="page"/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V.</w:t>
      </w:r>
      <w:bookmarkEnd w:id="5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</w:t>
      </w:r>
    </w:p>
    <w:p>
      <w:pPr>
        <w:pStyle w:val="Style3"/>
        <w:numPr>
          <w:ilvl w:val="0"/>
          <w:numId w:val="9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předmět této smlouvy poskytuje zhotovitel objednateli záruční dobu v délce 24 měsíců.</w:t>
      </w:r>
    </w:p>
    <w:p>
      <w:pPr>
        <w:pStyle w:val="Style3"/>
        <w:numPr>
          <w:ilvl w:val="0"/>
          <w:numId w:val="9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1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 začíná běžet dnem podpisu záznamu o splnění, předání a převzetí díla.</w:t>
      </w:r>
    </w:p>
    <w:p>
      <w:pPr>
        <w:pStyle w:val="Style3"/>
        <w:numPr>
          <w:ilvl w:val="0"/>
          <w:numId w:val="9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VI.</w:t>
      </w:r>
      <w:bookmarkEnd w:id="6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Součinnost</w:t>
      </w:r>
    </w:p>
    <w:p>
      <w:pPr>
        <w:pStyle w:val="Style3"/>
        <w:numPr>
          <w:ilvl w:val="0"/>
          <w:numId w:val="11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 splnění předmětu této smlouvy poskytne objednatel zhotoviteli nezbytnou součinnost v tomto rozsahu: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době provádění díla zajistí objednatel vyloučení veškeré dopravy na těchto opravovaných plochách..</w:t>
      </w:r>
    </w:p>
    <w:p>
      <w:pPr>
        <w:pStyle w:val="Style3"/>
        <w:numPr>
          <w:ilvl w:val="0"/>
          <w:numId w:val="11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7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VII.</w:t>
      </w:r>
      <w:bookmarkEnd w:id="7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Platnost smlouvy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14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Tato smlouva nabývá platnosti dnem podpisu a účinnosti dnem zveřejnění v informačním systému veřejné správy - Registru smluv.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2. Smluvní strany výslovně souhlasí se zveřejněním celého textu smlouvy včetně podpisů s tím, že zákonnou povinnost dle § 5 zákona ě.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VIII.</w:t>
      </w:r>
      <w:bookmarkEnd w:id="8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1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</w:p>
    <w:p>
      <w:pPr>
        <w:pStyle w:val="Style3"/>
        <w:numPr>
          <w:ilvl w:val="0"/>
          <w:numId w:val="13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3"/>
        <w:numPr>
          <w:ilvl w:val="0"/>
          <w:numId w:val="13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27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Změny a doplnění této smlouvy jsou možné pouze písemnými číslovanými dodatky na základě vzájemné dohody obou smluvních stran.</w:t>
      </w:r>
    </w:p>
    <w:p>
      <w:pPr>
        <w:pStyle w:val="Style3"/>
        <w:numPr>
          <w:ilvl w:val="0"/>
          <w:numId w:val="13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2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3"/>
        <w:numPr>
          <w:ilvl w:val="0"/>
          <w:numId w:val="13"/>
        </w:numPr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27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3"/>
        <w:tabs>
          <w:tab w:leader="none" w:pos="49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 Moravských Budějovicích : </w:t>
      </w:r>
      <w:r>
        <w:rPr>
          <w:rStyle w:val="CharStyle31"/>
        </w:rPr>
        <w:t>3o. Z.</w:t>
      </w:r>
      <w:r>
        <w:rPr>
          <w:rStyle w:val="CharStyle32"/>
        </w:rPr>
        <w:t xml:space="preserve"> 2©2 o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 Jihlavě : </w:t>
      </w:r>
      <w:r>
        <w:rPr>
          <w:rStyle w:val="CharStyle33"/>
        </w:rPr>
        <w:t xml:space="preserve">2£ . 3.2o </w:t>
      </w:r>
      <w:r>
        <w:rPr>
          <w:rStyle w:val="CharStyle32"/>
        </w:rPr>
        <w:t>2^</w:t>
      </w:r>
    </w:p>
    <w:p>
      <w:pPr>
        <w:pStyle w:val="Style3"/>
        <w:tabs>
          <w:tab w:leader="none" w:pos="49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  <w:tab/>
        <w:t>Zhotovitel: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40" w:right="0" w:firstLine="0"/>
        <w:sectPr>
          <w:footerReference w:type="even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293" w:left="1376" w:right="1380" w:bottom="1964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88.9pt;margin-top:-5.5pt;width:97.7pt;height:15.6pt;z-index:-125829376;mso-wrap-distance-left:5.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jednatel společnosti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:e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</w:pPr>
      <w:r>
        <w:rPr>
          <w:rStyle w:val="CharStyle36"/>
          <w:b/>
          <w:bCs/>
        </w:rPr>
        <w:t>KSÚSV Jihlava - asfaltové plochy</w:t>
      </w:r>
    </w:p>
    <w:tbl>
      <w:tblPr>
        <w:tblOverlap w:val="never"/>
        <w:tblLayout w:type="fixed"/>
        <w:jc w:val="center"/>
      </w:tblPr>
      <w:tblGrid>
        <w:gridCol w:w="610"/>
        <w:gridCol w:w="528"/>
        <w:gridCol w:w="1070"/>
        <w:gridCol w:w="7133"/>
        <w:gridCol w:w="466"/>
        <w:gridCol w:w="816"/>
        <w:gridCol w:w="970"/>
        <w:gridCol w:w="1469"/>
      </w:tblGrid>
      <w:tr>
        <w:trPr>
          <w:trHeight w:val="45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PČ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0" w:firstLine="0"/>
            </w:pPr>
            <w:r>
              <w:rPr>
                <w:rStyle w:val="CharStyle37"/>
              </w:rPr>
              <w:t>Typ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Kód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J.cena [CZI&lt;1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Cena celkem [CZK]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OBJEKT PŘÍSTAVBY A NÁSTAVBY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75 028,56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565165112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podkladní ACP 16 (obalované kamenivo střednězmné - OKS) s rozprostřením a zhutněním v pruhu šířky do 3 m, po zhutnění tl. 90 mm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722,00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35 637,92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šd1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46,120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2,4*0,45*3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3,240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kom1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Součet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49,360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573111115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Infiltrační Pl z asfaltu silničního s posypem kamenivem, v množství 2,50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49,360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43,00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2 122,48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korní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40"/>
                <w:b w:val="0"/>
                <w:bCs w:val="0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573211111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spojovací PS bez posypu kamenivem z asfaltu silničního, v množství 0,60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1 382,08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korní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577134121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obrusná ACO 11 (ABS) s rozprostřením a se zhutněním z nemodifikovaného asfaltu v pruhu šířky přes 3 m tř. 1, po zhutnění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13 820,80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korní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49,360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577155112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ložní ACL16 (ABH) s rozprostřením a zhutněním z nemodifikovaného asfaltu v pruhu šířky do 3 m, po zhutnění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49,360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398,00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19 645,28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38"/>
              </w:rPr>
              <w:t>148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R520001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výpň spáry v komunikaci trvale pružným tmelem D+M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2 420,00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  <w:b w:val="0"/>
                <w:bCs w:val="0"/>
              </w:rPr>
              <w:t>řeži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22,000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PARKOVIŠTĚ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403 750,14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8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40"/>
                <w:b w:val="0"/>
                <w:bCs w:val="0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565165112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podkladní ACP 16 (obalované kamenivo střednězmné - OKS) s rozprostřením a zhutněním v pruhu šířky do 3 m, po zhutnění tl. 90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295,710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165 597,60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295,710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62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40"/>
                <w:b w:val="0"/>
                <w:bCs w:val="0"/>
              </w:rPr>
              <w:t>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573111115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infiltrační Pl z asfaltu silničního s posypem kamenivem, v množství 2,50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295,710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43,00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12 715,53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295,710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573211111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spojovací PS bez posypu kamenivem z asfaltu silničního, v množství 0,60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295,710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8 279,88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295,710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577134121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obrusná ACO 11 (ABS) s rozprostřením a se zhutněním z nemodifikovaného asfaltu v pruhu šířky přes 3 m tř. 1, po zhutnění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295,710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82 798,80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295,710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8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577155112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38"/>
              </w:rPr>
              <w:t>Asfaltový beton vrstva ložní ACL 16 (ABH) s rozprostřením a zhutněním z nemodifikovaného asfaltu v pruhu šířky do 3 m, po zhutnění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295,710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398,00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117 692,58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8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R520001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výpň spáry v komunikaci trvale pružným tmelem D+M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123,450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135,00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16 665,75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0"/>
                <w:b w:val="0"/>
                <w:bCs w:val="0"/>
              </w:rPr>
              <w:t>řez1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123,450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INŽENÝRSKÉ SÍTĚ - VODOVOD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7"/>
              </w:rPr>
              <w:t>184 015,70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565165112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38"/>
              </w:rPr>
              <w:t>Asfaltový beton vrstva podkladní ACP 16 (obalované kamenivo střednězmné - OKS) s rozprostřením a zhutněním v pruhu šířky do 3 m, po zhutnění tl. 90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126,300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70 728,00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bšd11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126,300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573111115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infiltrační Pl z asfaltu silničního s posypem kamenivem, v množství 2,50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126,300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43,00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5 430,90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bŠd11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126,300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8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38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573211111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Postřik spojovací PS bez posypu kamenivem z asfaltu silničního, v množství 0,60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126,300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30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8"/>
              </w:rPr>
              <w:t>3 536,40</w:t>
            </w:r>
          </w:p>
        </w:tc>
      </w:tr>
    </w:tbl>
    <w:p>
      <w:pPr>
        <w:framePr w:w="130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even" r:id="rId8"/>
          <w:footerReference w:type="default" r:id="rId9"/>
          <w:footerReference w:type="first" r:id="rId10"/>
          <w:pgSz w:w="16840" w:h="11900" w:orient="landscape"/>
          <w:pgMar w:top="206" w:left="1918" w:right="1861" w:bottom="952" w:header="0" w:footer="3" w:gutter="0"/>
          <w:rtlGutter w:val="0"/>
          <w:cols w:space="720"/>
          <w:pgNumType w:start="5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605"/>
        <w:gridCol w:w="528"/>
        <w:gridCol w:w="1075"/>
        <w:gridCol w:w="7123"/>
        <w:gridCol w:w="470"/>
        <w:gridCol w:w="811"/>
        <w:gridCol w:w="965"/>
        <w:gridCol w:w="1459"/>
      </w:tblGrid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126,300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43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577134121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obrusná ACO 11 (ABS) s rozprostřením a se zhutněním z nemodifikovaného asfaltu v pruhu šířky přes 3 m tř. 1, po zhutnění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126,300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35 364,00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126,300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43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577155112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ložní ACL 16 (ABH) s rozprostřením a zhutněním z nemodifikovaného asfaltu v pruhu šířky do 3 m, po zhutnění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126,300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398,00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50 267,40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R520001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výpň spáry v komunikaci trvale pružným tmelem D+M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169,900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18 689,00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řez1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169,900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4"/>
                <w:b w:val="0"/>
                <w:bCs w:val="0"/>
              </w:rPr>
              <w:t>INŽENÝRSKÉ SÍTĚ - SPLAŠKOVÁ KANALIZACE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4"/>
                <w:b w:val="0"/>
                <w:bCs w:val="0"/>
              </w:rPr>
              <w:t>37 235,55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565165112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podkladní ACP 16 (obalované kamenivo střednězrnné - OKS) s rozprostřením a zhutněním v pruhu šířky do 3 m, po zhutnění tl. 90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14 252,00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25,450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573111115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Postřik infiltrační Pl z asfaltu silničního s posypem kamenivem, v množství 2,50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43,00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1 094,35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25,450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573211111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Postřik spojovací PS bez posypu kamenivem z asfaltu silničního, v množství 0,60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712,60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bšd2l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25,450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577134121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obrusná ACO 11 (ABS) s rozprostřením a se zhutněním z nemodifikovaného asfaltu v pruhu šířky přes 3 m tř. 1, po zhutnění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7 126,00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25,450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577155112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43"/>
              </w:rPr>
              <w:t>Asfaltový beton vrstva ložní ACL 16 (ABH) s rozprostřením a zhutněním z nemodifikovaného asfaltu v pruhu šířky do 3 m, po zhutnění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25,450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398,00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10 129,10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R520001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výpň spáry v komunikaci trvale pružným tmelem D+M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35,650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3 921,50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řez2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35,650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4"/>
                <w:b w:val="0"/>
                <w:bCs w:val="0"/>
              </w:rPr>
              <w:t>INŽENÝRSKÉ SÍTĚ - DEŠŤOVÁ KANALIZACE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4"/>
                <w:b w:val="0"/>
                <w:bCs w:val="0"/>
              </w:rPr>
              <w:t>66 816,87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565165112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podkladní ACP 16 (obalované kamenivo střednězrnné - OKS) s rozprostřením a zhutněním v pruhu šířky do 3 m, po zhutnění tl. 90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45,719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25 602,64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45,719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573111115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Postřik Infiltrační Pl z asfaltu silničního s posypem kamenivem, v množství 2,50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45,719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43,00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1 965,92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45,719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42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573211111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Postřik spojovací PS bez posypu kamenivem z asfaltu silničního, v množství 0,60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45,719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1 280,13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45,719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577134121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43"/>
              </w:rPr>
              <w:t>Asfaltový beton vrstva obrusná ACO 11 (ABS) s rozprostřením a se zhutněním z nemodifikovaného asfaltu v pruhu šířky přes 3 m tř. 1, po zhutnění tl. 40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45,719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12 801,32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bšd3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45,719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577155112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43"/>
              </w:rPr>
              <w:t>Asfaltový beton vrstva ložní ACL 16 (ABH) s rozprostřením a zhutněním z nemodifikovaného asfaltu v pruhu šířky do 3 m, po zhutnění tl. 60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45,719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398,00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18 196,16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43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R520001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výpň spáry v komunikaci trvale pružným tmelem D+M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63,370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6 970,70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1"/>
                <w:b w:val="0"/>
                <w:bCs w:val="0"/>
              </w:rPr>
              <w:t>VV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řez3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30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63,370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30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03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even" r:id="rId11"/>
      <w:footerReference w:type="default" r:id="rId12"/>
      <w:pgSz w:w="16840" w:h="11900" w:orient="landscape"/>
      <w:pgMar w:top="206" w:left="1918" w:right="1861" w:bottom="952" w:header="0" w:footer="3" w:gutter="0"/>
      <w:rtlGutter w:val="0"/>
      <w:cols w:space="720"/>
      <w:pgNumType w:start="5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7pt;margin-top:752.8pt;width:10.55pt;height:8.4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  <w:b/>
                    <w:bCs/>
                  </w:rPr>
                  <w:t>.</w:t>
                </w:r>
                <w:r>
                  <w:rPr>
                    <w:rStyle w:val="CharStyle27"/>
                    <w:b w:val="0"/>
                    <w:bCs w:val="0"/>
                  </w:rPr>
                  <w:t>2</w:t>
                </w:r>
                <w:r>
                  <w:rPr>
                    <w:rStyle w:val="CharStyle26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92.1pt;margin-top:748.3pt;width:10.1pt;height:8.4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  <w:b w:val="0"/>
                    <w:bCs w:val="0"/>
                  </w:rPr>
                  <w:t>.</w:t>
                </w:r>
                <w:r>
                  <w:rPr>
                    <w:rStyle w:val="CharStyle30"/>
                    <w:b w:val="0"/>
                    <w:bCs w:val="0"/>
                  </w:rPr>
                  <w:t>3</w:t>
                </w:r>
                <w:r>
                  <w:rPr>
                    <w:rStyle w:val="CharStyle29"/>
                    <w:b w:val="0"/>
                    <w:bCs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91.05pt;margin-top:758.65pt;width:10.1pt;height:8.4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.1.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99.4pt;margin-top:548.95pt;width:646.3pt;height:10.3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5064" w:val="right"/>
                    <w:tab w:leader="none" w:pos="1292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CELKEM ZA STAVBU BEZ DPH</w:t>
                  <w:tab/>
                </w:r>
                <w:r>
                  <w:rPr>
                    <w:rStyle w:val="CharStyle45"/>
                    <w:b/>
                    <w:bCs/>
                  </w:rPr>
                  <w:t>_</w:t>
                  <w:tab/>
                </w:r>
                <w:r>
                  <w:rPr>
                    <w:rStyle w:val="CharStyle11"/>
                    <w:b/>
                    <w:bCs/>
                  </w:rPr>
                  <w:t>766 846,82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99.4pt;margin-top:548.95pt;width:646.3pt;height:10.3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5064" w:val="right"/>
                    <w:tab w:leader="none" w:pos="1292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CELKEM ZA STAVBU BEZ DPH</w:t>
                  <w:tab/>
                </w:r>
                <w:r>
                  <w:rPr>
                    <w:rStyle w:val="CharStyle45"/>
                    <w:b/>
                    <w:bCs/>
                  </w:rPr>
                  <w:t>_</w:t>
                  <w:tab/>
                </w:r>
                <w:r>
                  <w:rPr>
                    <w:rStyle w:val="CharStyle11"/>
                    <w:b/>
                    <w:bCs/>
                  </w:rPr>
                  <w:t>766 846,82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Základní text (14)_"/>
    <w:basedOn w:val="DefaultParagraphFont"/>
    <w:link w:val="Style5"/>
    <w:rPr>
      <w:b w:val="0"/>
      <w:bCs w:val="0"/>
      <w:i/>
      <w:iCs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7">
    <w:name w:val="Základní text (14) + Tahoma,16 pt,Ne kurzíva"/>
    <w:basedOn w:val="CharStyle6"/>
    <w:rPr>
      <w:lang w:val="cs-CZ" w:eastAsia="cs-CZ" w:bidi="cs-CZ"/>
      <w:b/>
      <w:bCs/>
      <w:i/>
      <w:iCs/>
      <w:sz w:val="32"/>
      <w:szCs w:val="3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8">
    <w:name w:val="Základní text (14) + Malá písmena"/>
    <w:basedOn w:val="CharStyle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0">
    <w:name w:val="Záhlaví nebo Zápatí_"/>
    <w:basedOn w:val="DefaultParagraphFont"/>
    <w:link w:val="Style9"/>
    <w:rPr>
      <w:b/>
      <w:bCs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character" w:customStyle="1" w:styleId="CharStyle11">
    <w:name w:val="Záhlaví nebo Zápatí"/>
    <w:basedOn w:val="CharStyle10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13">
    <w:name w:val="Nadpis #1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3) + Ne kurzíva"/>
    <w:basedOn w:val="CharStyle15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Nadpis #2 (2)_"/>
    <w:basedOn w:val="DefaultParagraphFont"/>
    <w:link w:val="Style18"/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20">
    <w:name w:val="Nadpis #2 (2) + Times New Roman,12 pt"/>
    <w:basedOn w:val="CharStyle19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Základní text (4)_"/>
    <w:basedOn w:val="DefaultParagraphFont"/>
    <w:link w:val="Style2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Základní text (4) + Ne tučné"/>
    <w:basedOn w:val="CharStyle22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Nadpis #3_"/>
    <w:basedOn w:val="DefaultParagraphFont"/>
    <w:link w:val="Style2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6">
    <w:name w:val="Záhlaví nebo Zápatí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7">
    <w:name w:val="Záhlaví nebo Zápatí + Times New Roman,11 pt,Ne tučné"/>
    <w:basedOn w:val="CharStyle10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8">
    <w:name w:val="Základní text (2) + Kurzíva"/>
    <w:basedOn w:val="CharStyle17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Záhlaví nebo Zápatí + 8 pt,Ne tučné"/>
    <w:basedOn w:val="CharStyle1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0">
    <w:name w:val="Záhlaví nebo Zápatí + Times New Roman,12 pt,Ne tučné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Základní text (2) + Kurzíva"/>
    <w:basedOn w:val="CharStyle17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Základní text (2)"/>
    <w:basedOn w:val="CharStyle17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Základní text (2)"/>
    <w:basedOn w:val="CharStyle17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Základní text (9)_"/>
    <w:basedOn w:val="DefaultParagraphFont"/>
    <w:link w:val="Style34"/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</w:rPr>
  </w:style>
  <w:style w:type="character" w:customStyle="1" w:styleId="CharStyle36">
    <w:name w:val="Základní text (9)"/>
    <w:basedOn w:val="CharStyle3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7">
    <w:name w:val="Základní text (2) + Calibri,8 pt,Tučné"/>
    <w:basedOn w:val="CharStyle17"/>
    <w:rPr>
      <w:lang w:val="cs-CZ" w:eastAsia="cs-CZ" w:bidi="cs-CZ"/>
      <w:b/>
      <w:bCs/>
      <w:sz w:val="16"/>
      <w:szCs w:val="1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8">
    <w:name w:val="Základní text (2) + Tahoma,7,5 pt"/>
    <w:basedOn w:val="CharStyle17"/>
    <w:rPr>
      <w:lang w:val="cs-CZ" w:eastAsia="cs-CZ" w:bidi="cs-CZ"/>
      <w:sz w:val="15"/>
      <w:szCs w:val="15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9">
    <w:name w:val="Základní text (2) + Tahoma,5,5 pt"/>
    <w:basedOn w:val="CharStyle17"/>
    <w:rPr>
      <w:lang w:val="cs-CZ" w:eastAsia="cs-CZ" w:bidi="cs-CZ"/>
      <w:sz w:val="11"/>
      <w:szCs w:val="1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0">
    <w:name w:val="Základní text (2) + Calibri,9 pt"/>
    <w:basedOn w:val="CharStyle17"/>
    <w:rPr>
      <w:lang w:val="cs-CZ" w:eastAsia="cs-CZ" w:bidi="cs-CZ"/>
      <w:b/>
      <w:b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1">
    <w:name w:val="Základní text (2) + MS Gothic,6,5 pt"/>
    <w:basedOn w:val="CharStyle17"/>
    <w:rPr>
      <w:lang w:val="cs-CZ" w:eastAsia="cs-CZ" w:bidi="cs-CZ"/>
      <w:b/>
      <w:bCs/>
      <w:sz w:val="13"/>
      <w:szCs w:val="13"/>
      <w:rFonts w:ascii="MS Gothic" w:eastAsia="MS Gothic" w:hAnsi="MS Gothic" w:cs="MS Gothic"/>
      <w:w w:val="100"/>
      <w:spacing w:val="0"/>
      <w:color w:val="000000"/>
      <w:position w:val="0"/>
    </w:rPr>
  </w:style>
  <w:style w:type="character" w:customStyle="1" w:styleId="CharStyle42">
    <w:name w:val="Základní text (2) + Tahoma,5,5 pt"/>
    <w:basedOn w:val="CharStyle17"/>
    <w:rPr>
      <w:lang w:val="cs-CZ" w:eastAsia="cs-CZ" w:bidi="cs-CZ"/>
      <w:sz w:val="11"/>
      <w:szCs w:val="1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3">
    <w:name w:val="Základní text (2) + Tahoma,7,5 pt"/>
    <w:basedOn w:val="CharStyle17"/>
    <w:rPr>
      <w:lang w:val="cs-CZ" w:eastAsia="cs-CZ" w:bidi="cs-CZ"/>
      <w:sz w:val="15"/>
      <w:szCs w:val="15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4">
    <w:name w:val="Základní text (2) + Calibri,9 pt"/>
    <w:basedOn w:val="CharStyle17"/>
    <w:rPr>
      <w:lang w:val="cs-CZ" w:eastAsia="cs-CZ" w:bidi="cs-CZ"/>
      <w:b/>
      <w:b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5">
    <w:name w:val="Záhlaví nebo Zápatí"/>
    <w:basedOn w:val="CharStyle10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17"/>
    <w:pPr>
      <w:widowControl w:val="0"/>
      <w:shd w:val="clear" w:color="auto" w:fill="FFFFFF"/>
      <w:spacing w:before="540" w:after="360" w:line="0" w:lineRule="exact"/>
      <w:ind w:hanging="4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Základní text (14)"/>
    <w:basedOn w:val="Normal"/>
    <w:link w:val="CharStyle6"/>
    <w:pPr>
      <w:widowControl w:val="0"/>
      <w:shd w:val="clear" w:color="auto" w:fill="FFFFFF"/>
      <w:jc w:val="both"/>
      <w:spacing w:line="1018" w:lineRule="exact"/>
    </w:pPr>
    <w:rPr>
      <w:b w:val="0"/>
      <w:bCs w:val="0"/>
      <w:i/>
      <w:iCs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jc w:val="center"/>
      <w:outlineLvl w:val="0"/>
      <w:spacing w:line="1018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both"/>
      <w:spacing w:line="101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Nadpis #2 (2)"/>
    <w:basedOn w:val="Normal"/>
    <w:link w:val="CharStyle19"/>
    <w:pPr>
      <w:widowControl w:val="0"/>
      <w:shd w:val="clear" w:color="auto" w:fill="FFFFFF"/>
      <w:outlineLvl w:val="1"/>
      <w:spacing w:before="900" w:line="27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jc w:val="both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Nadpis #3"/>
    <w:basedOn w:val="Normal"/>
    <w:link w:val="CharStyle25"/>
    <w:pPr>
      <w:widowControl w:val="0"/>
      <w:shd w:val="clear" w:color="auto" w:fill="FFFFFF"/>
      <w:outlineLvl w:val="2"/>
      <w:spacing w:before="1140"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4">
    <w:name w:val="Základní text (9)"/>
    <w:basedOn w:val="Normal"/>
    <w:link w:val="CharStyle35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/Relationships>
</file>