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56" w:rsidRDefault="00C01156" w:rsidP="00C01156">
      <w:pPr>
        <w:spacing w:line="1" w:lineRule="exact"/>
        <w:ind w:right="983"/>
      </w:pPr>
      <w:bookmarkStart w:id="0" w:name="_GoBack"/>
      <w:bookmarkEnd w:id="0"/>
    </w:p>
    <w:p w:rsidR="00C01156" w:rsidRPr="00C01156" w:rsidRDefault="00C01156" w:rsidP="00C01156"/>
    <w:p w:rsidR="00C01156" w:rsidRPr="00C01156" w:rsidRDefault="00C01156" w:rsidP="00C01156"/>
    <w:p w:rsidR="000A6A83" w:rsidRDefault="000A6A83" w:rsidP="000A6A8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Příloha </w:t>
      </w:r>
      <w:proofErr w:type="gramStart"/>
      <w:r>
        <w:rPr>
          <w:rFonts w:ascii="Garamond" w:hAnsi="Garamond"/>
          <w:b/>
          <w:sz w:val="28"/>
          <w:szCs w:val="28"/>
        </w:rPr>
        <w:t>č.1</w:t>
      </w:r>
      <w:proofErr w:type="gramEnd"/>
    </w:p>
    <w:p w:rsidR="00C01156" w:rsidRDefault="00C01156" w:rsidP="000A6A83">
      <w:r w:rsidRPr="002B09FF">
        <w:rPr>
          <w:rFonts w:ascii="Garamond" w:hAnsi="Garamond"/>
          <w:b/>
          <w:sz w:val="28"/>
          <w:szCs w:val="28"/>
        </w:rPr>
        <w:t xml:space="preserve">NÁVRH POSTUPU </w:t>
      </w:r>
      <w:r>
        <w:rPr>
          <w:rFonts w:ascii="Garamond" w:hAnsi="Garamond"/>
          <w:b/>
          <w:sz w:val="28"/>
          <w:szCs w:val="28"/>
        </w:rPr>
        <w:t>RESTAUR</w:t>
      </w:r>
      <w:r w:rsidRPr="002B09FF">
        <w:rPr>
          <w:rFonts w:ascii="Garamond" w:hAnsi="Garamond"/>
          <w:b/>
          <w:sz w:val="28"/>
          <w:szCs w:val="28"/>
        </w:rPr>
        <w:t>ÁTORSKÝCH PRACÍ</w:t>
      </w:r>
    </w:p>
    <w:p w:rsidR="00C01156" w:rsidRDefault="00C01156" w:rsidP="00C01156">
      <w:pPr>
        <w:ind w:firstLine="708"/>
      </w:pPr>
    </w:p>
    <w:p w:rsidR="00C01156" w:rsidRPr="00C01156" w:rsidRDefault="00C01156" w:rsidP="00C01156">
      <w:pPr>
        <w:rPr>
          <w:rFonts w:ascii="Calibri" w:hAnsi="Calibri" w:cs="Calibri"/>
          <w:caps/>
          <w:sz w:val="22"/>
          <w:szCs w:val="22"/>
        </w:rPr>
      </w:pPr>
    </w:p>
    <w:p w:rsidR="00C01156" w:rsidRPr="00C01156" w:rsidRDefault="00C01156" w:rsidP="00C01156">
      <w:pPr>
        <w:jc w:val="center"/>
        <w:rPr>
          <w:rFonts w:ascii="Garamond" w:hAnsi="Garamond" w:cs="Calibri"/>
          <w:b/>
          <w:caps/>
          <w:sz w:val="40"/>
          <w:szCs w:val="40"/>
        </w:rPr>
      </w:pPr>
      <w:r w:rsidRPr="00C01156">
        <w:rPr>
          <w:rFonts w:ascii="Garamond" w:hAnsi="Garamond" w:cs="Calibri"/>
          <w:b/>
          <w:caps/>
          <w:sz w:val="40"/>
          <w:szCs w:val="40"/>
        </w:rPr>
        <w:t>Středověkých malovaných prken a dřevěných desek</w:t>
      </w:r>
    </w:p>
    <w:p w:rsidR="00C01156" w:rsidRDefault="00C01156" w:rsidP="00C01156">
      <w:pPr>
        <w:rPr>
          <w:rFonts w:ascii="Calibri" w:hAnsi="Calibri" w:cs="Calibri"/>
          <w:sz w:val="22"/>
          <w:szCs w:val="22"/>
        </w:rPr>
      </w:pPr>
    </w:p>
    <w:p w:rsidR="00132762" w:rsidRDefault="00132762" w:rsidP="00132762">
      <w:pPr>
        <w:pStyle w:val="Bezmezer"/>
        <w:rPr>
          <w:rFonts w:cstheme="minorHAnsi"/>
          <w:b/>
        </w:rPr>
      </w:pPr>
    </w:p>
    <w:p w:rsidR="00132762" w:rsidRPr="00FF1174" w:rsidRDefault="00132762" w:rsidP="00132762">
      <w:pPr>
        <w:pStyle w:val="Bezmezer"/>
        <w:rPr>
          <w:rFonts w:cstheme="minorHAnsi"/>
          <w:b/>
        </w:rPr>
      </w:pPr>
      <w:r w:rsidRPr="00FF1174">
        <w:rPr>
          <w:rFonts w:cstheme="minorHAnsi"/>
          <w:b/>
        </w:rPr>
        <w:t>Popis předmětu před restaurováním</w:t>
      </w:r>
    </w:p>
    <w:p w:rsidR="00132762" w:rsidRDefault="00132762" w:rsidP="00C01156">
      <w:pPr>
        <w:rPr>
          <w:rFonts w:ascii="Calibri" w:hAnsi="Calibri" w:cs="Calibri"/>
          <w:sz w:val="22"/>
          <w:szCs w:val="22"/>
        </w:rPr>
      </w:pPr>
    </w:p>
    <w:p w:rsidR="00C01156" w:rsidRPr="00C01156" w:rsidRDefault="00132762" w:rsidP="00C011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</w:t>
      </w:r>
      <w:r>
        <w:rPr>
          <w:rFonts w:ascii="Calibri" w:hAnsi="Calibri" w:cs="Calibri"/>
          <w:sz w:val="22"/>
          <w:szCs w:val="22"/>
        </w:rPr>
        <w:tab/>
        <w:t>Č</w:t>
      </w:r>
      <w:r w:rsidR="00C01156" w:rsidRPr="00C01156">
        <w:rPr>
          <w:rFonts w:ascii="Calibri" w:hAnsi="Calibri" w:cs="Calibri"/>
          <w:sz w:val="22"/>
          <w:szCs w:val="22"/>
        </w:rPr>
        <w:t>tyři malovaná prkna a dvě malované desky</w:t>
      </w: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b)</w:t>
      </w:r>
      <w:r w:rsidRPr="00C01156">
        <w:rPr>
          <w:rFonts w:ascii="Calibri" w:hAnsi="Calibri" w:cs="Calibri"/>
          <w:sz w:val="22"/>
          <w:szCs w:val="22"/>
        </w:rPr>
        <w:tab/>
        <w:t>Námět maleb: prkna s akantovou rozvilinou, desky s figurální malbou</w:t>
      </w: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c)</w:t>
      </w:r>
      <w:r w:rsidRPr="00C01156">
        <w:rPr>
          <w:rFonts w:ascii="Calibri" w:hAnsi="Calibri" w:cs="Calibri"/>
          <w:sz w:val="22"/>
          <w:szCs w:val="22"/>
        </w:rPr>
        <w:tab/>
        <w:t>Technologie:</w:t>
      </w:r>
      <w:r w:rsidR="00132762">
        <w:rPr>
          <w:rFonts w:ascii="Calibri" w:hAnsi="Calibri" w:cs="Calibri"/>
          <w:sz w:val="22"/>
          <w:szCs w:val="22"/>
        </w:rPr>
        <w:t xml:space="preserve"> </w:t>
      </w:r>
      <w:r w:rsidR="00132762">
        <w:rPr>
          <w:rFonts w:ascii="Calibri" w:hAnsi="Calibri" w:cs="Calibri"/>
          <w:sz w:val="22"/>
          <w:szCs w:val="22"/>
        </w:rPr>
        <w:tab/>
      </w:r>
      <w:r w:rsidRPr="00C01156">
        <w:rPr>
          <w:rFonts w:ascii="Calibri" w:hAnsi="Calibri" w:cs="Calibri"/>
          <w:sz w:val="22"/>
          <w:szCs w:val="22"/>
        </w:rPr>
        <w:t>prkna - tempera na dřevě,</w:t>
      </w:r>
    </w:p>
    <w:p w:rsidR="00132762" w:rsidRDefault="00C01156" w:rsidP="00132762">
      <w:pPr>
        <w:ind w:left="1416" w:firstLine="708"/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 xml:space="preserve">desky - malba na křídovém podkladu provedeném na plátně, přilepeném </w:t>
      </w:r>
    </w:p>
    <w:p w:rsidR="00C01156" w:rsidRPr="00C01156" w:rsidRDefault="00C01156" w:rsidP="00132762">
      <w:pPr>
        <w:ind w:left="1416" w:firstLine="708"/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na dřevě</w:t>
      </w: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d)</w:t>
      </w:r>
      <w:r w:rsidRPr="00C01156">
        <w:rPr>
          <w:rFonts w:ascii="Calibri" w:hAnsi="Calibri" w:cs="Calibri"/>
          <w:sz w:val="22"/>
          <w:szCs w:val="22"/>
        </w:rPr>
        <w:tab/>
        <w:t>Datování: II. polovina 15. století až 16. století</w:t>
      </w: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e)</w:t>
      </w:r>
      <w:r w:rsidRPr="00C01156">
        <w:rPr>
          <w:rFonts w:ascii="Calibri" w:hAnsi="Calibri" w:cs="Calibri"/>
          <w:sz w:val="22"/>
          <w:szCs w:val="22"/>
        </w:rPr>
        <w:tab/>
        <w:t>Autor: zatím nezjištěn</w:t>
      </w: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f)</w:t>
      </w:r>
      <w:r w:rsidRPr="00C01156">
        <w:rPr>
          <w:rFonts w:ascii="Calibri" w:hAnsi="Calibri" w:cs="Calibri"/>
          <w:sz w:val="22"/>
          <w:szCs w:val="22"/>
        </w:rPr>
        <w:tab/>
        <w:t>Stávající umístění: provizorní, nepůvodní, v půdním prostoru, Komenda strakonického hradu</w:t>
      </w: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g)</w:t>
      </w:r>
      <w:r w:rsidRPr="00C01156">
        <w:rPr>
          <w:rFonts w:ascii="Calibri" w:hAnsi="Calibri" w:cs="Calibri"/>
          <w:sz w:val="22"/>
          <w:szCs w:val="22"/>
        </w:rPr>
        <w:tab/>
        <w:t>Město: Strakonice</w:t>
      </w: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h)</w:t>
      </w:r>
      <w:r w:rsidRPr="00C01156">
        <w:rPr>
          <w:rFonts w:ascii="Calibri" w:hAnsi="Calibri" w:cs="Calibri"/>
          <w:sz w:val="22"/>
          <w:szCs w:val="22"/>
        </w:rPr>
        <w:tab/>
        <w:t>Kraj: Jihočeský</w:t>
      </w: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Záměr restaurování:</w:t>
      </w:r>
    </w:p>
    <w:p w:rsidR="00C01156" w:rsidRDefault="00C01156" w:rsidP="00C01156">
      <w:pPr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Záchrana nově objevené, mimořádně historické a umělecky hodnotné památky, pravděpodobně související se středověkou historii hradu ve Strakonicích. Uvedení do stavu vhodného k prezentaci v expozici.</w:t>
      </w:r>
    </w:p>
    <w:p w:rsidR="00132762" w:rsidRPr="00C01156" w:rsidRDefault="00132762" w:rsidP="00C01156">
      <w:pPr>
        <w:rPr>
          <w:rFonts w:ascii="Calibri" w:hAnsi="Calibri" w:cs="Calibri"/>
          <w:sz w:val="22"/>
          <w:szCs w:val="22"/>
        </w:rPr>
      </w:pP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Stávající stav:</w:t>
      </w: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 xml:space="preserve">Při odstranění stropního podhledu byly odhaleny dvě široké malované desky a čtyři malovaná prkna, druhotně provizorně upevněných na vynesených </w:t>
      </w:r>
      <w:proofErr w:type="spellStart"/>
      <w:r w:rsidRPr="00C01156">
        <w:rPr>
          <w:rFonts w:ascii="Calibri" w:hAnsi="Calibri" w:cs="Calibri"/>
          <w:sz w:val="22"/>
          <w:szCs w:val="22"/>
        </w:rPr>
        <w:t>uřízlých</w:t>
      </w:r>
      <w:proofErr w:type="spellEnd"/>
      <w:r w:rsidRPr="00C01156">
        <w:rPr>
          <w:rFonts w:ascii="Calibri" w:hAnsi="Calibri" w:cs="Calibri"/>
          <w:sz w:val="22"/>
          <w:szCs w:val="22"/>
        </w:rPr>
        <w:t xml:space="preserve"> trámech.</w:t>
      </w: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 xml:space="preserve">Stav středověké památky je havarijní. Dřevěné desky s figurální malbou jsou zteřelé, silně narušené působením dřevokazného hmyzu (především červotočem). Dřevo je nesoudržné, dřevní hmota je rozpadlá. Desky jsou zkroucené, v jedné části zlomené a spojené pouze plátěnou podložkou obrazové plochy. Malovaná strana je poseta četnými výletovými otvory od červotoče. Povrch zakrývají prachové deposity. Na četných drobných místech vystupuje bílý křídový podklad. Malba </w:t>
      </w:r>
      <w:proofErr w:type="gramStart"/>
      <w:r w:rsidRPr="00C01156">
        <w:rPr>
          <w:rFonts w:ascii="Calibri" w:hAnsi="Calibri" w:cs="Calibri"/>
          <w:sz w:val="22"/>
          <w:szCs w:val="22"/>
        </w:rPr>
        <w:t>je</w:t>
      </w:r>
      <w:proofErr w:type="gramEnd"/>
      <w:r w:rsidRPr="00C01156">
        <w:rPr>
          <w:rFonts w:ascii="Calibri" w:hAnsi="Calibri" w:cs="Calibri"/>
          <w:sz w:val="22"/>
          <w:szCs w:val="22"/>
        </w:rPr>
        <w:t xml:space="preserve"> místy odřená u akantových rozvilin prken je setřená část ornamentu, podélně jsou roztržená.</w:t>
      </w: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Dvě široké desky jsou částí středověkého oltáře. Ostatní prkna s akantovou rozvilinou mohou být částí malovaného stropu, osazeného na podhledech trámů. Dřevo desek je v části obrazové plochy přelepené plátnem, na kterém je provedena malba výjevů.</w:t>
      </w: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Desky nemají stejnou šíři. Větší deska je široká cca 88 cm a je slepena ze třech kusů. Z krajního prkna se zachovala jen střední část. Dřevo spodní části desky je napadená dřevokazným hmyzem a je znehodnocena až po celkovou ztrátu dřevní hmoty. Ve vnitřní ploše část dřeva chybí a ve větších plochách je dřevní plocha silně narušená. Deska byla původně po obvodu osazena rámem (šířka 9,5 až 10 cm) s třemi příčkami o šíři 6 cm, který byl přilepen pomocí dřevěných čepů.</w:t>
      </w: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Mezi příčkami jsou malované siluety reliéfních postav před řadou černých gotických plných hrotitých oblouků. Architektura i siluety postav jsou konturovány jemnou rytou kresbou</w:t>
      </w: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v křídovém podkladu. Křídový podklad je proveden na nalepené plátěné podložce, která je účelově nalepena jen v místech souvisejících s plastickou figurální výzdobou.</w:t>
      </w: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Užší deska je nestejnoměrně široká od 57 cm do 66 cm. Je slepena ze dvou prken.</w:t>
      </w:r>
    </w:p>
    <w:p w:rsidR="00132762" w:rsidRDefault="00132762" w:rsidP="00C01156">
      <w:pPr>
        <w:rPr>
          <w:rFonts w:ascii="Calibri" w:hAnsi="Calibri" w:cs="Calibri"/>
          <w:sz w:val="22"/>
          <w:szCs w:val="22"/>
        </w:rPr>
      </w:pPr>
    </w:p>
    <w:p w:rsidR="00132762" w:rsidRDefault="00132762" w:rsidP="00C01156">
      <w:pPr>
        <w:rPr>
          <w:rFonts w:ascii="Calibri" w:hAnsi="Calibri" w:cs="Calibri"/>
          <w:sz w:val="22"/>
          <w:szCs w:val="22"/>
        </w:rPr>
      </w:pPr>
    </w:p>
    <w:p w:rsidR="00132762" w:rsidRDefault="00132762" w:rsidP="00C01156">
      <w:pPr>
        <w:rPr>
          <w:rFonts w:ascii="Calibri" w:hAnsi="Calibri" w:cs="Calibri"/>
          <w:sz w:val="22"/>
          <w:szCs w:val="22"/>
        </w:rPr>
      </w:pPr>
    </w:p>
    <w:p w:rsidR="00132762" w:rsidRDefault="00132762" w:rsidP="00C01156">
      <w:pPr>
        <w:rPr>
          <w:rFonts w:ascii="Calibri" w:hAnsi="Calibri" w:cs="Calibri"/>
          <w:sz w:val="22"/>
          <w:szCs w:val="22"/>
        </w:rPr>
      </w:pPr>
    </w:p>
    <w:p w:rsidR="00132762" w:rsidRDefault="00132762" w:rsidP="00C01156">
      <w:pPr>
        <w:rPr>
          <w:rFonts w:ascii="Calibri" w:hAnsi="Calibri" w:cs="Calibri"/>
          <w:sz w:val="22"/>
          <w:szCs w:val="22"/>
        </w:rPr>
      </w:pPr>
    </w:p>
    <w:p w:rsidR="00132762" w:rsidRDefault="00132762" w:rsidP="00C01156">
      <w:pPr>
        <w:rPr>
          <w:rFonts w:ascii="Calibri" w:hAnsi="Calibri" w:cs="Calibri"/>
          <w:sz w:val="22"/>
          <w:szCs w:val="22"/>
        </w:rPr>
      </w:pPr>
    </w:p>
    <w:p w:rsidR="00132762" w:rsidRDefault="00132762" w:rsidP="00C01156">
      <w:pPr>
        <w:rPr>
          <w:rFonts w:ascii="Calibri" w:hAnsi="Calibri" w:cs="Calibri"/>
          <w:sz w:val="22"/>
          <w:szCs w:val="22"/>
        </w:rPr>
      </w:pPr>
    </w:p>
    <w:p w:rsidR="00132762" w:rsidRDefault="00132762" w:rsidP="00C01156">
      <w:pPr>
        <w:rPr>
          <w:rFonts w:ascii="Calibri" w:hAnsi="Calibri" w:cs="Calibri"/>
          <w:sz w:val="22"/>
          <w:szCs w:val="22"/>
        </w:rPr>
      </w:pPr>
    </w:p>
    <w:p w:rsidR="00132762" w:rsidRDefault="00132762" w:rsidP="00C01156">
      <w:pPr>
        <w:rPr>
          <w:rFonts w:ascii="Calibri" w:hAnsi="Calibri" w:cs="Calibri"/>
          <w:sz w:val="22"/>
          <w:szCs w:val="22"/>
        </w:rPr>
      </w:pPr>
    </w:p>
    <w:p w:rsidR="00455108" w:rsidRDefault="00455108" w:rsidP="00C01156">
      <w:pPr>
        <w:rPr>
          <w:rFonts w:ascii="Calibri" w:hAnsi="Calibri" w:cs="Calibri"/>
          <w:sz w:val="22"/>
          <w:szCs w:val="22"/>
        </w:rPr>
      </w:pPr>
    </w:p>
    <w:p w:rsidR="00455108" w:rsidRDefault="00455108" w:rsidP="00C01156">
      <w:pPr>
        <w:rPr>
          <w:rFonts w:ascii="Calibri" w:hAnsi="Calibri" w:cs="Calibri"/>
          <w:sz w:val="22"/>
          <w:szCs w:val="22"/>
        </w:rPr>
      </w:pPr>
    </w:p>
    <w:p w:rsidR="00455108" w:rsidRDefault="00455108" w:rsidP="00C01156">
      <w:pPr>
        <w:rPr>
          <w:rFonts w:ascii="Calibri" w:hAnsi="Calibri" w:cs="Calibri"/>
          <w:sz w:val="22"/>
          <w:szCs w:val="22"/>
        </w:rPr>
      </w:pPr>
    </w:p>
    <w:p w:rsidR="00455108" w:rsidRDefault="00455108" w:rsidP="00C01156">
      <w:pPr>
        <w:rPr>
          <w:rFonts w:ascii="Calibri" w:hAnsi="Calibri" w:cs="Calibri"/>
          <w:sz w:val="22"/>
          <w:szCs w:val="22"/>
        </w:rPr>
      </w:pPr>
    </w:p>
    <w:p w:rsidR="00455108" w:rsidRDefault="00455108" w:rsidP="00C01156">
      <w:pPr>
        <w:rPr>
          <w:rFonts w:ascii="Calibri" w:hAnsi="Calibri" w:cs="Calibri"/>
          <w:sz w:val="22"/>
          <w:szCs w:val="22"/>
        </w:rPr>
      </w:pP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Třetí prkno, které pravděpodobně dorovnávalo konstantní šíři, chybí.</w:t>
      </w: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 xml:space="preserve">Deska byla rozdělena třemi příčkami na pět horizontálních dílů. Spoj prkna je ve spodní třetině desky rozklížený a spodní část desky vlivem ztráty dřevní hmoty je odlomená a soudržná s plochou pouze nalepeným plátnem. Dřevo je rozpadlé vlivem působení dřevokazného hmyzu. </w:t>
      </w:r>
      <w:proofErr w:type="gramStart"/>
      <w:r w:rsidRPr="00C01156">
        <w:rPr>
          <w:rFonts w:ascii="Calibri" w:hAnsi="Calibri" w:cs="Calibri"/>
          <w:sz w:val="22"/>
          <w:szCs w:val="22"/>
        </w:rPr>
        <w:t>V příčkami</w:t>
      </w:r>
      <w:proofErr w:type="gramEnd"/>
      <w:r w:rsidRPr="00C01156">
        <w:rPr>
          <w:rFonts w:ascii="Calibri" w:hAnsi="Calibri" w:cs="Calibri"/>
          <w:sz w:val="22"/>
          <w:szCs w:val="22"/>
        </w:rPr>
        <w:t xml:space="preserve"> oddělených plochách jsou siluety 22 postav a jedné větší </w:t>
      </w:r>
      <w:proofErr w:type="spellStart"/>
      <w:r w:rsidRPr="00C01156">
        <w:rPr>
          <w:rFonts w:ascii="Calibri" w:hAnsi="Calibri" w:cs="Calibri"/>
          <w:sz w:val="22"/>
          <w:szCs w:val="22"/>
        </w:rPr>
        <w:t>polopostavy</w:t>
      </w:r>
      <w:proofErr w:type="spellEnd"/>
      <w:r w:rsidRPr="00C01156">
        <w:rPr>
          <w:rFonts w:ascii="Calibri" w:hAnsi="Calibri" w:cs="Calibri"/>
          <w:sz w:val="22"/>
          <w:szCs w:val="22"/>
        </w:rPr>
        <w:t>. Rozvrhu pozadí a siluetám figur je podřízen i přelep plátna s křídovým podkladem.</w:t>
      </w: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</w:p>
    <w:p w:rsidR="00132762" w:rsidRDefault="00132762" w:rsidP="00132762">
      <w:pPr>
        <w:pStyle w:val="Bezmezer"/>
        <w:jc w:val="both"/>
        <w:rPr>
          <w:rFonts w:cstheme="minorHAnsi"/>
          <w:b/>
        </w:rPr>
      </w:pPr>
      <w:r w:rsidRPr="00FF1174">
        <w:rPr>
          <w:rFonts w:cstheme="minorHAnsi"/>
          <w:b/>
        </w:rPr>
        <w:t>Návrh na konzervační – restaurátorský postup</w:t>
      </w:r>
    </w:p>
    <w:p w:rsidR="00132762" w:rsidRPr="00FF1174" w:rsidRDefault="00132762" w:rsidP="00132762">
      <w:pPr>
        <w:pStyle w:val="Bezmezer"/>
        <w:jc w:val="both"/>
        <w:rPr>
          <w:rFonts w:cstheme="minorHAnsi"/>
          <w:b/>
        </w:rPr>
      </w:pPr>
    </w:p>
    <w:p w:rsidR="00C01156" w:rsidRPr="008D2ED9" w:rsidRDefault="00C01156" w:rsidP="00C01156">
      <w:pPr>
        <w:rPr>
          <w:rFonts w:ascii="Calibri" w:hAnsi="Calibri" w:cs="Calibri"/>
          <w:b/>
          <w:sz w:val="22"/>
          <w:szCs w:val="22"/>
        </w:rPr>
      </w:pPr>
      <w:r w:rsidRPr="008D2ED9">
        <w:rPr>
          <w:rFonts w:ascii="Calibri" w:hAnsi="Calibri" w:cs="Calibri"/>
          <w:b/>
          <w:sz w:val="22"/>
          <w:szCs w:val="22"/>
        </w:rPr>
        <w:t>A/ 1. Předběžný restaurátorský průzkum stavu a fotografická dokumentace</w:t>
      </w: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2.</w:t>
      </w:r>
      <w:r w:rsidRPr="00C01156">
        <w:rPr>
          <w:rFonts w:ascii="Calibri" w:hAnsi="Calibri" w:cs="Calibri"/>
          <w:sz w:val="22"/>
          <w:szCs w:val="22"/>
        </w:rPr>
        <w:tab/>
        <w:t>Přípravné práce a příprava desek pro sejmutí z provizorního umístění</w:t>
      </w:r>
    </w:p>
    <w:p w:rsidR="00C01156" w:rsidRPr="00C01156" w:rsidRDefault="00C01156" w:rsidP="00132762">
      <w:pPr>
        <w:ind w:left="708" w:hanging="708"/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3.</w:t>
      </w:r>
      <w:r w:rsidRPr="00C01156">
        <w:rPr>
          <w:rFonts w:ascii="Calibri" w:hAnsi="Calibri" w:cs="Calibri"/>
          <w:sz w:val="22"/>
          <w:szCs w:val="22"/>
        </w:rPr>
        <w:tab/>
        <w:t>Odstranění kovaných hřebů a lišt z provizorního uchycení a spuštění malovaných desek a prken na připravené nosné desky</w:t>
      </w:r>
    </w:p>
    <w:p w:rsidR="00C01156" w:rsidRPr="00C01156" w:rsidRDefault="00C01156" w:rsidP="00132762">
      <w:pPr>
        <w:ind w:left="708" w:hanging="708"/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4.</w:t>
      </w:r>
      <w:r w:rsidRPr="00C01156">
        <w:rPr>
          <w:rFonts w:ascii="Calibri" w:hAnsi="Calibri" w:cs="Calibri"/>
          <w:sz w:val="22"/>
          <w:szCs w:val="22"/>
        </w:rPr>
        <w:tab/>
        <w:t>Spuštění nosných desek a transport na vhodné místo, kde bude proveden podrobnější průzkum, nezbytné zajištění dřeva, plátěné podložky a barevné vrstvy</w:t>
      </w:r>
    </w:p>
    <w:p w:rsidR="00C01156" w:rsidRPr="00C01156" w:rsidRDefault="00C01156" w:rsidP="00132762">
      <w:pPr>
        <w:ind w:left="708" w:hanging="708"/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5.</w:t>
      </w:r>
      <w:r w:rsidRPr="00C01156">
        <w:rPr>
          <w:rFonts w:ascii="Calibri" w:hAnsi="Calibri" w:cs="Calibri"/>
          <w:sz w:val="22"/>
          <w:szCs w:val="22"/>
        </w:rPr>
        <w:tab/>
        <w:t>Transport na ozáření do konzervačního ozařovacího pracoviště ve Středočeském muzeu v Roztokách u Prahy</w:t>
      </w:r>
    </w:p>
    <w:p w:rsidR="00C01156" w:rsidRDefault="00C01156" w:rsidP="00C01156">
      <w:pPr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6.</w:t>
      </w:r>
      <w:r w:rsidRPr="00C01156">
        <w:rPr>
          <w:rFonts w:ascii="Calibri" w:hAnsi="Calibri" w:cs="Calibri"/>
          <w:sz w:val="22"/>
          <w:szCs w:val="22"/>
        </w:rPr>
        <w:tab/>
        <w:t>Ozáření</w:t>
      </w:r>
    </w:p>
    <w:p w:rsidR="00132762" w:rsidRPr="00C01156" w:rsidRDefault="00132762" w:rsidP="00C01156">
      <w:pPr>
        <w:rPr>
          <w:rFonts w:ascii="Calibri" w:hAnsi="Calibri" w:cs="Calibri"/>
          <w:sz w:val="22"/>
          <w:szCs w:val="22"/>
        </w:rPr>
      </w:pPr>
    </w:p>
    <w:p w:rsidR="00C01156" w:rsidRPr="008D2ED9" w:rsidRDefault="00C01156" w:rsidP="00C01156">
      <w:pPr>
        <w:rPr>
          <w:rFonts w:ascii="Calibri" w:hAnsi="Calibri" w:cs="Calibri"/>
          <w:b/>
          <w:sz w:val="22"/>
          <w:szCs w:val="22"/>
        </w:rPr>
      </w:pPr>
      <w:r w:rsidRPr="008D2ED9">
        <w:rPr>
          <w:rFonts w:ascii="Calibri" w:hAnsi="Calibri" w:cs="Calibri"/>
          <w:b/>
          <w:sz w:val="22"/>
          <w:szCs w:val="22"/>
        </w:rPr>
        <w:t xml:space="preserve">B/ 1. </w:t>
      </w:r>
      <w:r w:rsidR="00132762" w:rsidRPr="008D2ED9">
        <w:rPr>
          <w:rFonts w:ascii="Calibri" w:hAnsi="Calibri" w:cs="Calibri"/>
          <w:b/>
          <w:sz w:val="22"/>
          <w:szCs w:val="22"/>
        </w:rPr>
        <w:tab/>
      </w:r>
      <w:r w:rsidRPr="008D2ED9">
        <w:rPr>
          <w:rFonts w:ascii="Calibri" w:hAnsi="Calibri" w:cs="Calibri"/>
          <w:b/>
          <w:sz w:val="22"/>
          <w:szCs w:val="22"/>
        </w:rPr>
        <w:t>transport po ozáření do ateliéru</w:t>
      </w: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2.</w:t>
      </w:r>
      <w:r w:rsidRPr="00C01156">
        <w:rPr>
          <w:rFonts w:ascii="Calibri" w:hAnsi="Calibri" w:cs="Calibri"/>
          <w:sz w:val="22"/>
          <w:szCs w:val="22"/>
        </w:rPr>
        <w:tab/>
        <w:t>podrobný restaurátorský průzkum</w:t>
      </w:r>
    </w:p>
    <w:p w:rsidR="00C01156" w:rsidRPr="00C01156" w:rsidRDefault="00C01156" w:rsidP="00132762">
      <w:pPr>
        <w:ind w:left="708" w:hanging="708"/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3.</w:t>
      </w:r>
      <w:r w:rsidRPr="00C01156">
        <w:rPr>
          <w:rFonts w:ascii="Calibri" w:hAnsi="Calibri" w:cs="Calibri"/>
          <w:sz w:val="22"/>
          <w:szCs w:val="22"/>
        </w:rPr>
        <w:tab/>
        <w:t>petrifikace dřeva (budou provedeny zkoušky petrifikace), které budou konzultovány se zástupcem NPÚ</w:t>
      </w: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4.</w:t>
      </w:r>
      <w:r w:rsidRPr="00C01156">
        <w:rPr>
          <w:rFonts w:ascii="Calibri" w:hAnsi="Calibri" w:cs="Calibri"/>
          <w:sz w:val="22"/>
          <w:szCs w:val="22"/>
        </w:rPr>
        <w:tab/>
        <w:t>slepení dřevěných oddělených částí, rovnání desky a doplnění chybějících částí dřeva</w:t>
      </w: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5.</w:t>
      </w:r>
      <w:r w:rsidRPr="00C01156">
        <w:rPr>
          <w:rFonts w:ascii="Calibri" w:hAnsi="Calibri" w:cs="Calibri"/>
          <w:sz w:val="22"/>
          <w:szCs w:val="22"/>
        </w:rPr>
        <w:tab/>
        <w:t>upevnění desek do pevného rámu s příčkami</w:t>
      </w: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6.</w:t>
      </w:r>
      <w:r w:rsidRPr="00C01156">
        <w:rPr>
          <w:rFonts w:ascii="Calibri" w:hAnsi="Calibri" w:cs="Calibri"/>
          <w:sz w:val="22"/>
          <w:szCs w:val="22"/>
        </w:rPr>
        <w:tab/>
        <w:t>upevnění plátěné vrstvy, přižehlení</w:t>
      </w: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7.</w:t>
      </w:r>
      <w:r w:rsidRPr="00C01156">
        <w:rPr>
          <w:rFonts w:ascii="Calibri" w:hAnsi="Calibri" w:cs="Calibri"/>
          <w:sz w:val="22"/>
          <w:szCs w:val="22"/>
        </w:rPr>
        <w:tab/>
        <w:t>konsolidace barevné vrstvy</w:t>
      </w: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8.</w:t>
      </w:r>
      <w:r w:rsidRPr="00C01156">
        <w:rPr>
          <w:rFonts w:ascii="Calibri" w:hAnsi="Calibri" w:cs="Calibri"/>
          <w:sz w:val="22"/>
          <w:szCs w:val="22"/>
        </w:rPr>
        <w:tab/>
        <w:t>vyčištění</w:t>
      </w: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9.</w:t>
      </w:r>
      <w:r w:rsidRPr="00C01156">
        <w:rPr>
          <w:rFonts w:ascii="Calibri" w:hAnsi="Calibri" w:cs="Calibri"/>
          <w:sz w:val="22"/>
          <w:szCs w:val="22"/>
        </w:rPr>
        <w:tab/>
        <w:t>vytmelení defektů (konzultováno bude tmelení výletových otvorů červotoče)</w:t>
      </w:r>
    </w:p>
    <w:p w:rsidR="00C01156" w:rsidRPr="00C01156" w:rsidRDefault="00C01156" w:rsidP="00C01156">
      <w:pPr>
        <w:rPr>
          <w:rFonts w:ascii="Calibri" w:hAnsi="Calibri" w:cs="Calibri"/>
          <w:sz w:val="22"/>
          <w:szCs w:val="22"/>
        </w:rPr>
      </w:pPr>
      <w:r w:rsidRPr="00C01156">
        <w:rPr>
          <w:rFonts w:ascii="Calibri" w:hAnsi="Calibri" w:cs="Calibri"/>
          <w:sz w:val="22"/>
          <w:szCs w:val="22"/>
        </w:rPr>
        <w:t>10.</w:t>
      </w:r>
      <w:r w:rsidRPr="00C01156">
        <w:rPr>
          <w:rFonts w:ascii="Calibri" w:hAnsi="Calibri" w:cs="Calibri"/>
          <w:sz w:val="22"/>
          <w:szCs w:val="22"/>
        </w:rPr>
        <w:tab/>
        <w:t>retuš</w:t>
      </w:r>
    </w:p>
    <w:p w:rsidR="00E8075C" w:rsidRDefault="00C01156" w:rsidP="00132762">
      <w:r w:rsidRPr="00C01156">
        <w:rPr>
          <w:rFonts w:ascii="Calibri" w:hAnsi="Calibri" w:cs="Calibri"/>
          <w:sz w:val="22"/>
          <w:szCs w:val="22"/>
        </w:rPr>
        <w:t>11.</w:t>
      </w:r>
      <w:r w:rsidRPr="00C01156">
        <w:rPr>
          <w:rFonts w:ascii="Calibri" w:hAnsi="Calibri" w:cs="Calibri"/>
          <w:sz w:val="22"/>
          <w:szCs w:val="22"/>
        </w:rPr>
        <w:tab/>
        <w:t>konzervační lak</w:t>
      </w:r>
    </w:p>
    <w:p w:rsidR="00E8075C" w:rsidRDefault="00E8075C">
      <w:pPr>
        <w:framePr w:wrap="none" w:vAnchor="page" w:hAnchor="page" w:x="6089" w:y="13483"/>
        <w:rPr>
          <w:sz w:val="2"/>
          <w:szCs w:val="2"/>
        </w:rPr>
      </w:pPr>
    </w:p>
    <w:p w:rsidR="00E8075C" w:rsidRDefault="00E8075C">
      <w:pPr>
        <w:framePr w:wrap="none" w:vAnchor="page" w:hAnchor="page" w:x="6243" w:y="14265"/>
      </w:pPr>
    </w:p>
    <w:p w:rsidR="00C01156" w:rsidRDefault="00C01156">
      <w:pPr>
        <w:spacing w:line="1" w:lineRule="exact"/>
      </w:pPr>
    </w:p>
    <w:p w:rsidR="00C01156" w:rsidRDefault="00C01156" w:rsidP="00C01156"/>
    <w:p w:rsidR="00E8075C" w:rsidRDefault="00E8075C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C01156">
      <w:pPr>
        <w:ind w:firstLine="708"/>
      </w:pPr>
    </w:p>
    <w:p w:rsidR="00E83D58" w:rsidRDefault="00E83D58" w:rsidP="00E83D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7AFE">
        <w:rPr>
          <w:rFonts w:ascii="Times New Roman" w:hAnsi="Times New Roman" w:cs="Times New Roman"/>
          <w:b/>
          <w:bCs/>
          <w:sz w:val="32"/>
          <w:szCs w:val="32"/>
        </w:rPr>
        <w:t>FOTOGRAFICKÁ DOKUMENTACE</w:t>
      </w:r>
    </w:p>
    <w:p w:rsidR="008D2ED9" w:rsidRDefault="008D2ED9" w:rsidP="00E83D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D2ED9" w:rsidRDefault="008D2ED9" w:rsidP="00E83D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D2ED9" w:rsidRDefault="008D2ED9" w:rsidP="00E83D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3D58" w:rsidRDefault="008D2ED9" w:rsidP="008D2ED9">
      <w:pPr>
        <w:ind w:firstLine="708"/>
        <w:jc w:val="center"/>
      </w:pPr>
      <w:r>
        <w:rPr>
          <w:noProof/>
          <w:lang w:bidi="ar-SA"/>
        </w:rPr>
        <w:drawing>
          <wp:inline distT="0" distB="0" distL="0" distR="0" wp14:anchorId="726A7746" wp14:editId="796EB628">
            <wp:extent cx="3977640" cy="2232133"/>
            <wp:effectExtent l="0" t="0" r="3810" b="0"/>
            <wp:docPr id="411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6" name="Obrázek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862" cy="224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D2ED9" w:rsidRDefault="008D2ED9" w:rsidP="008D2ED9">
      <w:pPr>
        <w:ind w:firstLine="708"/>
        <w:jc w:val="center"/>
      </w:pPr>
    </w:p>
    <w:p w:rsidR="008D2ED9" w:rsidRDefault="008D2ED9" w:rsidP="008D2ED9">
      <w:pPr>
        <w:ind w:firstLine="708"/>
        <w:jc w:val="center"/>
      </w:pPr>
      <w:r>
        <w:rPr>
          <w:noProof/>
          <w:lang w:bidi="ar-SA"/>
        </w:rPr>
        <w:lastRenderedPageBreak/>
        <w:drawing>
          <wp:inline distT="0" distB="0" distL="0" distR="0" wp14:anchorId="09180637" wp14:editId="6A0C632E">
            <wp:extent cx="3978000" cy="2246400"/>
            <wp:effectExtent l="0" t="0" r="3810" b="1905"/>
            <wp:docPr id="411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7" name="Obrázek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00" cy="22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D2ED9" w:rsidRDefault="008D2ED9" w:rsidP="008D2ED9">
      <w:pPr>
        <w:ind w:firstLine="708"/>
        <w:jc w:val="center"/>
      </w:pPr>
    </w:p>
    <w:p w:rsidR="008D2ED9" w:rsidRPr="00C01156" w:rsidRDefault="008D2ED9" w:rsidP="008D2ED9">
      <w:pPr>
        <w:ind w:firstLine="708"/>
        <w:jc w:val="center"/>
      </w:pPr>
      <w:r>
        <w:rPr>
          <w:noProof/>
          <w:lang w:bidi="ar-SA"/>
        </w:rPr>
        <w:drawing>
          <wp:inline distT="0" distB="0" distL="0" distR="0" wp14:anchorId="056C9877" wp14:editId="522485DC">
            <wp:extent cx="3978000" cy="2239200"/>
            <wp:effectExtent l="0" t="0" r="3810" b="8890"/>
            <wp:docPr id="411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8" name="Obrázek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00" cy="22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8D2ED9" w:rsidRPr="00C01156" w:rsidSect="000737D0">
      <w:pgSz w:w="11909" w:h="16840"/>
      <w:pgMar w:top="360" w:right="1136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A5" w:rsidRDefault="00E150A5">
      <w:r>
        <w:separator/>
      </w:r>
    </w:p>
  </w:endnote>
  <w:endnote w:type="continuationSeparator" w:id="0">
    <w:p w:rsidR="00E150A5" w:rsidRDefault="00E1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A5" w:rsidRDefault="00E150A5"/>
  </w:footnote>
  <w:footnote w:type="continuationSeparator" w:id="0">
    <w:p w:rsidR="00E150A5" w:rsidRDefault="00E150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5C"/>
    <w:rsid w:val="000737D0"/>
    <w:rsid w:val="000A6A83"/>
    <w:rsid w:val="00132762"/>
    <w:rsid w:val="0016488B"/>
    <w:rsid w:val="00343232"/>
    <w:rsid w:val="00343DDD"/>
    <w:rsid w:val="00455108"/>
    <w:rsid w:val="00535955"/>
    <w:rsid w:val="008D2ED9"/>
    <w:rsid w:val="00C01156"/>
    <w:rsid w:val="00E150A5"/>
    <w:rsid w:val="00E8075C"/>
    <w:rsid w:val="00E8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40"/>
      <w:jc w:val="center"/>
      <w:outlineLvl w:val="1"/>
    </w:pPr>
    <w:rPr>
      <w:rFonts w:ascii="Calibri" w:eastAsia="Calibri" w:hAnsi="Calibri" w:cs="Calibri"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20"/>
    </w:pPr>
    <w:rPr>
      <w:rFonts w:ascii="Calibri" w:eastAsia="Calibri" w:hAnsi="Calibri" w:cs="Calibri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40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1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0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Arial" w:eastAsia="Arial" w:hAnsi="Arial" w:cs="Arial"/>
      <w:sz w:val="14"/>
      <w:szCs w:val="14"/>
    </w:rPr>
  </w:style>
  <w:style w:type="paragraph" w:styleId="Bezmezer">
    <w:name w:val="No Spacing"/>
    <w:uiPriority w:val="1"/>
    <w:qFormat/>
    <w:rsid w:val="0013276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40"/>
      <w:jc w:val="center"/>
      <w:outlineLvl w:val="1"/>
    </w:pPr>
    <w:rPr>
      <w:rFonts w:ascii="Calibri" w:eastAsia="Calibri" w:hAnsi="Calibri" w:cs="Calibri"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20"/>
    </w:pPr>
    <w:rPr>
      <w:rFonts w:ascii="Calibri" w:eastAsia="Calibri" w:hAnsi="Calibri" w:cs="Calibri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40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1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0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Arial" w:eastAsia="Arial" w:hAnsi="Arial" w:cs="Arial"/>
      <w:sz w:val="14"/>
      <w:szCs w:val="14"/>
    </w:rPr>
  </w:style>
  <w:style w:type="paragraph" w:styleId="Bezmezer">
    <w:name w:val="No Spacing"/>
    <w:uiPriority w:val="1"/>
    <w:qFormat/>
    <w:rsid w:val="0013276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Pracovni</dc:creator>
  <cp:lastModifiedBy>Trojanova</cp:lastModifiedBy>
  <cp:revision>2</cp:revision>
  <dcterms:created xsi:type="dcterms:W3CDTF">2020-03-30T10:28:00Z</dcterms:created>
  <dcterms:modified xsi:type="dcterms:W3CDTF">2020-03-30T10:28:00Z</dcterms:modified>
</cp:coreProperties>
</file>