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1008931955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statutární město Frýdek-Místek</w:t>
      </w:r>
      <w:r w:rsidRPr="00BA0CC9">
        <w:rPr>
          <w:rFonts w:ascii="Arial" w:hAnsi="Arial" w:cs="Arial"/>
          <w:color w:val="000000"/>
          <w:sz w:val="22"/>
          <w:szCs w:val="22"/>
        </w:rPr>
        <w:t>, sídlo Radniční 1148, Frýdek-Místek, PSČ 738</w:t>
      </w:r>
      <w:r w:rsidR="00DA02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01, </w:t>
      </w:r>
      <w:r w:rsidR="00DA0246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IČO 00296643, DIČ CZ00296643</w:t>
      </w:r>
      <w:r w:rsidR="00DA0246">
        <w:rPr>
          <w:rFonts w:ascii="Arial" w:hAnsi="Arial" w:cs="Arial"/>
          <w:color w:val="000000"/>
          <w:sz w:val="22"/>
          <w:szCs w:val="22"/>
        </w:rPr>
        <w:t>,</w:t>
      </w:r>
    </w:p>
    <w:p w:rsidR="00DA0246" w:rsidRDefault="00DA02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A0246" w:rsidRPr="00BA0CC9" w:rsidRDefault="00DA02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Mgr. Michal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Pobucký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DiS., primátor města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1008931955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Frýdek - Místek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Frýdek</w:t>
      </w:r>
      <w:r w:rsidRPr="00BA0CC9">
        <w:rPr>
          <w:rFonts w:ascii="Arial" w:hAnsi="Arial" w:cs="Arial"/>
          <w:sz w:val="18"/>
          <w:szCs w:val="18"/>
        </w:rPr>
        <w:tab/>
        <w:t>1413/3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5992-77/2019 ze dne 5.8.2019 z parcely č. 1413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Frýdek</w:t>
      </w:r>
      <w:r w:rsidRPr="00BA0CC9">
        <w:rPr>
          <w:rFonts w:ascii="Arial" w:hAnsi="Arial" w:cs="Arial"/>
          <w:sz w:val="18"/>
          <w:szCs w:val="18"/>
        </w:rPr>
        <w:tab/>
        <w:t>6403/50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A0246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A0246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36D24"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Frýdek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50 670,00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Frýdek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6403/50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51 400,00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361C1" w:rsidRDefault="005361C1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Frýdek KN 6403/50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16N18/55, kterou se Státním pozemkovým úřadem uzavřel statutární město Frýdek-Místek,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F357C4" w:rsidRPr="00BA0CC9" w:rsidRDefault="00136D24" w:rsidP="00DA024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bere na vědomí a je srozuměn s tím, že prodávající uzavřel smlouvu o zřízení věcného břemene, kterému odpovídá právo umístit, zřídit a provozovat, udržovat a opravovat podzemní komunikační vedení.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A0CC9" w:rsidRDefault="00B56780" w:rsidP="00DA024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</w:t>
      </w:r>
      <w:r w:rsidR="00A57686">
        <w:rPr>
          <w:rFonts w:ascii="Arial" w:hAnsi="Arial" w:cs="Arial"/>
          <w:sz w:val="22"/>
          <w:szCs w:val="22"/>
        </w:rPr>
        <w:t xml:space="preserve"> Daň z nabytí nemovitých věcí se řídí příslušným ustanovením zákonného opatření Senátu č. 340/2013 Sb., o dani z nabytí nemovitých věcí, ve znění pozdějších předpisů, kdy je od daně z nabytí nemovitých věcí osvobozeno nabytí vlastnického práva k nemovité věci územním samosprávným celkem.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DA0246" w:rsidRPr="00BA0CC9" w:rsidRDefault="00DA02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DA0246" w:rsidRPr="00BA0CC9" w:rsidRDefault="00DA0246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DA024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72FE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DA024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136D24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prohlašuje, že nabytí pozemků odsouhlasilo zastupitelstvo statutárního města Frýdek-Místek dne</w:t>
      </w:r>
      <w:r w:rsidR="006D5EB3">
        <w:rPr>
          <w:rFonts w:ascii="Arial" w:hAnsi="Arial" w:cs="Arial"/>
          <w:sz w:val="22"/>
          <w:szCs w:val="22"/>
        </w:rPr>
        <w:t xml:space="preserve"> 4.3.2020</w:t>
      </w:r>
      <w:r w:rsidRPr="00BA0CC9">
        <w:rPr>
          <w:rFonts w:ascii="Arial" w:hAnsi="Arial" w:cs="Arial"/>
          <w:sz w:val="22"/>
          <w:szCs w:val="22"/>
        </w:rPr>
        <w:t xml:space="preserve"> usnesením č</w:t>
      </w:r>
      <w:r w:rsidRPr="006D5EB3">
        <w:rPr>
          <w:rFonts w:ascii="Arial" w:hAnsi="Arial" w:cs="Arial"/>
          <w:sz w:val="22"/>
          <w:szCs w:val="22"/>
        </w:rPr>
        <w:t xml:space="preserve">. </w:t>
      </w:r>
      <w:r w:rsidR="006D5EB3">
        <w:rPr>
          <w:rFonts w:ascii="Arial" w:hAnsi="Arial" w:cs="Arial"/>
          <w:sz w:val="22"/>
          <w:szCs w:val="22"/>
        </w:rPr>
        <w:t>3.2., bod 18.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DA024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DA024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A024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DA0246" w:rsidRPr="00BA0CC9" w:rsidRDefault="00DA024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170A48">
        <w:rPr>
          <w:rFonts w:ascii="Arial" w:hAnsi="Arial" w:cs="Arial"/>
          <w:sz w:val="22"/>
          <w:szCs w:val="22"/>
        </w:rPr>
        <w:t>27.3.2020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172FEC">
        <w:rPr>
          <w:rFonts w:ascii="Arial" w:hAnsi="Arial" w:cs="Arial"/>
          <w:sz w:val="22"/>
          <w:szCs w:val="22"/>
        </w:rPr>
        <w:t>e Frýdku-Místku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170A48">
        <w:rPr>
          <w:rFonts w:ascii="Arial" w:hAnsi="Arial" w:cs="Arial"/>
          <w:sz w:val="22"/>
          <w:szCs w:val="22"/>
        </w:rPr>
        <w:t>23.3.2020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6D5EB3">
        <w:rPr>
          <w:rFonts w:ascii="Arial" w:hAnsi="Arial" w:cs="Arial"/>
          <w:sz w:val="22"/>
          <w:szCs w:val="22"/>
        </w:rPr>
        <w:t>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statutární město Frýdek-Místek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A0246">
        <w:rPr>
          <w:rFonts w:ascii="Arial" w:hAnsi="Arial" w:cs="Arial"/>
          <w:sz w:val="22"/>
          <w:szCs w:val="22"/>
        </w:rPr>
        <w:t xml:space="preserve">Mgr. Michal </w:t>
      </w:r>
      <w:proofErr w:type="spellStart"/>
      <w:r w:rsidR="00DA0246">
        <w:rPr>
          <w:rFonts w:ascii="Arial" w:hAnsi="Arial" w:cs="Arial"/>
          <w:sz w:val="22"/>
          <w:szCs w:val="22"/>
        </w:rPr>
        <w:t>Pobucký</w:t>
      </w:r>
      <w:proofErr w:type="spellEnd"/>
      <w:r w:rsidR="00DA0246">
        <w:rPr>
          <w:rFonts w:ascii="Arial" w:hAnsi="Arial" w:cs="Arial"/>
          <w:sz w:val="22"/>
          <w:szCs w:val="22"/>
        </w:rPr>
        <w:t>, DiS.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DA0246">
        <w:rPr>
          <w:rFonts w:ascii="Arial" w:hAnsi="Arial" w:cs="Arial"/>
          <w:sz w:val="22"/>
          <w:szCs w:val="22"/>
        </w:rPr>
        <w:t>primátor města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DA0246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1603955, 1085055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Miloslav Havlíček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Zdeňka Fusková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DA0246" w:rsidRPr="00BA0CC9" w:rsidRDefault="00DA024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DA0246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246" w:rsidRDefault="00DA0246">
      <w:r>
        <w:separator/>
      </w:r>
    </w:p>
  </w:endnote>
  <w:endnote w:type="continuationSeparator" w:id="0">
    <w:p w:rsidR="00DA0246" w:rsidRDefault="00D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46" w:rsidRDefault="00DA02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A0246" w:rsidRDefault="00DA0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246" w:rsidRDefault="00DA0246">
      <w:r>
        <w:separator/>
      </w:r>
    </w:p>
  </w:footnote>
  <w:footnote w:type="continuationSeparator" w:id="0">
    <w:p w:rsidR="00DA0246" w:rsidRDefault="00DA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70A48"/>
    <w:rsid w:val="00172FEC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361C1"/>
    <w:rsid w:val="00562C72"/>
    <w:rsid w:val="0056566C"/>
    <w:rsid w:val="005A7486"/>
    <w:rsid w:val="005C47E0"/>
    <w:rsid w:val="00625710"/>
    <w:rsid w:val="00634F8F"/>
    <w:rsid w:val="006B26DB"/>
    <w:rsid w:val="006D5EB3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A0246"/>
    <w:rsid w:val="00DF7F8F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9EDC0"/>
  <w14:defaultImageDpi w14:val="0"/>
  <w15:docId w15:val="{610CDD0B-D31F-4B58-AE46-B81B817C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2000-06-22T10:13:00Z</cp:lastPrinted>
  <dcterms:created xsi:type="dcterms:W3CDTF">2020-03-30T05:41:00Z</dcterms:created>
  <dcterms:modified xsi:type="dcterms:W3CDTF">2020-03-30T05:41:00Z</dcterms:modified>
</cp:coreProperties>
</file>