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D0286" w14:textId="77777777" w:rsidR="0009512B" w:rsidRDefault="0009512B" w:rsidP="00E4043E">
      <w:pPr>
        <w:pStyle w:val="Nzev"/>
        <w:spacing w:before="480"/>
        <w:contextualSpacing/>
        <w:rPr>
          <w:rFonts w:ascii="Arial" w:hAnsi="Arial" w:cs="Arial"/>
          <w:sz w:val="28"/>
          <w:szCs w:val="28"/>
        </w:rPr>
      </w:pPr>
    </w:p>
    <w:p w14:paraId="40A6B63B" w14:textId="77777777" w:rsidR="0098448B" w:rsidRPr="00F25365" w:rsidRDefault="00A0240C" w:rsidP="00E4043E">
      <w:pPr>
        <w:pStyle w:val="Nzev"/>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14:paraId="56A9D052" w14:textId="5AE0735F" w:rsidR="00DA4A7B" w:rsidRDefault="00D92109" w:rsidP="00E4043E">
      <w:pPr>
        <w:contextualSpacing/>
        <w:jc w:val="center"/>
        <w:rPr>
          <w:rFonts w:ascii="Arial" w:hAnsi="Arial" w:cs="Arial"/>
        </w:rPr>
      </w:pPr>
      <w:r w:rsidRPr="00F25365">
        <w:rPr>
          <w:rFonts w:ascii="Arial" w:hAnsi="Arial" w:cs="Arial"/>
          <w:sz w:val="24"/>
          <w:szCs w:val="24"/>
        </w:rPr>
        <w:t xml:space="preserve">č. </w:t>
      </w:r>
      <w:r w:rsidR="00FA1FF1">
        <w:rPr>
          <w:rFonts w:ascii="Arial" w:hAnsi="Arial" w:cs="Arial"/>
          <w:sz w:val="24"/>
          <w:szCs w:val="24"/>
        </w:rPr>
        <w:t>34</w:t>
      </w:r>
      <w:r w:rsidR="00A0240C" w:rsidRPr="00F25365">
        <w:rPr>
          <w:rFonts w:ascii="Arial" w:hAnsi="Arial" w:cs="Arial"/>
          <w:sz w:val="24"/>
          <w:szCs w:val="24"/>
        </w:rPr>
        <w:t>/20</w:t>
      </w:r>
      <w:r w:rsidR="008F4A1C">
        <w:rPr>
          <w:rFonts w:ascii="Arial" w:hAnsi="Arial" w:cs="Arial"/>
          <w:sz w:val="24"/>
          <w:szCs w:val="24"/>
        </w:rPr>
        <w:t>20</w:t>
      </w:r>
    </w:p>
    <w:p w14:paraId="4BA9C04A" w14:textId="77777777" w:rsidR="009A2873" w:rsidRPr="00F25365" w:rsidRDefault="009A2873" w:rsidP="00E4043E">
      <w:pPr>
        <w:contextualSpacing/>
        <w:jc w:val="center"/>
        <w:rPr>
          <w:rFonts w:ascii="Arial" w:hAnsi="Arial" w:cs="Arial"/>
        </w:rPr>
      </w:pPr>
    </w:p>
    <w:p w14:paraId="4A42C34E" w14:textId="77777777"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14:paraId="7E4B5ACD" w14:textId="77777777"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14:paraId="2BE77804" w14:textId="77777777" w:rsidR="000A4A29" w:rsidRPr="00F25365" w:rsidRDefault="000A4A29" w:rsidP="00E4043E">
      <w:pPr>
        <w:ind w:left="-142"/>
        <w:contextualSpacing/>
        <w:rPr>
          <w:rFonts w:ascii="Arial" w:hAnsi="Arial" w:cs="Arial"/>
        </w:rPr>
      </w:pPr>
    </w:p>
    <w:p w14:paraId="69F3E992" w14:textId="77777777" w:rsidR="000A4A29" w:rsidRDefault="000A4A29" w:rsidP="00E4043E">
      <w:pPr>
        <w:ind w:left="-142"/>
        <w:contextualSpacing/>
        <w:rPr>
          <w:rFonts w:ascii="Arial" w:hAnsi="Arial" w:cs="Arial"/>
        </w:rPr>
      </w:pPr>
    </w:p>
    <w:p w14:paraId="4D54881D" w14:textId="77777777" w:rsidR="009A2873" w:rsidRDefault="009A2873" w:rsidP="00E4043E">
      <w:pPr>
        <w:ind w:left="-142"/>
        <w:contextualSpacing/>
        <w:rPr>
          <w:rFonts w:ascii="Arial" w:hAnsi="Arial" w:cs="Arial"/>
        </w:rPr>
      </w:pPr>
    </w:p>
    <w:p w14:paraId="3EF6A6F6" w14:textId="77777777" w:rsidR="009A2873" w:rsidRPr="00F25365" w:rsidRDefault="009A2873" w:rsidP="00E4043E">
      <w:pPr>
        <w:ind w:left="-142"/>
        <w:contextualSpacing/>
        <w:rPr>
          <w:rFonts w:ascii="Arial" w:hAnsi="Arial" w:cs="Arial"/>
        </w:rPr>
      </w:pPr>
    </w:p>
    <w:p w14:paraId="177010D3" w14:textId="77777777"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14:paraId="41421FE1" w14:textId="77777777" w:rsidR="00A0240C" w:rsidRPr="00F25365" w:rsidRDefault="00A0240C" w:rsidP="00E4043E">
      <w:pPr>
        <w:spacing w:before="60"/>
        <w:ind w:left="2517" w:hanging="2517"/>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619"/>
      </w:tblGrid>
      <w:tr w:rsidR="00A0240C" w:rsidRPr="00F25365" w14:paraId="1163482A" w14:textId="77777777" w:rsidTr="00AC2C26">
        <w:trPr>
          <w:cnfStyle w:val="100000000000" w:firstRow="1" w:lastRow="0" w:firstColumn="0" w:lastColumn="0" w:oddVBand="0" w:evenVBand="0" w:oddHBand="0" w:evenHBand="0" w:firstRowFirstColumn="0" w:firstRowLastColumn="0" w:lastRowFirstColumn="0" w:lastRowLastColumn="0"/>
          <w:trHeight w:hRule="exact" w:val="699"/>
        </w:trPr>
        <w:tc>
          <w:tcPr>
            <w:tcW w:w="9287" w:type="dxa"/>
            <w:gridSpan w:val="2"/>
            <w:shd w:val="clear" w:color="auto" w:fill="auto"/>
            <w:vAlign w:val="center"/>
          </w:tcPr>
          <w:p w14:paraId="20CDE18B" w14:textId="77777777"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14:paraId="15524D11" w14:textId="77777777"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14:paraId="61B9A8D5" w14:textId="77777777" w:rsidTr="00D77985">
        <w:trPr>
          <w:cnfStyle w:val="000000100000" w:firstRow="0" w:lastRow="0" w:firstColumn="0" w:lastColumn="0" w:oddVBand="0" w:evenVBand="0" w:oddHBand="1" w:evenHBand="0" w:firstRowFirstColumn="0" w:firstRowLastColumn="0" w:lastRowFirstColumn="0" w:lastRowLastColumn="0"/>
          <w:trHeight w:hRule="exact" w:val="284"/>
        </w:trPr>
        <w:tc>
          <w:tcPr>
            <w:tcW w:w="1668" w:type="dxa"/>
            <w:shd w:val="clear" w:color="auto" w:fill="auto"/>
            <w:vAlign w:val="center"/>
          </w:tcPr>
          <w:p w14:paraId="28D43592" w14:textId="77777777"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619" w:type="dxa"/>
            <w:shd w:val="clear" w:color="auto" w:fill="auto"/>
            <w:vAlign w:val="center"/>
          </w:tcPr>
          <w:p w14:paraId="7017F25C" w14:textId="77777777"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14:paraId="735C0A6A" w14:textId="77777777" w:rsidTr="00D77985">
        <w:trPr>
          <w:cnfStyle w:val="000000010000" w:firstRow="0" w:lastRow="0" w:firstColumn="0" w:lastColumn="0" w:oddVBand="0" w:evenVBand="0" w:oddHBand="0" w:evenHBand="1" w:firstRowFirstColumn="0" w:firstRowLastColumn="0" w:lastRowFirstColumn="0" w:lastRowLastColumn="0"/>
          <w:trHeight w:hRule="exact" w:val="284"/>
        </w:trPr>
        <w:tc>
          <w:tcPr>
            <w:tcW w:w="1668" w:type="dxa"/>
            <w:tcBorders>
              <w:bottom w:val="single" w:sz="4" w:space="0" w:color="auto"/>
            </w:tcBorders>
            <w:shd w:val="clear" w:color="auto" w:fill="auto"/>
            <w:vAlign w:val="center"/>
          </w:tcPr>
          <w:p w14:paraId="2A8EE57F" w14:textId="77777777"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619" w:type="dxa"/>
            <w:tcBorders>
              <w:bottom w:val="single" w:sz="4" w:space="0" w:color="auto"/>
            </w:tcBorders>
            <w:shd w:val="clear" w:color="auto" w:fill="auto"/>
            <w:vAlign w:val="center"/>
          </w:tcPr>
          <w:p w14:paraId="4707051D" w14:textId="77777777" w:rsidR="00A0240C" w:rsidRPr="00F25365" w:rsidRDefault="00A0240C" w:rsidP="00E4043E">
            <w:pPr>
              <w:contextualSpacing/>
              <w:rPr>
                <w:rFonts w:ascii="Arial" w:hAnsi="Arial" w:cs="Arial"/>
              </w:rPr>
            </w:pPr>
            <w:r w:rsidRPr="00F25365">
              <w:rPr>
                <w:rFonts w:ascii="Arial" w:hAnsi="Arial" w:cs="Arial"/>
              </w:rPr>
              <w:t>41197518</w:t>
            </w:r>
          </w:p>
        </w:tc>
      </w:tr>
      <w:tr w:rsidR="007E2158" w:rsidRPr="00F25365" w14:paraId="250ECB03" w14:textId="77777777" w:rsidTr="00D77985">
        <w:trPr>
          <w:cnfStyle w:val="000000100000" w:firstRow="0" w:lastRow="0" w:firstColumn="0" w:lastColumn="0" w:oddVBand="0" w:evenVBand="0" w:oddHBand="1" w:evenHBand="0" w:firstRowFirstColumn="0" w:firstRowLastColumn="0" w:lastRowFirstColumn="0" w:lastRowLastColumn="0"/>
          <w:trHeight w:hRule="exact" w:val="851"/>
        </w:trPr>
        <w:tc>
          <w:tcPr>
            <w:tcW w:w="1668" w:type="dxa"/>
            <w:shd w:val="clear" w:color="auto" w:fill="auto"/>
            <w:vAlign w:val="center"/>
          </w:tcPr>
          <w:p w14:paraId="2D087F64" w14:textId="77777777" w:rsidR="007E2158" w:rsidRPr="00F25365" w:rsidRDefault="007E2158" w:rsidP="00E4043E">
            <w:pPr>
              <w:spacing w:before="40"/>
              <w:contextualSpacing/>
              <w:rPr>
                <w:rFonts w:ascii="Arial" w:hAnsi="Arial" w:cs="Arial"/>
                <w:b/>
              </w:rPr>
            </w:pPr>
            <w:r w:rsidRPr="00F25365">
              <w:rPr>
                <w:rFonts w:ascii="Arial" w:hAnsi="Arial" w:cs="Arial"/>
                <w:b/>
              </w:rPr>
              <w:t xml:space="preserve">Zastoupena: </w:t>
            </w:r>
          </w:p>
          <w:p w14:paraId="3A0BF4F9" w14:textId="77777777" w:rsidR="007E2158" w:rsidRPr="00F25365" w:rsidRDefault="007E2158" w:rsidP="00E4043E">
            <w:pPr>
              <w:spacing w:before="40"/>
              <w:contextualSpacing/>
              <w:rPr>
                <w:rFonts w:ascii="Arial" w:hAnsi="Arial" w:cs="Arial"/>
                <w:b/>
              </w:rPr>
            </w:pPr>
          </w:p>
        </w:tc>
        <w:tc>
          <w:tcPr>
            <w:tcW w:w="7619" w:type="dxa"/>
            <w:shd w:val="clear" w:color="auto" w:fill="auto"/>
            <w:vAlign w:val="center"/>
          </w:tcPr>
          <w:p w14:paraId="77C1BF88" w14:textId="77777777" w:rsidR="007E2158" w:rsidRPr="00371E1F" w:rsidRDefault="007E2158" w:rsidP="009327B4">
            <w:pPr>
              <w:contextualSpacing/>
              <w:rPr>
                <w:rFonts w:ascii="Arial" w:hAnsi="Arial" w:cs="Arial"/>
              </w:rPr>
            </w:pPr>
            <w:r w:rsidRPr="00371E1F">
              <w:rPr>
                <w:rFonts w:ascii="Arial" w:hAnsi="Arial" w:cs="Arial"/>
              </w:rPr>
              <w:t>Ing. David Šmehlík, MHA, náměstek ředitele VZP ČR pro zdravotní péči,</w:t>
            </w:r>
          </w:p>
          <w:p w14:paraId="5EDDC4C2" w14:textId="77777777" w:rsidR="007E2158" w:rsidRDefault="007E2158" w:rsidP="009327B4">
            <w:pPr>
              <w:spacing w:before="40"/>
              <w:contextualSpacing/>
              <w:rPr>
                <w:rFonts w:ascii="Arial" w:hAnsi="Arial" w:cs="Arial"/>
              </w:rPr>
            </w:pPr>
            <w:r w:rsidRPr="00371E1F">
              <w:rPr>
                <w:rFonts w:ascii="Arial" w:hAnsi="Arial" w:cs="Arial"/>
              </w:rPr>
              <w:t>na základě pověření ředitele Všeobecné zdravotní pojišťovny České republiky</w:t>
            </w:r>
          </w:p>
          <w:p w14:paraId="7CD22628" w14:textId="77777777" w:rsidR="007E2158" w:rsidRDefault="007E2158" w:rsidP="009327B4">
            <w:pPr>
              <w:spacing w:before="40"/>
              <w:contextualSpacing/>
              <w:rPr>
                <w:rFonts w:ascii="Arial" w:hAnsi="Arial" w:cs="Arial"/>
              </w:rPr>
            </w:pPr>
          </w:p>
        </w:tc>
      </w:tr>
    </w:tbl>
    <w:p w14:paraId="438EFCF1" w14:textId="77777777" w:rsidR="00A0240C" w:rsidRPr="00F25365" w:rsidRDefault="00A0240C" w:rsidP="00E4043E">
      <w:pPr>
        <w:contextualSpacing/>
        <w:rPr>
          <w:rFonts w:ascii="Arial" w:hAnsi="Arial" w:cs="Arial"/>
        </w:rPr>
      </w:pPr>
    </w:p>
    <w:p w14:paraId="5F8A94FF" w14:textId="77777777"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14:paraId="6282E69B" w14:textId="77777777" w:rsidR="00A0240C" w:rsidRPr="00F25365" w:rsidRDefault="00A0240C" w:rsidP="00E4043E">
      <w:pPr>
        <w:contextualSpacing/>
        <w:rPr>
          <w:rFonts w:ascii="Arial" w:hAnsi="Arial" w:cs="Arial"/>
        </w:rPr>
      </w:pPr>
    </w:p>
    <w:p w14:paraId="52D5BEB2" w14:textId="77777777" w:rsidR="00A0240C" w:rsidRDefault="00CA20B3" w:rsidP="00E4043E">
      <w:pPr>
        <w:contextualSpacing/>
        <w:rPr>
          <w:rFonts w:ascii="Arial" w:hAnsi="Arial" w:cs="Arial"/>
        </w:rPr>
      </w:pPr>
      <w:r>
        <w:rPr>
          <w:rFonts w:ascii="Arial" w:hAnsi="Arial" w:cs="Arial"/>
        </w:rPr>
        <w:t>a</w:t>
      </w:r>
    </w:p>
    <w:p w14:paraId="6D018C33" w14:textId="77777777" w:rsidR="00512151" w:rsidRPr="00A51BA8" w:rsidRDefault="00512151" w:rsidP="00512151">
      <w:pPr>
        <w:contextualSpacing/>
        <w:rPr>
          <w:rFonts w:ascii="Arial" w:hAnsi="Arial" w:cs="Arial"/>
        </w:rPr>
      </w:pPr>
    </w:p>
    <w:tbl>
      <w:tblPr>
        <w:tblStyle w:val="Moderntabul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5"/>
      </w:tblGrid>
      <w:tr w:rsidR="008F4A1C" w:rsidRPr="0085258D" w14:paraId="43C8C2CA" w14:textId="77777777" w:rsidTr="00B73FE4">
        <w:trPr>
          <w:cnfStyle w:val="100000000000" w:firstRow="1" w:lastRow="0" w:firstColumn="0" w:lastColumn="0" w:oddVBand="0" w:evenVBand="0" w:oddHBand="0" w:evenHBand="0" w:firstRowFirstColumn="0" w:firstRowLastColumn="0" w:lastRowFirstColumn="0" w:lastRowLastColumn="0"/>
          <w:trHeight w:hRule="exact" w:val="567"/>
        </w:trPr>
        <w:tc>
          <w:tcPr>
            <w:tcW w:w="0" w:type="auto"/>
            <w:gridSpan w:val="2"/>
            <w:shd w:val="clear" w:color="auto" w:fill="auto"/>
            <w:vAlign w:val="center"/>
          </w:tcPr>
          <w:p w14:paraId="4034C726" w14:textId="290D9431" w:rsidR="008F4A1C" w:rsidRPr="0085258D" w:rsidRDefault="008C301D" w:rsidP="00B73FE4">
            <w:pPr>
              <w:contextualSpacing/>
              <w:rPr>
                <w:rFonts w:ascii="Arial" w:hAnsi="Arial" w:cs="Arial"/>
              </w:rPr>
            </w:pPr>
            <w:r w:rsidRPr="008C301D">
              <w:rPr>
                <w:rFonts w:ascii="Arial" w:hAnsi="Arial" w:cs="Arial"/>
              </w:rPr>
              <w:t>AstraZeneca AB</w:t>
            </w:r>
          </w:p>
        </w:tc>
      </w:tr>
      <w:tr w:rsidR="008F4A1C" w:rsidRPr="0085258D" w14:paraId="4CCA4F17" w14:textId="77777777" w:rsidTr="00CB4AF1">
        <w:trPr>
          <w:cnfStyle w:val="000000100000" w:firstRow="0" w:lastRow="0" w:firstColumn="0" w:lastColumn="0" w:oddVBand="0" w:evenVBand="0" w:oddHBand="1" w:evenHBand="0" w:firstRowFirstColumn="0" w:firstRowLastColumn="0" w:lastRowFirstColumn="0" w:lastRowLastColumn="0"/>
          <w:trHeight w:hRule="exact" w:val="537"/>
        </w:trPr>
        <w:tc>
          <w:tcPr>
            <w:tcW w:w="2093" w:type="dxa"/>
            <w:shd w:val="clear" w:color="auto" w:fill="auto"/>
            <w:vAlign w:val="center"/>
          </w:tcPr>
          <w:p w14:paraId="07E58BE3" w14:textId="77777777" w:rsidR="008F4A1C" w:rsidRPr="00D0419B" w:rsidRDefault="008F4A1C" w:rsidP="00B73FE4">
            <w:pPr>
              <w:contextualSpacing/>
              <w:rPr>
                <w:rFonts w:ascii="Arial" w:hAnsi="Arial" w:cs="Arial"/>
                <w:b/>
              </w:rPr>
            </w:pPr>
            <w:r w:rsidRPr="00D0419B">
              <w:rPr>
                <w:rFonts w:ascii="Arial" w:hAnsi="Arial" w:cs="Arial"/>
                <w:b/>
              </w:rPr>
              <w:t xml:space="preserve">Sídlo: </w:t>
            </w:r>
          </w:p>
        </w:tc>
        <w:tc>
          <w:tcPr>
            <w:tcW w:w="7195" w:type="dxa"/>
            <w:shd w:val="clear" w:color="auto" w:fill="auto"/>
            <w:vAlign w:val="center"/>
          </w:tcPr>
          <w:p w14:paraId="0C344867" w14:textId="734E3D14" w:rsidR="008F4A1C" w:rsidRPr="00CA7CED" w:rsidRDefault="008C301D" w:rsidP="00B73FE4">
            <w:pPr>
              <w:contextualSpacing/>
              <w:rPr>
                <w:rFonts w:ascii="Arial" w:hAnsi="Arial" w:cs="Arial"/>
              </w:rPr>
            </w:pPr>
            <w:r w:rsidRPr="008C301D">
              <w:rPr>
                <w:rFonts w:ascii="Arial" w:hAnsi="Arial" w:cs="Arial"/>
              </w:rPr>
              <w:t>Gärtunavägen, SE-151 85 Södertälje, Švédské království</w:t>
            </w:r>
          </w:p>
        </w:tc>
      </w:tr>
      <w:tr w:rsidR="008F4A1C" w:rsidRPr="0085258D" w14:paraId="1014256E" w14:textId="77777777" w:rsidTr="00B73FE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auto"/>
            <w:vAlign w:val="center"/>
          </w:tcPr>
          <w:p w14:paraId="0848FDA0" w14:textId="3B4186B0" w:rsidR="008F4A1C" w:rsidRPr="00045BE2" w:rsidRDefault="008F4A1C" w:rsidP="00B73FE4">
            <w:pPr>
              <w:contextualSpacing/>
              <w:rPr>
                <w:rFonts w:ascii="Arial" w:hAnsi="Arial" w:cs="Arial"/>
                <w:b/>
              </w:rPr>
            </w:pPr>
            <w:r w:rsidRPr="00045BE2">
              <w:rPr>
                <w:rFonts w:ascii="Arial" w:hAnsi="Arial" w:cs="Arial"/>
                <w:b/>
              </w:rPr>
              <w:t>Zapsaná:</w:t>
            </w:r>
          </w:p>
        </w:tc>
        <w:tc>
          <w:tcPr>
            <w:tcW w:w="7195" w:type="dxa"/>
            <w:shd w:val="clear" w:color="auto" w:fill="auto"/>
            <w:vAlign w:val="center"/>
          </w:tcPr>
          <w:p w14:paraId="7336958D" w14:textId="695189D5" w:rsidR="008F4A1C" w:rsidRPr="00045BE2" w:rsidRDefault="008F4A1C" w:rsidP="00B73FE4">
            <w:pPr>
              <w:contextualSpacing/>
              <w:rPr>
                <w:rFonts w:ascii="Arial" w:hAnsi="Arial" w:cs="Arial"/>
              </w:rPr>
            </w:pPr>
          </w:p>
        </w:tc>
      </w:tr>
      <w:tr w:rsidR="008F4A1C" w:rsidRPr="0085258D" w14:paraId="59F17168" w14:textId="77777777" w:rsidTr="00B73FE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auto"/>
            <w:vAlign w:val="center"/>
          </w:tcPr>
          <w:p w14:paraId="6FECB351" w14:textId="77777777" w:rsidR="008F4A1C" w:rsidRPr="00045BE2" w:rsidRDefault="008F4A1C" w:rsidP="00B73FE4">
            <w:pPr>
              <w:contextualSpacing/>
              <w:rPr>
                <w:rFonts w:ascii="Arial" w:hAnsi="Arial" w:cs="Arial"/>
                <w:b/>
              </w:rPr>
            </w:pPr>
            <w:r w:rsidRPr="00045BE2">
              <w:rPr>
                <w:rFonts w:ascii="Arial" w:hAnsi="Arial" w:cs="Arial"/>
                <w:b/>
              </w:rPr>
              <w:t>Registrační číslo:</w:t>
            </w:r>
          </w:p>
        </w:tc>
        <w:tc>
          <w:tcPr>
            <w:tcW w:w="7195" w:type="dxa"/>
            <w:shd w:val="clear" w:color="auto" w:fill="auto"/>
            <w:vAlign w:val="center"/>
          </w:tcPr>
          <w:p w14:paraId="66A819C4" w14:textId="55846D7D" w:rsidR="008F4A1C" w:rsidRPr="00045BE2" w:rsidRDefault="008C301D" w:rsidP="00B73FE4">
            <w:pPr>
              <w:contextualSpacing/>
              <w:rPr>
                <w:rFonts w:ascii="Arial" w:hAnsi="Arial" w:cs="Arial"/>
              </w:rPr>
            </w:pPr>
            <w:r w:rsidRPr="00045BE2">
              <w:rPr>
                <w:rFonts w:ascii="Arial" w:hAnsi="Arial" w:cs="Arial"/>
              </w:rPr>
              <w:t>556011-7482</w:t>
            </w:r>
          </w:p>
        </w:tc>
      </w:tr>
      <w:tr w:rsidR="008F4A1C" w:rsidRPr="0085258D" w14:paraId="5DF12EE7" w14:textId="77777777" w:rsidTr="00B73FE4">
        <w:trPr>
          <w:cnfStyle w:val="000000010000" w:firstRow="0" w:lastRow="0" w:firstColumn="0" w:lastColumn="0" w:oddVBand="0" w:evenVBand="0" w:oddHBand="0" w:evenHBand="1" w:firstRowFirstColumn="0" w:firstRowLastColumn="0" w:lastRowFirstColumn="0" w:lastRowLastColumn="0"/>
          <w:trHeight w:hRule="exact" w:val="284"/>
        </w:trPr>
        <w:tc>
          <w:tcPr>
            <w:tcW w:w="9288" w:type="dxa"/>
            <w:gridSpan w:val="2"/>
            <w:shd w:val="clear" w:color="auto" w:fill="auto"/>
            <w:vAlign w:val="center"/>
          </w:tcPr>
          <w:p w14:paraId="1E9890A1" w14:textId="77777777" w:rsidR="008F4A1C" w:rsidRPr="00045BE2" w:rsidRDefault="008F4A1C" w:rsidP="00B73FE4">
            <w:pPr>
              <w:contextualSpacing/>
              <w:rPr>
                <w:rFonts w:ascii="Arial" w:hAnsi="Arial" w:cs="Arial"/>
              </w:rPr>
            </w:pPr>
            <w:r w:rsidRPr="00045BE2">
              <w:rPr>
                <w:rFonts w:ascii="Arial" w:hAnsi="Arial" w:cs="Arial"/>
              </w:rPr>
              <w:t>Zastoupena na základě plné moci Lokálním zástupcem:</w:t>
            </w:r>
          </w:p>
        </w:tc>
      </w:tr>
      <w:tr w:rsidR="008F4A1C" w:rsidRPr="0085258D" w14:paraId="2C2888D9" w14:textId="77777777" w:rsidTr="00B73FE4">
        <w:trPr>
          <w:cnfStyle w:val="000000100000" w:firstRow="0" w:lastRow="0" w:firstColumn="0" w:lastColumn="0" w:oddVBand="0" w:evenVBand="0" w:oddHBand="1" w:evenHBand="0" w:firstRowFirstColumn="0" w:firstRowLastColumn="0" w:lastRowFirstColumn="0" w:lastRowLastColumn="0"/>
          <w:trHeight w:hRule="exact" w:val="567"/>
        </w:trPr>
        <w:tc>
          <w:tcPr>
            <w:tcW w:w="9288" w:type="dxa"/>
            <w:gridSpan w:val="2"/>
            <w:shd w:val="clear" w:color="auto" w:fill="auto"/>
            <w:vAlign w:val="center"/>
          </w:tcPr>
          <w:p w14:paraId="08A13986" w14:textId="37AF7BE3" w:rsidR="008F4A1C" w:rsidRPr="00045BE2" w:rsidRDefault="00360E04" w:rsidP="00B73FE4">
            <w:pPr>
              <w:contextualSpacing/>
              <w:rPr>
                <w:rFonts w:ascii="Arial" w:hAnsi="Arial" w:cs="Arial"/>
                <w:b/>
              </w:rPr>
            </w:pPr>
            <w:r w:rsidRPr="00045BE2">
              <w:rPr>
                <w:rFonts w:ascii="Arial" w:hAnsi="Arial" w:cs="Arial"/>
                <w:b/>
              </w:rPr>
              <w:t>AstraZeneca Czech Republic s.r.o.</w:t>
            </w:r>
          </w:p>
        </w:tc>
      </w:tr>
      <w:tr w:rsidR="008F4A1C" w:rsidRPr="0085258D" w14:paraId="5F37CD03" w14:textId="77777777" w:rsidTr="00B73FE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2A16A508" w14:textId="77777777" w:rsidR="008F4A1C" w:rsidRPr="00045BE2" w:rsidRDefault="008F4A1C" w:rsidP="00B73FE4">
            <w:pPr>
              <w:contextualSpacing/>
              <w:rPr>
                <w:rFonts w:ascii="Arial" w:hAnsi="Arial" w:cs="Arial"/>
                <w:b/>
              </w:rPr>
            </w:pPr>
            <w:r w:rsidRPr="00045BE2">
              <w:rPr>
                <w:rFonts w:ascii="Arial" w:hAnsi="Arial" w:cs="Arial"/>
                <w:b/>
              </w:rPr>
              <w:t>Sídlo:</w:t>
            </w:r>
          </w:p>
        </w:tc>
        <w:tc>
          <w:tcPr>
            <w:tcW w:w="7195" w:type="dxa"/>
            <w:shd w:val="clear" w:color="auto" w:fill="FFFFFF" w:themeFill="background1"/>
            <w:vAlign w:val="center"/>
          </w:tcPr>
          <w:p w14:paraId="41C5E039" w14:textId="14946439" w:rsidR="008F4A1C" w:rsidRPr="00CF559A" w:rsidRDefault="00045BE2" w:rsidP="00045BE2">
            <w:pPr>
              <w:contextualSpacing/>
              <w:rPr>
                <w:rFonts w:ascii="Arial" w:hAnsi="Arial" w:cs="Arial"/>
              </w:rPr>
            </w:pPr>
            <w:r w:rsidRPr="00074BD0">
              <w:rPr>
                <w:rFonts w:ascii="Arial" w:hAnsi="Arial" w:cs="Arial"/>
              </w:rPr>
              <w:t>U Trezorky 921/2, Jinonice, 158 00 Praha 5</w:t>
            </w:r>
          </w:p>
        </w:tc>
      </w:tr>
      <w:tr w:rsidR="008F4A1C" w:rsidRPr="0085258D" w14:paraId="47E4D966" w14:textId="77777777" w:rsidTr="00B73FE4">
        <w:trPr>
          <w:cnfStyle w:val="000000100000" w:firstRow="0" w:lastRow="0" w:firstColumn="0" w:lastColumn="0" w:oddVBand="0" w:evenVBand="0" w:oddHBand="1" w:evenHBand="0" w:firstRowFirstColumn="0" w:firstRowLastColumn="0" w:lastRowFirstColumn="0" w:lastRowLastColumn="0"/>
          <w:trHeight w:hRule="exact" w:val="284"/>
        </w:trPr>
        <w:tc>
          <w:tcPr>
            <w:tcW w:w="2093" w:type="dxa"/>
            <w:shd w:val="clear" w:color="auto" w:fill="FFFFFF" w:themeFill="background1"/>
            <w:vAlign w:val="center"/>
          </w:tcPr>
          <w:p w14:paraId="7AC0D1EA" w14:textId="77777777" w:rsidR="008F4A1C" w:rsidRPr="00045BE2" w:rsidRDefault="008F4A1C" w:rsidP="00B73FE4">
            <w:pPr>
              <w:contextualSpacing/>
              <w:rPr>
                <w:rFonts w:ascii="Arial" w:hAnsi="Arial" w:cs="Arial"/>
                <w:b/>
              </w:rPr>
            </w:pPr>
            <w:r w:rsidRPr="00045BE2">
              <w:rPr>
                <w:rFonts w:ascii="Arial" w:hAnsi="Arial" w:cs="Arial"/>
                <w:b/>
              </w:rPr>
              <w:t>Zapsaná:</w:t>
            </w:r>
          </w:p>
        </w:tc>
        <w:tc>
          <w:tcPr>
            <w:tcW w:w="7195" w:type="dxa"/>
            <w:shd w:val="clear" w:color="auto" w:fill="FFFFFF" w:themeFill="background1"/>
            <w:vAlign w:val="center"/>
          </w:tcPr>
          <w:p w14:paraId="5241F871" w14:textId="3F049560" w:rsidR="008F4A1C" w:rsidRPr="00074BD0" w:rsidRDefault="00074BD0" w:rsidP="00B73FE4">
            <w:pPr>
              <w:contextualSpacing/>
              <w:rPr>
                <w:rFonts w:ascii="Arial" w:hAnsi="Arial" w:cs="Arial"/>
              </w:rPr>
            </w:pPr>
            <w:r w:rsidRPr="00074BD0">
              <w:rPr>
                <w:rFonts w:ascii="Arial" w:hAnsi="Arial" w:cs="Arial"/>
              </w:rPr>
              <w:t>Městský soud v Praze, oddíl C, vložka 38105</w:t>
            </w:r>
          </w:p>
        </w:tc>
      </w:tr>
      <w:tr w:rsidR="008F4A1C" w:rsidRPr="0085258D" w14:paraId="4F746BC7" w14:textId="77777777" w:rsidTr="00B73FE4">
        <w:trPr>
          <w:cnfStyle w:val="000000010000" w:firstRow="0" w:lastRow="0" w:firstColumn="0" w:lastColumn="0" w:oddVBand="0" w:evenVBand="0" w:oddHBand="0" w:evenHBand="1" w:firstRowFirstColumn="0" w:firstRowLastColumn="0" w:lastRowFirstColumn="0" w:lastRowLastColumn="0"/>
          <w:trHeight w:hRule="exact" w:val="284"/>
        </w:trPr>
        <w:tc>
          <w:tcPr>
            <w:tcW w:w="2093" w:type="dxa"/>
            <w:shd w:val="clear" w:color="auto" w:fill="FFFFFF" w:themeFill="background1"/>
            <w:vAlign w:val="center"/>
          </w:tcPr>
          <w:p w14:paraId="3174E96F" w14:textId="77777777" w:rsidR="008F4A1C" w:rsidRPr="00045BE2" w:rsidRDefault="008F4A1C" w:rsidP="00B73FE4">
            <w:pPr>
              <w:contextualSpacing/>
              <w:rPr>
                <w:rFonts w:ascii="Arial" w:hAnsi="Arial" w:cs="Arial"/>
                <w:b/>
              </w:rPr>
            </w:pPr>
            <w:r w:rsidRPr="00045BE2">
              <w:rPr>
                <w:rFonts w:ascii="Arial" w:hAnsi="Arial" w:cs="Arial"/>
                <w:b/>
              </w:rPr>
              <w:t>IČO:</w:t>
            </w:r>
          </w:p>
        </w:tc>
        <w:tc>
          <w:tcPr>
            <w:tcW w:w="7195" w:type="dxa"/>
            <w:shd w:val="clear" w:color="auto" w:fill="FFFFFF" w:themeFill="background1"/>
            <w:vAlign w:val="center"/>
          </w:tcPr>
          <w:p w14:paraId="6D2C16D2" w14:textId="300B1614" w:rsidR="008F4A1C" w:rsidRPr="00074BD0" w:rsidRDefault="00074BD0" w:rsidP="00B73FE4">
            <w:pPr>
              <w:contextualSpacing/>
              <w:rPr>
                <w:rFonts w:ascii="Arial" w:hAnsi="Arial" w:cs="Arial"/>
              </w:rPr>
            </w:pPr>
            <w:r w:rsidRPr="00074BD0">
              <w:rPr>
                <w:rFonts w:ascii="Arial" w:hAnsi="Arial" w:cs="Arial"/>
              </w:rPr>
              <w:t>63984482</w:t>
            </w:r>
          </w:p>
        </w:tc>
      </w:tr>
      <w:tr w:rsidR="008F4A1C" w:rsidRPr="0085258D" w14:paraId="1A3F2F11" w14:textId="77777777" w:rsidTr="00B73FE4">
        <w:trPr>
          <w:cnfStyle w:val="000000100000" w:firstRow="0" w:lastRow="0" w:firstColumn="0" w:lastColumn="0" w:oddVBand="0" w:evenVBand="0" w:oddHBand="1" w:evenHBand="0" w:firstRowFirstColumn="0" w:firstRowLastColumn="0" w:lastRowFirstColumn="0" w:lastRowLastColumn="0"/>
          <w:trHeight w:hRule="exact" w:val="454"/>
        </w:trPr>
        <w:tc>
          <w:tcPr>
            <w:tcW w:w="2093" w:type="dxa"/>
            <w:shd w:val="clear" w:color="auto" w:fill="FFFFFF" w:themeFill="background1"/>
            <w:vAlign w:val="center"/>
          </w:tcPr>
          <w:p w14:paraId="405783F0" w14:textId="77777777" w:rsidR="008F4A1C" w:rsidRPr="00045BE2" w:rsidRDefault="008F4A1C" w:rsidP="00B73FE4">
            <w:pPr>
              <w:contextualSpacing/>
              <w:rPr>
                <w:rFonts w:ascii="Arial" w:hAnsi="Arial" w:cs="Arial"/>
                <w:b/>
              </w:rPr>
            </w:pPr>
            <w:r w:rsidRPr="00045BE2">
              <w:rPr>
                <w:rFonts w:ascii="Arial" w:hAnsi="Arial" w:cs="Arial"/>
                <w:b/>
              </w:rPr>
              <w:t>Zastoupena:</w:t>
            </w:r>
          </w:p>
        </w:tc>
        <w:tc>
          <w:tcPr>
            <w:tcW w:w="7195" w:type="dxa"/>
            <w:shd w:val="clear" w:color="auto" w:fill="FFFFFF" w:themeFill="background1"/>
            <w:vAlign w:val="center"/>
          </w:tcPr>
          <w:p w14:paraId="786D7570" w14:textId="265DB75C" w:rsidR="008F4A1C" w:rsidRPr="00074BD0" w:rsidRDefault="00074BD0" w:rsidP="00B73FE4">
            <w:pPr>
              <w:contextualSpacing/>
              <w:rPr>
                <w:rFonts w:ascii="Arial" w:hAnsi="Arial" w:cs="Arial"/>
              </w:rPr>
            </w:pPr>
            <w:r w:rsidRPr="00074BD0">
              <w:rPr>
                <w:rFonts w:ascii="Arial" w:hAnsi="Arial" w:cs="Arial"/>
              </w:rPr>
              <w:t>Emelie Antoni, jednatelka</w:t>
            </w:r>
          </w:p>
        </w:tc>
      </w:tr>
    </w:tbl>
    <w:p w14:paraId="6C2A946B" w14:textId="77777777" w:rsidR="00CA20B3" w:rsidRPr="00F25365" w:rsidRDefault="00CA20B3" w:rsidP="00E4043E">
      <w:pPr>
        <w:contextualSpacing/>
        <w:rPr>
          <w:rFonts w:ascii="Arial" w:hAnsi="Arial" w:cs="Arial"/>
        </w:rPr>
      </w:pPr>
    </w:p>
    <w:p w14:paraId="388CAE81" w14:textId="77777777"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14:paraId="080F586B" w14:textId="77777777" w:rsidR="000A4A29" w:rsidRPr="00F25365" w:rsidRDefault="000A4A29" w:rsidP="00E4043E">
      <w:pPr>
        <w:contextualSpacing/>
        <w:rPr>
          <w:rFonts w:ascii="Arial" w:hAnsi="Arial" w:cs="Arial"/>
        </w:rPr>
      </w:pPr>
    </w:p>
    <w:p w14:paraId="4FBFB445" w14:textId="77777777" w:rsidR="00E867A5" w:rsidRPr="00F25365" w:rsidRDefault="00E867A5" w:rsidP="00E4043E">
      <w:pPr>
        <w:contextualSpacing/>
        <w:jc w:val="center"/>
        <w:rPr>
          <w:rFonts w:ascii="Arial" w:hAnsi="Arial" w:cs="Arial"/>
          <w:b/>
        </w:rPr>
      </w:pPr>
      <w:r w:rsidRPr="00F25365">
        <w:rPr>
          <w:rFonts w:ascii="Arial" w:hAnsi="Arial" w:cs="Arial"/>
          <w:b/>
        </w:rPr>
        <w:t>u z a v í r a j í</w:t>
      </w:r>
    </w:p>
    <w:p w14:paraId="0873AC23" w14:textId="77777777" w:rsidR="00E867A5" w:rsidRPr="00F25365" w:rsidRDefault="00E867A5" w:rsidP="00E4043E">
      <w:pPr>
        <w:contextualSpacing/>
        <w:jc w:val="both"/>
        <w:rPr>
          <w:rFonts w:ascii="Arial" w:hAnsi="Arial" w:cs="Arial"/>
        </w:rPr>
      </w:pPr>
    </w:p>
    <w:p w14:paraId="589F71DC" w14:textId="77777777" w:rsidR="00E867A5" w:rsidRPr="00F25365" w:rsidRDefault="00E867A5" w:rsidP="00E4043E">
      <w:pPr>
        <w:contextualSpacing/>
        <w:jc w:val="both"/>
        <w:rPr>
          <w:rFonts w:ascii="Arial" w:hAnsi="Arial" w:cs="Arial"/>
        </w:rPr>
      </w:pPr>
    </w:p>
    <w:p w14:paraId="77DFF922" w14:textId="77777777" w:rsidR="000A4A29" w:rsidRPr="00F25365" w:rsidRDefault="000A4A29" w:rsidP="00E4043E">
      <w:pPr>
        <w:contextualSpacing/>
        <w:jc w:val="both"/>
        <w:rPr>
          <w:rFonts w:ascii="Arial" w:hAnsi="Arial" w:cs="Arial"/>
        </w:rPr>
      </w:pPr>
    </w:p>
    <w:p w14:paraId="666582FD" w14:textId="77777777"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14:paraId="5F5F04A4" w14:textId="77777777" w:rsidR="00D77985" w:rsidRDefault="00D77985" w:rsidP="00E4043E">
      <w:pPr>
        <w:tabs>
          <w:tab w:val="left" w:pos="3857"/>
          <w:tab w:val="center" w:pos="4536"/>
        </w:tabs>
        <w:contextualSpacing/>
        <w:jc w:val="center"/>
        <w:rPr>
          <w:rFonts w:ascii="Arial" w:hAnsi="Arial" w:cs="Arial"/>
          <w:b/>
        </w:rPr>
      </w:pPr>
    </w:p>
    <w:p w14:paraId="5B41F486" w14:textId="77777777"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t xml:space="preserve">Článek </w:t>
      </w:r>
      <w:r w:rsidR="00DD6627" w:rsidRPr="00F25365">
        <w:rPr>
          <w:rFonts w:ascii="Arial" w:hAnsi="Arial" w:cs="Arial"/>
          <w:b/>
        </w:rPr>
        <w:t>I</w:t>
      </w:r>
      <w:r w:rsidRPr="00F25365">
        <w:rPr>
          <w:rFonts w:ascii="Arial" w:hAnsi="Arial" w:cs="Arial"/>
          <w:b/>
        </w:rPr>
        <w:t>.</w:t>
      </w:r>
    </w:p>
    <w:p w14:paraId="0C4E9691" w14:textId="77777777" w:rsidR="00E867A5" w:rsidRDefault="00E867A5" w:rsidP="00E4043E">
      <w:pPr>
        <w:contextualSpacing/>
        <w:jc w:val="center"/>
        <w:rPr>
          <w:rFonts w:ascii="Arial" w:hAnsi="Arial" w:cs="Arial"/>
          <w:b/>
        </w:rPr>
      </w:pPr>
      <w:r w:rsidRPr="00F25365">
        <w:rPr>
          <w:rFonts w:ascii="Arial" w:hAnsi="Arial" w:cs="Arial"/>
          <w:b/>
        </w:rPr>
        <w:t>Účel Smlouvy</w:t>
      </w:r>
    </w:p>
    <w:p w14:paraId="3DF30301" w14:textId="77777777" w:rsidR="00E4043E" w:rsidRPr="00F25365" w:rsidRDefault="00E4043E" w:rsidP="00E4043E">
      <w:pPr>
        <w:contextualSpacing/>
        <w:jc w:val="center"/>
        <w:rPr>
          <w:rFonts w:ascii="Arial" w:hAnsi="Arial" w:cs="Arial"/>
          <w:b/>
        </w:rPr>
      </w:pPr>
    </w:p>
    <w:p w14:paraId="2EC71E66" w14:textId="6230915A" w:rsidR="00E4043E" w:rsidRDefault="00FE05A7" w:rsidP="008F384A">
      <w:pPr>
        <w:pStyle w:val="Odstavecseseznamem"/>
        <w:numPr>
          <w:ilvl w:val="0"/>
          <w:numId w:val="2"/>
        </w:numPr>
        <w:spacing w:before="120"/>
        <w:ind w:left="426" w:hanging="426"/>
        <w:jc w:val="both"/>
        <w:rPr>
          <w:rFonts w:ascii="Arial" w:hAnsi="Arial" w:cs="Arial"/>
        </w:rPr>
      </w:pPr>
      <w:r>
        <w:rPr>
          <w:rFonts w:ascii="Arial" w:hAnsi="Arial" w:cs="Arial"/>
        </w:rPr>
        <w:t>Držitel</w:t>
      </w:r>
      <w:r w:rsidR="00362485" w:rsidRPr="00E4043E">
        <w:rPr>
          <w:rFonts w:ascii="Arial" w:hAnsi="Arial" w:cs="Arial"/>
        </w:rPr>
        <w:t xml:space="preserve"> </w:t>
      </w:r>
      <w:r w:rsidR="00CF559A">
        <w:rPr>
          <w:rFonts w:ascii="Arial" w:hAnsi="Arial" w:cs="Arial"/>
        </w:rPr>
        <w:t>dodává</w:t>
      </w:r>
      <w:r w:rsidR="00362485" w:rsidRPr="00E4043E">
        <w:rPr>
          <w:rFonts w:ascii="Arial" w:hAnsi="Arial" w:cs="Arial"/>
        </w:rPr>
        <w:t xml:space="preserve">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14:paraId="27E5EB26" w14:textId="77777777" w:rsidR="00E4043E" w:rsidRDefault="00E4043E" w:rsidP="008F384A">
      <w:pPr>
        <w:pStyle w:val="Odstavecseseznamem"/>
        <w:spacing w:before="120"/>
        <w:ind w:left="426" w:hanging="426"/>
        <w:jc w:val="both"/>
        <w:rPr>
          <w:rFonts w:ascii="Arial" w:hAnsi="Arial" w:cs="Arial"/>
        </w:rPr>
      </w:pPr>
    </w:p>
    <w:p w14:paraId="3A7ADE35" w14:textId="77777777" w:rsidR="00E4043E"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w:t>
      </w:r>
      <w:r w:rsidR="002E2B2F" w:rsidRPr="00E4043E">
        <w:rPr>
          <w:rFonts w:ascii="Arial" w:hAnsi="Arial" w:cs="Arial"/>
        </w:rPr>
        <w:t xml:space="preserve">této </w:t>
      </w:r>
      <w:r w:rsidR="0088103B" w:rsidRPr="00E4043E">
        <w:rPr>
          <w:rFonts w:ascii="Arial" w:hAnsi="Arial" w:cs="Arial"/>
        </w:rPr>
        <w:t>S</w:t>
      </w:r>
      <w:r w:rsidRPr="00E4043E">
        <w:rPr>
          <w:rFonts w:ascii="Arial" w:hAnsi="Arial" w:cs="Arial"/>
        </w:rPr>
        <w:t>mlouvy je</w:t>
      </w:r>
      <w:r w:rsidR="00C336ED" w:rsidRPr="00E4043E">
        <w:rPr>
          <w:rFonts w:ascii="Arial" w:hAnsi="Arial" w:cs="Arial"/>
        </w:rPr>
        <w:t xml:space="preserve"> </w:t>
      </w:r>
      <w:r w:rsidR="00CB3618" w:rsidRPr="00E4043E">
        <w:rPr>
          <w:rFonts w:ascii="Arial" w:hAnsi="Arial" w:cs="Arial"/>
        </w:rPr>
        <w:t>zvýš</w:t>
      </w:r>
      <w:r w:rsidR="0088103B" w:rsidRPr="00E4043E">
        <w:rPr>
          <w:rFonts w:ascii="Arial" w:hAnsi="Arial" w:cs="Arial"/>
        </w:rPr>
        <w:t>it</w:t>
      </w:r>
      <w:r w:rsidR="00CB3618" w:rsidRPr="00E4043E">
        <w:rPr>
          <w:rFonts w:ascii="Arial" w:hAnsi="Arial" w:cs="Arial"/>
        </w:rPr>
        <w:t xml:space="preserve"> dostupnost terapie Přípravkem v rámci poskytování zdravotní péče v České republice, a to </w:t>
      </w:r>
      <w:r w:rsidR="00251E22" w:rsidRPr="00E4043E">
        <w:rPr>
          <w:rFonts w:ascii="Arial" w:hAnsi="Arial" w:cs="Arial"/>
        </w:rPr>
        <w:t>kompenz</w:t>
      </w:r>
      <w:r w:rsidR="001A1EAD">
        <w:rPr>
          <w:rFonts w:ascii="Arial" w:hAnsi="Arial" w:cs="Arial"/>
        </w:rPr>
        <w:t>ací</w:t>
      </w:r>
      <w:r w:rsidR="004A50A2">
        <w:rPr>
          <w:rFonts w:ascii="Arial" w:hAnsi="Arial" w:cs="Arial"/>
        </w:rPr>
        <w:t xml:space="preserve"> objem</w:t>
      </w:r>
      <w:r w:rsidR="001A1EAD">
        <w:rPr>
          <w:rFonts w:ascii="Arial" w:hAnsi="Arial" w:cs="Arial"/>
        </w:rPr>
        <w:t>u</w:t>
      </w:r>
      <w:r w:rsidR="004A50A2">
        <w:rPr>
          <w:rFonts w:ascii="Arial" w:hAnsi="Arial" w:cs="Arial"/>
        </w:rPr>
        <w:t xml:space="preserve"> vynaložených nákladů Pojišťovn</w:t>
      </w:r>
      <w:r w:rsidR="001E259D">
        <w:rPr>
          <w:rFonts w:ascii="Arial" w:hAnsi="Arial" w:cs="Arial"/>
        </w:rPr>
        <w:t>y</w:t>
      </w:r>
      <w:r w:rsidR="004A50A2">
        <w:rPr>
          <w:rFonts w:ascii="Arial" w:hAnsi="Arial" w:cs="Arial"/>
        </w:rPr>
        <w:t xml:space="preserve"> v souvislosti s</w:t>
      </w:r>
      <w:r w:rsidR="001E259D">
        <w:rPr>
          <w:rFonts w:ascii="Arial" w:hAnsi="Arial" w:cs="Arial"/>
        </w:rPr>
        <w:t xml:space="preserve"> terapií </w:t>
      </w:r>
      <w:r w:rsidR="00E4043E" w:rsidRPr="00E4043E">
        <w:rPr>
          <w:rFonts w:ascii="Arial" w:hAnsi="Arial" w:cs="Arial"/>
        </w:rPr>
        <w:t>Přípravk</w:t>
      </w:r>
      <w:r w:rsidR="004A50A2">
        <w:rPr>
          <w:rFonts w:ascii="Arial" w:hAnsi="Arial" w:cs="Arial"/>
        </w:rPr>
        <w:t>em</w:t>
      </w:r>
      <w:r w:rsidR="001A1EAD">
        <w:rPr>
          <w:rFonts w:ascii="Arial" w:hAnsi="Arial" w:cs="Arial"/>
        </w:rPr>
        <w:t xml:space="preserve"> </w:t>
      </w:r>
      <w:r w:rsidR="00FE05A7">
        <w:rPr>
          <w:rFonts w:ascii="Arial" w:hAnsi="Arial" w:cs="Arial"/>
        </w:rPr>
        <w:t>Držitelem</w:t>
      </w:r>
      <w:r w:rsidR="005A393F">
        <w:rPr>
          <w:rFonts w:ascii="Arial" w:hAnsi="Arial" w:cs="Arial"/>
        </w:rPr>
        <w:t>.</w:t>
      </w:r>
      <w:r w:rsidR="00CB3618" w:rsidRPr="00E4043E">
        <w:rPr>
          <w:rFonts w:ascii="Arial" w:hAnsi="Arial" w:cs="Arial"/>
        </w:rPr>
        <w:t xml:space="preserve"> V zájmu vyloučení jakýchkoliv pochybností </w:t>
      </w:r>
      <w:r w:rsidR="00251E22" w:rsidRPr="00E4043E">
        <w:rPr>
          <w:rFonts w:ascii="Arial" w:hAnsi="Arial" w:cs="Arial"/>
        </w:rPr>
        <w:t>smluvní strany</w:t>
      </w:r>
      <w:r w:rsidR="00CB3618" w:rsidRPr="00E4043E">
        <w:rPr>
          <w:rFonts w:ascii="Arial" w:hAnsi="Arial" w:cs="Arial"/>
        </w:rPr>
        <w:t xml:space="preserve"> potvrzují, že </w:t>
      </w:r>
      <w:r w:rsidR="00FE05A7">
        <w:rPr>
          <w:rFonts w:ascii="Arial" w:hAnsi="Arial" w:cs="Arial"/>
        </w:rPr>
        <w:t>prostředky Držitele</w:t>
      </w:r>
      <w:r w:rsidR="001E259D">
        <w:rPr>
          <w:rFonts w:ascii="Arial" w:hAnsi="Arial" w:cs="Arial"/>
        </w:rPr>
        <w:t xml:space="preserve"> použité na tuto finanční kompenzaci</w:t>
      </w:r>
      <w:r w:rsidR="00CB3618" w:rsidRPr="00E4043E">
        <w:rPr>
          <w:rFonts w:ascii="Arial" w:hAnsi="Arial" w:cs="Arial"/>
        </w:rPr>
        <w:t xml:space="preserve"> nemají povahu prostředků, které jsou získávány v systému zdravotního pojištění.</w:t>
      </w:r>
    </w:p>
    <w:p w14:paraId="16AB6316" w14:textId="77777777" w:rsidR="00E4043E" w:rsidRDefault="00E4043E" w:rsidP="008F384A">
      <w:pPr>
        <w:pStyle w:val="Odstavecseseznamem"/>
        <w:spacing w:before="120"/>
        <w:ind w:left="426" w:hanging="426"/>
        <w:jc w:val="both"/>
        <w:rPr>
          <w:rFonts w:ascii="Arial" w:hAnsi="Arial" w:cs="Arial"/>
        </w:rPr>
      </w:pPr>
    </w:p>
    <w:p w14:paraId="4804EF93" w14:textId="77777777" w:rsidR="00E867A5" w:rsidRPr="00E4043E" w:rsidRDefault="00E867A5" w:rsidP="008F384A">
      <w:pPr>
        <w:pStyle w:val="Odstavecseseznamem"/>
        <w:numPr>
          <w:ilvl w:val="0"/>
          <w:numId w:val="2"/>
        </w:numPr>
        <w:spacing w:before="120"/>
        <w:ind w:left="426" w:hanging="426"/>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e správnou</w:t>
      </w:r>
      <w:r w:rsidRPr="00E4043E">
        <w:rPr>
          <w:rFonts w:ascii="Arial" w:hAnsi="Arial" w:cs="Arial"/>
        </w:rPr>
        <w:t xml:space="preserve"> klinick</w:t>
      </w:r>
      <w:r w:rsidR="00512142" w:rsidRPr="00E4043E">
        <w:rPr>
          <w:rFonts w:ascii="Arial" w:hAnsi="Arial" w:cs="Arial"/>
        </w:rPr>
        <w:t>ou</w:t>
      </w:r>
      <w:r w:rsidRPr="00E4043E">
        <w:rPr>
          <w:rFonts w:ascii="Arial" w:hAnsi="Arial" w:cs="Arial"/>
        </w:rPr>
        <w:t xml:space="preserve"> prax</w:t>
      </w:r>
      <w:r w:rsidR="00512142" w:rsidRPr="00E4043E">
        <w:rPr>
          <w:rFonts w:ascii="Arial" w:hAnsi="Arial" w:cs="Arial"/>
        </w:rPr>
        <w:t>í</w:t>
      </w:r>
      <w:r w:rsidR="007319DD" w:rsidRPr="00E4043E">
        <w:rPr>
          <w:rFonts w:ascii="Arial" w:hAnsi="Arial" w:cs="Arial"/>
        </w:rPr>
        <w:t>.</w:t>
      </w:r>
      <w:r w:rsidRPr="00E4043E">
        <w:rPr>
          <w:rFonts w:ascii="Arial" w:hAnsi="Arial" w:cs="Arial"/>
        </w:rPr>
        <w:t xml:space="preserve"> </w:t>
      </w:r>
    </w:p>
    <w:p w14:paraId="0067B72B" w14:textId="77777777" w:rsidR="00E867A5" w:rsidRDefault="00E867A5" w:rsidP="008F384A">
      <w:pPr>
        <w:ind w:left="426" w:hanging="426"/>
        <w:contextualSpacing/>
        <w:jc w:val="both"/>
        <w:rPr>
          <w:rFonts w:ascii="Arial" w:hAnsi="Arial" w:cs="Arial"/>
        </w:rPr>
      </w:pPr>
    </w:p>
    <w:p w14:paraId="25EA9B27" w14:textId="77777777" w:rsidR="008575B4" w:rsidRPr="00F25365" w:rsidRDefault="008575B4" w:rsidP="008F384A">
      <w:pPr>
        <w:ind w:left="426" w:hanging="426"/>
        <w:contextualSpacing/>
        <w:jc w:val="both"/>
        <w:rPr>
          <w:rFonts w:ascii="Arial" w:hAnsi="Arial" w:cs="Arial"/>
        </w:rPr>
      </w:pPr>
    </w:p>
    <w:p w14:paraId="344EF94B" w14:textId="77777777"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14:paraId="54BE771B" w14:textId="77777777" w:rsidR="00DD6627" w:rsidRPr="00F25365" w:rsidRDefault="00DD6627" w:rsidP="00E4043E">
      <w:pPr>
        <w:contextualSpacing/>
        <w:jc w:val="center"/>
        <w:rPr>
          <w:rFonts w:ascii="Arial" w:hAnsi="Arial" w:cs="Arial"/>
          <w:b/>
        </w:rPr>
      </w:pPr>
      <w:r w:rsidRPr="00F25365">
        <w:rPr>
          <w:rFonts w:ascii="Arial" w:hAnsi="Arial" w:cs="Arial"/>
          <w:b/>
        </w:rPr>
        <w:t>Definice pojmů</w:t>
      </w:r>
    </w:p>
    <w:p w14:paraId="29EC1DE0" w14:textId="77777777" w:rsidR="00F412D1" w:rsidRPr="00F25365" w:rsidRDefault="00F412D1" w:rsidP="00E4043E">
      <w:pPr>
        <w:contextualSpacing/>
        <w:jc w:val="center"/>
        <w:rPr>
          <w:rFonts w:ascii="Arial" w:hAnsi="Arial" w:cs="Arial"/>
          <w:b/>
        </w:rPr>
      </w:pPr>
    </w:p>
    <w:p w14:paraId="6242F6C3" w14:textId="77777777"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14:paraId="3E016F41" w14:textId="77777777" w:rsidR="001B2C7F" w:rsidRPr="001B2C7F" w:rsidRDefault="001B2C7F" w:rsidP="001B2C7F">
      <w:pPr>
        <w:pStyle w:val="Odstavecseseznamem"/>
        <w:overflowPunct/>
        <w:autoSpaceDE/>
        <w:autoSpaceDN/>
        <w:adjustRightInd/>
        <w:ind w:left="426"/>
        <w:jc w:val="both"/>
        <w:textAlignment w:val="auto"/>
        <w:rPr>
          <w:rFonts w:ascii="Arial" w:hAnsi="Arial" w:cs="Arial"/>
        </w:rPr>
      </w:pPr>
    </w:p>
    <w:p w14:paraId="5815F757" w14:textId="77777777" w:rsidR="001B2C7F" w:rsidRPr="00DD64B1" w:rsidRDefault="001B2C7F" w:rsidP="0075785D">
      <w:pPr>
        <w:numPr>
          <w:ilvl w:val="0"/>
          <w:numId w:val="3"/>
        </w:numPr>
        <w:overflowPunct/>
        <w:autoSpaceDE/>
        <w:autoSpaceDN/>
        <w:adjustRightInd/>
        <w:ind w:left="426" w:hanging="426"/>
        <w:contextualSpacing/>
        <w:jc w:val="both"/>
        <w:textAlignment w:val="auto"/>
        <w:rPr>
          <w:rFonts w:ascii="Arial" w:hAnsi="Arial" w:cs="Arial"/>
          <w:lang w:val="en-GB"/>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Znakapoznpodarou"/>
          <w:rFonts w:ascii="Arial" w:hAnsi="Arial" w:cs="Arial"/>
        </w:rPr>
        <w:footnoteReference w:id="1"/>
      </w:r>
      <w:r w:rsidR="000001F1">
        <w:rPr>
          <w:rFonts w:ascii="Arial" w:hAnsi="Arial" w:cs="Arial"/>
        </w:rPr>
        <w:t>)</w:t>
      </w:r>
      <w:r w:rsidRPr="00DD64B1">
        <w:rPr>
          <w:rFonts w:ascii="Arial" w:hAnsi="Arial" w:cs="Arial"/>
        </w:rPr>
        <w:t>;</w:t>
      </w:r>
    </w:p>
    <w:p w14:paraId="5DBE9F91" w14:textId="77777777" w:rsidR="00C77ED2" w:rsidRPr="00F25365" w:rsidRDefault="00C77ED2"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Limitem</w:t>
      </w:r>
      <w:r w:rsidRPr="00F25365">
        <w:rPr>
          <w:rFonts w:ascii="Arial" w:hAnsi="Arial" w:cs="Arial"/>
        </w:rPr>
        <w:t xml:space="preserve"> </w:t>
      </w:r>
      <w:r w:rsidR="00483139" w:rsidRPr="00F25365">
        <w:rPr>
          <w:rFonts w:ascii="Arial" w:hAnsi="Arial" w:cs="Arial"/>
        </w:rPr>
        <w:t xml:space="preserve">sjednaná výše Celkového nákladu Pojišťovny na </w:t>
      </w:r>
      <w:r w:rsidR="00483139">
        <w:rPr>
          <w:rFonts w:ascii="Arial" w:hAnsi="Arial" w:cs="Arial"/>
        </w:rPr>
        <w:t>terapii</w:t>
      </w:r>
      <w:r w:rsidR="00483139" w:rsidRPr="00F25365">
        <w:rPr>
          <w:rFonts w:ascii="Arial" w:hAnsi="Arial" w:cs="Arial"/>
        </w:rPr>
        <w:t xml:space="preserve"> Přípravkem, při jehož překročení vzniká</w:t>
      </w:r>
      <w:r w:rsidR="00483139">
        <w:rPr>
          <w:rFonts w:ascii="Arial" w:hAnsi="Arial" w:cs="Arial"/>
        </w:rPr>
        <w:t xml:space="preserve"> Pojišťovně za podmínek stanovených Smlouvou </w:t>
      </w:r>
      <w:r w:rsidR="00483139" w:rsidRPr="00F25365">
        <w:rPr>
          <w:rFonts w:ascii="Arial" w:hAnsi="Arial" w:cs="Arial"/>
        </w:rPr>
        <w:t>právo na úhradu Zpětné platby</w:t>
      </w:r>
      <w:r w:rsidRPr="00F25365">
        <w:rPr>
          <w:rFonts w:ascii="Arial" w:hAnsi="Arial" w:cs="Arial"/>
        </w:rPr>
        <w:t>;</w:t>
      </w:r>
    </w:p>
    <w:p w14:paraId="74FC6B25" w14:textId="7C450B06" w:rsidR="00A145B9" w:rsidRDefault="006D307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w:t>
      </w:r>
      <w:r w:rsidR="00502B0D">
        <w:rPr>
          <w:rFonts w:ascii="Arial" w:hAnsi="Arial" w:cs="Arial"/>
        </w:rPr>
        <w:t>m</w:t>
      </w:r>
      <w:r w:rsidR="00106E44">
        <w:rPr>
          <w:rFonts w:ascii="Arial" w:hAnsi="Arial" w:cs="Arial"/>
        </w:rPr>
        <w:t xml:space="preserve">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 a </w:t>
      </w:r>
      <w:r w:rsidR="00106E44" w:rsidRPr="00F25365">
        <w:rPr>
          <w:rFonts w:ascii="Arial" w:hAnsi="Arial" w:cs="Arial"/>
        </w:rPr>
        <w:t>podnikající na území</w:t>
      </w:r>
      <w:r w:rsidR="00106E44">
        <w:rPr>
          <w:rFonts w:ascii="Arial" w:hAnsi="Arial" w:cs="Arial"/>
        </w:rPr>
        <w:t xml:space="preserve"> České republiky</w:t>
      </w:r>
      <w:r w:rsidR="00A145B9" w:rsidRPr="00F25365">
        <w:rPr>
          <w:rFonts w:ascii="Arial" w:hAnsi="Arial" w:cs="Arial"/>
        </w:rPr>
        <w:t>;</w:t>
      </w:r>
    </w:p>
    <w:p w14:paraId="12A752BF" w14:textId="77777777" w:rsidR="00F412D1" w:rsidRPr="00A145B9"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14:paraId="381E16DE" w14:textId="33A208F0" w:rsidR="00FC11A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009B4C3F" w:rsidRPr="00F25365">
        <w:rPr>
          <w:rFonts w:ascii="Arial" w:hAnsi="Arial" w:cs="Arial"/>
        </w:rPr>
        <w:t xml:space="preserve">poskytovatel zdravotních služeb, </w:t>
      </w:r>
      <w:r w:rsidR="009B4C3F">
        <w:rPr>
          <w:rFonts w:ascii="Arial" w:hAnsi="Arial" w:cs="Arial"/>
        </w:rPr>
        <w:t xml:space="preserve">který </w:t>
      </w:r>
      <w:r w:rsidR="009B4C3F" w:rsidRPr="00B33835">
        <w:rPr>
          <w:rFonts w:ascii="Arial" w:hAnsi="Arial" w:cs="Arial"/>
        </w:rPr>
        <w:t xml:space="preserve">má v den poskytnutí </w:t>
      </w:r>
      <w:r w:rsidR="009B4C3F">
        <w:rPr>
          <w:rFonts w:ascii="Arial" w:hAnsi="Arial" w:cs="Arial"/>
        </w:rPr>
        <w:t>zdravotní péče Pojištěnci</w:t>
      </w:r>
      <w:r w:rsidR="009B4C3F" w:rsidRPr="00B33835">
        <w:rPr>
          <w:rFonts w:ascii="Arial" w:hAnsi="Arial" w:cs="Arial"/>
        </w:rPr>
        <w:t xml:space="preserve"> s Pojišťovnou uzavřenou platnou smlouvu o poskytování a úhradě hrazených služeb</w:t>
      </w:r>
      <w:r w:rsidR="009B4C3F">
        <w:rPr>
          <w:rFonts w:ascii="Arial" w:hAnsi="Arial" w:cs="Arial"/>
        </w:rPr>
        <w:t xml:space="preserve"> ve smyslu zákona o veřejném zdravotním pojištění</w:t>
      </w:r>
      <w:r w:rsidR="009B4C3F" w:rsidRPr="00B33835">
        <w:rPr>
          <w:rFonts w:ascii="Arial" w:hAnsi="Arial" w:cs="Arial"/>
        </w:rPr>
        <w:t>;</w:t>
      </w:r>
    </w:p>
    <w:p w14:paraId="7560264D" w14:textId="77777777" w:rsidR="00EB48B7" w:rsidRPr="00EB48B7" w:rsidRDefault="00EB48B7" w:rsidP="00EB48B7">
      <w:pPr>
        <w:pStyle w:val="Odstavecseseznamem"/>
        <w:numPr>
          <w:ilvl w:val="0"/>
          <w:numId w:val="3"/>
        </w:numPr>
        <w:overflowPunct/>
        <w:autoSpaceDE/>
        <w:autoSpaceDN/>
        <w:adjustRightInd/>
        <w:ind w:left="426" w:hanging="426"/>
        <w:jc w:val="both"/>
        <w:textAlignment w:val="auto"/>
        <w:rPr>
          <w:rFonts w:ascii="Arial" w:hAnsi="Arial" w:cs="Arial"/>
        </w:rPr>
      </w:pPr>
      <w:r w:rsidRPr="00587601">
        <w:rPr>
          <w:rFonts w:ascii="Arial" w:hAnsi="Arial" w:cs="Arial"/>
          <w:b/>
        </w:rPr>
        <w:t>Předmětným správním řízením</w:t>
      </w:r>
      <w:r>
        <w:rPr>
          <w:rFonts w:ascii="Arial" w:hAnsi="Arial" w:cs="Arial"/>
        </w:rPr>
        <w:t xml:space="preserve"> správní řízení specifikované Přílohou č. 1 Smlouvy;</w:t>
      </w:r>
    </w:p>
    <w:p w14:paraId="04AA4825" w14:textId="4936F0A8" w:rsidR="00F412D1" w:rsidRPr="00F25365"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w:t>
      </w:r>
      <w:r w:rsidR="00E0753F">
        <w:rPr>
          <w:rFonts w:ascii="Arial" w:hAnsi="Arial" w:cs="Arial"/>
        </w:rPr>
        <w:t>uplatnění nároku na</w:t>
      </w:r>
      <w:r w:rsidR="00E0753F" w:rsidRPr="00F25365">
        <w:rPr>
          <w:rFonts w:ascii="Arial" w:hAnsi="Arial" w:cs="Arial"/>
        </w:rPr>
        <w:t xml:space="preserve"> </w:t>
      </w:r>
      <w:r w:rsidR="001B2C7F">
        <w:rPr>
          <w:rFonts w:ascii="Arial" w:hAnsi="Arial" w:cs="Arial"/>
        </w:rPr>
        <w:t>Zpětn</w:t>
      </w:r>
      <w:r w:rsidR="00E0753F">
        <w:rPr>
          <w:rFonts w:ascii="Arial" w:hAnsi="Arial" w:cs="Arial"/>
        </w:rPr>
        <w:t>ou</w:t>
      </w:r>
      <w:r w:rsidR="001B2C7F">
        <w:rPr>
          <w:rFonts w:ascii="Arial" w:hAnsi="Arial" w:cs="Arial"/>
        </w:rPr>
        <w:t xml:space="preserve"> platb</w:t>
      </w:r>
      <w:r w:rsidR="00E0753F">
        <w:rPr>
          <w:rFonts w:ascii="Arial" w:hAnsi="Arial" w:cs="Arial"/>
        </w:rPr>
        <w:t>u</w:t>
      </w:r>
      <w:r w:rsidRPr="00F25365">
        <w:rPr>
          <w:rFonts w:ascii="Arial" w:hAnsi="Arial" w:cs="Arial"/>
        </w:rPr>
        <w:t>;</w:t>
      </w:r>
    </w:p>
    <w:p w14:paraId="139E63C6" w14:textId="5BBB469B"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008F384A" w:rsidRPr="00F25365">
        <w:rPr>
          <w:rFonts w:ascii="Arial" w:hAnsi="Arial" w:cs="Arial"/>
        </w:rPr>
        <w:t xml:space="preserve">léčivý přípravek </w:t>
      </w:r>
      <w:r w:rsidR="008F384A">
        <w:rPr>
          <w:rFonts w:ascii="Arial" w:hAnsi="Arial" w:cs="Arial"/>
        </w:rPr>
        <w:t>specifikovaný Přílohou č. 1 této Smlouvy,</w:t>
      </w:r>
      <w:r w:rsidR="008F384A" w:rsidRPr="00F25365">
        <w:rPr>
          <w:rFonts w:ascii="Arial" w:hAnsi="Arial" w:cs="Arial"/>
        </w:rPr>
        <w:t xml:space="preserve"> hrazený z veřejného zdravotního pojištění při poskytování zdravotní</w:t>
      </w:r>
      <w:r w:rsidR="008F384A">
        <w:rPr>
          <w:rFonts w:ascii="Arial" w:hAnsi="Arial" w:cs="Arial"/>
        </w:rPr>
        <w:t xml:space="preserve"> péče Poskytovatelem.</w:t>
      </w:r>
      <w:r w:rsidR="008F384A" w:rsidRPr="00755005">
        <w:rPr>
          <w:rFonts w:ascii="Arial" w:hAnsi="Arial" w:cs="Arial"/>
        </w:rPr>
        <w:t xml:space="preserve"> </w:t>
      </w:r>
      <w:r w:rsidR="008F384A">
        <w:rPr>
          <w:rFonts w:ascii="Arial" w:hAnsi="Arial" w:cs="Arial"/>
        </w:rPr>
        <w:t>Přípravkem se rozumí i totožný léčivý přípravek,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léková forma léčivého přípravku u shodné léčivé látky), tudíž taková změna registrace léčivého přípravku nemá vliv na stanovenou maximální cenu a výši a podmínky úhrady</w:t>
      </w:r>
      <w:r w:rsidR="0008221D">
        <w:rPr>
          <w:rFonts w:ascii="Arial" w:hAnsi="Arial" w:cs="Arial"/>
        </w:rPr>
        <w:t>.</w:t>
      </w:r>
    </w:p>
    <w:p w14:paraId="3E665C7A" w14:textId="77777777" w:rsidR="00F412D1" w:rsidRPr="001665DF"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14:paraId="77F67AF9" w14:textId="77777777" w:rsidR="00F412D1" w:rsidRDefault="00F412D1"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14:paraId="45D8ADAC" w14:textId="6E1A8E0F" w:rsidR="001B2C7F" w:rsidRPr="00F25365" w:rsidRDefault="001B2C7F" w:rsidP="0075785D">
      <w:pPr>
        <w:pStyle w:val="Odstavecseseznamem"/>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Zpětnou platbou </w:t>
      </w:r>
      <w:r w:rsidR="002C1C82">
        <w:rPr>
          <w:rFonts w:ascii="Arial" w:hAnsi="Arial" w:cs="Arial"/>
        </w:rPr>
        <w:t xml:space="preserve">částka, na jejíž úhradu vzniká Pojišťovně právo, pokud Celkový náklad </w:t>
      </w:r>
      <w:r w:rsidR="00B73825">
        <w:rPr>
          <w:rFonts w:ascii="Arial" w:hAnsi="Arial" w:cs="Arial"/>
        </w:rPr>
        <w:t xml:space="preserve">Pojišťovny </w:t>
      </w:r>
      <w:r w:rsidR="002C1C82">
        <w:rPr>
          <w:rFonts w:ascii="Arial" w:hAnsi="Arial" w:cs="Arial"/>
        </w:rPr>
        <w:t>překročí sjednaný Limit</w:t>
      </w:r>
      <w:r w:rsidR="00502B0D" w:rsidRPr="00502B0D">
        <w:rPr>
          <w:rFonts w:ascii="Arial" w:hAnsi="Arial" w:cs="Arial"/>
        </w:rPr>
        <w:t xml:space="preserve"> </w:t>
      </w:r>
      <w:r w:rsidR="00502B0D">
        <w:rPr>
          <w:rFonts w:ascii="Arial" w:hAnsi="Arial" w:cs="Arial"/>
        </w:rPr>
        <w:t>v daném dílčím období</w:t>
      </w:r>
      <w:r w:rsidR="002C1C82">
        <w:rPr>
          <w:rFonts w:ascii="Arial" w:hAnsi="Arial" w:cs="Arial"/>
        </w:rPr>
        <w:t xml:space="preserve">, </w:t>
      </w:r>
      <w:r w:rsidR="00C00391">
        <w:rPr>
          <w:rFonts w:ascii="Arial" w:hAnsi="Arial" w:cs="Arial"/>
        </w:rPr>
        <w:t>ve výši Celkového nákladu</w:t>
      </w:r>
      <w:r w:rsidR="00502B0D" w:rsidRPr="00502B0D">
        <w:rPr>
          <w:rFonts w:ascii="Arial" w:hAnsi="Arial" w:cs="Arial"/>
        </w:rPr>
        <w:t xml:space="preserve"> </w:t>
      </w:r>
      <w:r w:rsidR="00502B0D">
        <w:rPr>
          <w:rFonts w:ascii="Arial" w:hAnsi="Arial" w:cs="Arial"/>
        </w:rPr>
        <w:t>v rozsahu</w:t>
      </w:r>
      <w:r w:rsidR="00C00391">
        <w:rPr>
          <w:rFonts w:ascii="Arial" w:hAnsi="Arial" w:cs="Arial"/>
        </w:rPr>
        <w:t xml:space="preserve"> vynaloženého Pojišťovnou nad stanovený Limit</w:t>
      </w:r>
      <w:r w:rsidR="00502B0D" w:rsidRPr="00502B0D">
        <w:rPr>
          <w:rFonts w:ascii="Arial" w:hAnsi="Arial" w:cs="Arial"/>
        </w:rPr>
        <w:t xml:space="preserve"> </w:t>
      </w:r>
      <w:r w:rsidR="00502B0D">
        <w:rPr>
          <w:rFonts w:ascii="Arial" w:hAnsi="Arial" w:cs="Arial"/>
        </w:rPr>
        <w:t>v daném dílčím období</w:t>
      </w:r>
      <w:r w:rsidR="00C00391">
        <w:rPr>
          <w:rFonts w:ascii="Arial" w:hAnsi="Arial" w:cs="Arial"/>
        </w:rPr>
        <w:t xml:space="preserve">, </w:t>
      </w:r>
      <w:r w:rsidR="002C1C82">
        <w:rPr>
          <w:rFonts w:ascii="Arial" w:hAnsi="Arial" w:cs="Arial"/>
        </w:rPr>
        <w:t xml:space="preserve">za podmínek stanovených touto Smlouvou, a </w:t>
      </w:r>
      <w:r w:rsidR="002C1C82" w:rsidRPr="00F25365">
        <w:rPr>
          <w:rFonts w:ascii="Arial" w:hAnsi="Arial" w:cs="Arial"/>
        </w:rPr>
        <w:t>kterou je Pojišťovna oprávněna přijmout do základního fondu Pojišťovny</w:t>
      </w:r>
      <w:r w:rsidRPr="00F25365">
        <w:rPr>
          <w:rFonts w:ascii="Arial" w:hAnsi="Arial" w:cs="Arial"/>
        </w:rPr>
        <w:t>.</w:t>
      </w:r>
    </w:p>
    <w:p w14:paraId="248B8C35" w14:textId="77777777" w:rsidR="005D7254" w:rsidRDefault="005D7254" w:rsidP="00E4043E">
      <w:pPr>
        <w:contextualSpacing/>
        <w:rPr>
          <w:rFonts w:ascii="Arial" w:hAnsi="Arial" w:cs="Arial"/>
          <w:b/>
        </w:rPr>
      </w:pPr>
    </w:p>
    <w:p w14:paraId="188E963D" w14:textId="77777777" w:rsidR="00561BBF" w:rsidRDefault="00561BBF" w:rsidP="00E4043E">
      <w:pPr>
        <w:contextualSpacing/>
        <w:rPr>
          <w:rFonts w:ascii="Arial" w:hAnsi="Arial" w:cs="Arial"/>
          <w:b/>
        </w:rPr>
      </w:pPr>
    </w:p>
    <w:p w14:paraId="3126527D" w14:textId="77777777" w:rsidR="00561BBF" w:rsidRDefault="00561BBF" w:rsidP="00E4043E">
      <w:pPr>
        <w:contextualSpacing/>
        <w:rPr>
          <w:rFonts w:ascii="Arial" w:hAnsi="Arial" w:cs="Arial"/>
          <w:b/>
        </w:rPr>
      </w:pPr>
    </w:p>
    <w:p w14:paraId="26376552" w14:textId="77777777" w:rsidR="00155DEE" w:rsidRDefault="00155DEE" w:rsidP="00E4043E">
      <w:pPr>
        <w:contextualSpacing/>
        <w:jc w:val="center"/>
        <w:rPr>
          <w:rFonts w:ascii="Arial" w:hAnsi="Arial" w:cs="Arial"/>
          <w:b/>
        </w:rPr>
      </w:pPr>
    </w:p>
    <w:p w14:paraId="6ECF8D04" w14:textId="77777777" w:rsidR="004D5C92" w:rsidRDefault="004D5C92" w:rsidP="00E4043E">
      <w:pPr>
        <w:contextualSpacing/>
        <w:jc w:val="center"/>
        <w:rPr>
          <w:rFonts w:ascii="Arial" w:hAnsi="Arial" w:cs="Arial"/>
          <w:b/>
        </w:rPr>
      </w:pPr>
    </w:p>
    <w:p w14:paraId="3636C173" w14:textId="08DF0500" w:rsidR="00CD61CC" w:rsidRPr="00F25365" w:rsidRDefault="00CD61CC" w:rsidP="00E4043E">
      <w:pPr>
        <w:contextualSpacing/>
        <w:jc w:val="center"/>
        <w:rPr>
          <w:rFonts w:ascii="Arial" w:hAnsi="Arial" w:cs="Arial"/>
          <w:b/>
        </w:rPr>
      </w:pPr>
      <w:r w:rsidRPr="00F25365">
        <w:rPr>
          <w:rFonts w:ascii="Arial" w:hAnsi="Arial" w:cs="Arial"/>
          <w:b/>
        </w:rPr>
        <w:t xml:space="preserve">Článek </w:t>
      </w:r>
      <w:r w:rsidR="00C21F9E">
        <w:rPr>
          <w:rFonts w:ascii="Arial" w:hAnsi="Arial" w:cs="Arial"/>
          <w:b/>
        </w:rPr>
        <w:t>III</w:t>
      </w:r>
      <w:r w:rsidR="007259B6">
        <w:rPr>
          <w:rFonts w:ascii="Arial" w:hAnsi="Arial" w:cs="Arial"/>
          <w:b/>
        </w:rPr>
        <w:t>.</w:t>
      </w:r>
    </w:p>
    <w:p w14:paraId="6DA81744" w14:textId="77777777" w:rsidR="00CD61CC" w:rsidRPr="00F25365" w:rsidRDefault="00CD61CC" w:rsidP="00E4043E">
      <w:pPr>
        <w:contextualSpacing/>
        <w:jc w:val="center"/>
        <w:rPr>
          <w:rFonts w:ascii="Arial" w:hAnsi="Arial" w:cs="Arial"/>
          <w:b/>
        </w:rPr>
      </w:pPr>
      <w:r w:rsidRPr="00F25365">
        <w:rPr>
          <w:rFonts w:ascii="Arial" w:hAnsi="Arial" w:cs="Arial"/>
          <w:b/>
        </w:rPr>
        <w:t>Předmět Smlouvy</w:t>
      </w:r>
    </w:p>
    <w:p w14:paraId="64917846" w14:textId="77777777" w:rsidR="00CD61CC" w:rsidRPr="00F25365" w:rsidRDefault="00CD61CC" w:rsidP="00E4043E">
      <w:pPr>
        <w:contextualSpacing/>
        <w:jc w:val="center"/>
        <w:rPr>
          <w:rFonts w:ascii="Arial" w:hAnsi="Arial" w:cs="Arial"/>
          <w:b/>
        </w:rPr>
      </w:pPr>
    </w:p>
    <w:p w14:paraId="3BBFF6E9" w14:textId="77777777" w:rsidR="000E3A74" w:rsidRPr="00B56A6D" w:rsidRDefault="00B56A6D" w:rsidP="000E3A74">
      <w:pPr>
        <w:contextualSpacing/>
        <w:jc w:val="both"/>
        <w:rPr>
          <w:rFonts w:ascii="Arial" w:hAnsi="Arial" w:cs="Arial"/>
        </w:rPr>
      </w:pPr>
      <w:r w:rsidRPr="00B56A6D">
        <w:rPr>
          <w:rFonts w:ascii="Arial" w:hAnsi="Arial" w:cs="Arial"/>
        </w:rPr>
        <w:t xml:space="preserve">Předmětem této Smlouvy je </w:t>
      </w:r>
      <w:r w:rsidR="00CB3618" w:rsidRPr="00CB3618">
        <w:rPr>
          <w:rFonts w:ascii="Arial" w:hAnsi="Arial" w:cs="Arial"/>
        </w:rPr>
        <w:t xml:space="preserve">závazek </w:t>
      </w:r>
      <w:r w:rsidR="00FE05A7">
        <w:rPr>
          <w:rFonts w:ascii="Arial" w:hAnsi="Arial" w:cs="Arial"/>
        </w:rPr>
        <w:t>Držitele</w:t>
      </w:r>
      <w:r w:rsidR="00CB3618" w:rsidRPr="00CB3618">
        <w:rPr>
          <w:rFonts w:ascii="Arial" w:hAnsi="Arial" w:cs="Arial"/>
        </w:rPr>
        <w:t xml:space="preserve"> </w:t>
      </w:r>
      <w:r w:rsidR="000E3A74">
        <w:rPr>
          <w:rFonts w:ascii="Arial" w:hAnsi="Arial" w:cs="Arial"/>
        </w:rPr>
        <w:t>poskytovat</w:t>
      </w:r>
      <w:r w:rsidR="00CB3618" w:rsidRPr="00CB3618">
        <w:rPr>
          <w:rFonts w:ascii="Arial" w:hAnsi="Arial" w:cs="Arial"/>
        </w:rPr>
        <w:t xml:space="preserve"> Pojišťovně za</w:t>
      </w:r>
      <w:r w:rsidR="000E3A74">
        <w:rPr>
          <w:rFonts w:ascii="Arial" w:hAnsi="Arial" w:cs="Arial"/>
        </w:rPr>
        <w:t xml:space="preserve"> Smlouvou </w:t>
      </w:r>
      <w:r w:rsidR="00CB3618" w:rsidRPr="00CB3618">
        <w:rPr>
          <w:rFonts w:ascii="Arial" w:hAnsi="Arial" w:cs="Arial"/>
        </w:rPr>
        <w:t xml:space="preserve">stanovených podmínek </w:t>
      </w:r>
      <w:r w:rsidR="001B2C7F" w:rsidRPr="00F25365">
        <w:rPr>
          <w:rFonts w:ascii="Arial" w:hAnsi="Arial" w:cs="Arial"/>
        </w:rPr>
        <w:t xml:space="preserve">Zpětnou platbu </w:t>
      </w:r>
      <w:r w:rsidR="000E3A74">
        <w:rPr>
          <w:rFonts w:ascii="Arial" w:hAnsi="Arial" w:cs="Arial"/>
        </w:rPr>
        <w:t xml:space="preserve">v případě, že Celkový náklad Pojišťovny na Přípravek </w:t>
      </w:r>
      <w:r w:rsidR="001B2C7F" w:rsidRPr="00F25365">
        <w:rPr>
          <w:rFonts w:ascii="Arial" w:hAnsi="Arial" w:cs="Arial"/>
        </w:rPr>
        <w:t>překročí stanoven</w:t>
      </w:r>
      <w:r w:rsidR="000E3A74">
        <w:rPr>
          <w:rFonts w:ascii="Arial" w:hAnsi="Arial" w:cs="Arial"/>
        </w:rPr>
        <w:t>ý</w:t>
      </w:r>
      <w:r w:rsidR="001B2C7F" w:rsidRPr="00F25365">
        <w:rPr>
          <w:rFonts w:ascii="Arial" w:hAnsi="Arial" w:cs="Arial"/>
        </w:rPr>
        <w:t xml:space="preserve"> Limit, </w:t>
      </w:r>
      <w:r w:rsidR="000E3A74" w:rsidRPr="00CB3618">
        <w:rPr>
          <w:rFonts w:ascii="Arial" w:hAnsi="Arial" w:cs="Arial"/>
        </w:rPr>
        <w:t>a tím</w:t>
      </w:r>
      <w:r w:rsidR="000E3A74">
        <w:rPr>
          <w:rFonts w:ascii="Arial" w:hAnsi="Arial" w:cs="Arial"/>
        </w:rPr>
        <w:t xml:space="preserve"> </w:t>
      </w:r>
      <w:r w:rsidR="00785CB7">
        <w:rPr>
          <w:rFonts w:ascii="Arial" w:hAnsi="Arial" w:cs="Arial"/>
        </w:rPr>
        <w:t>zajistit dosažení úspory</w:t>
      </w:r>
      <w:r w:rsidR="000E3A74">
        <w:rPr>
          <w:rFonts w:ascii="Arial" w:hAnsi="Arial" w:cs="Arial"/>
        </w:rPr>
        <w:t xml:space="preserve"> náklad</w:t>
      </w:r>
      <w:r w:rsidR="00785CB7">
        <w:rPr>
          <w:rFonts w:ascii="Arial" w:hAnsi="Arial" w:cs="Arial"/>
        </w:rPr>
        <w:t>ů</w:t>
      </w:r>
      <w:r w:rsidR="000E3A74">
        <w:rPr>
          <w:rFonts w:ascii="Arial" w:hAnsi="Arial" w:cs="Arial"/>
        </w:rPr>
        <w:t xml:space="preserve"> vynaložen</w:t>
      </w:r>
      <w:r w:rsidR="00785CB7">
        <w:rPr>
          <w:rFonts w:ascii="Arial" w:hAnsi="Arial" w:cs="Arial"/>
        </w:rPr>
        <w:t>ých</w:t>
      </w:r>
      <w:r w:rsidR="000E3A74">
        <w:rPr>
          <w:rFonts w:ascii="Arial" w:hAnsi="Arial" w:cs="Arial"/>
        </w:rPr>
        <w:t xml:space="preserve"> Pojišťovnou </w:t>
      </w:r>
      <w:r w:rsidR="000E3A74" w:rsidRPr="00CB3618">
        <w:rPr>
          <w:rFonts w:ascii="Arial" w:hAnsi="Arial" w:cs="Arial"/>
        </w:rPr>
        <w:t>na Příprav</w:t>
      </w:r>
      <w:r w:rsidR="000E3A74">
        <w:rPr>
          <w:rFonts w:ascii="Arial" w:hAnsi="Arial" w:cs="Arial"/>
        </w:rPr>
        <w:t>ek</w:t>
      </w:r>
      <w:r w:rsidR="000E3A74" w:rsidRPr="00CB3618">
        <w:rPr>
          <w:rFonts w:ascii="Arial" w:hAnsi="Arial" w:cs="Arial"/>
        </w:rPr>
        <w:t xml:space="preserve"> a závazek Pojišťovny náklady vynaložené na Přípravek </w:t>
      </w:r>
      <w:r w:rsidR="000E3A74">
        <w:rPr>
          <w:rFonts w:ascii="Arial" w:hAnsi="Arial" w:cs="Arial"/>
        </w:rPr>
        <w:t>Držiteli</w:t>
      </w:r>
      <w:r w:rsidR="000E3A74" w:rsidRPr="00CB3618">
        <w:rPr>
          <w:rFonts w:ascii="Arial" w:hAnsi="Arial" w:cs="Arial"/>
        </w:rPr>
        <w:t xml:space="preserve"> prokázat způsobem </w:t>
      </w:r>
      <w:r w:rsidR="000E3A74">
        <w:rPr>
          <w:rFonts w:ascii="Arial" w:hAnsi="Arial" w:cs="Arial"/>
        </w:rPr>
        <w:t xml:space="preserve">vymezeným </w:t>
      </w:r>
      <w:r w:rsidR="000E3A74" w:rsidRPr="00CB3618">
        <w:rPr>
          <w:rFonts w:ascii="Arial" w:hAnsi="Arial" w:cs="Arial"/>
        </w:rPr>
        <w:t>v této Smlouvě</w:t>
      </w:r>
      <w:r w:rsidR="000E3A74">
        <w:rPr>
          <w:rFonts w:ascii="Arial" w:hAnsi="Arial" w:cs="Arial"/>
        </w:rPr>
        <w:t xml:space="preserve">. </w:t>
      </w:r>
    </w:p>
    <w:p w14:paraId="4E702E8C" w14:textId="77777777" w:rsidR="001B2C7F" w:rsidRDefault="001B2C7F" w:rsidP="000E3A74">
      <w:pPr>
        <w:contextualSpacing/>
        <w:jc w:val="both"/>
        <w:rPr>
          <w:rFonts w:ascii="Arial" w:hAnsi="Arial" w:cs="Arial"/>
          <w:b/>
        </w:rPr>
      </w:pPr>
    </w:p>
    <w:p w14:paraId="40B68BE6" w14:textId="77777777" w:rsidR="001B2C7F" w:rsidRDefault="001B2C7F" w:rsidP="00A264C8">
      <w:pPr>
        <w:contextualSpacing/>
        <w:jc w:val="center"/>
        <w:rPr>
          <w:rFonts w:ascii="Arial" w:hAnsi="Arial" w:cs="Arial"/>
          <w:b/>
        </w:rPr>
      </w:pPr>
    </w:p>
    <w:p w14:paraId="3621C4A2" w14:textId="77777777" w:rsidR="00CD61CC" w:rsidRPr="00F25365" w:rsidRDefault="00C33743" w:rsidP="00A264C8">
      <w:pPr>
        <w:contextualSpacing/>
        <w:jc w:val="center"/>
        <w:rPr>
          <w:rFonts w:ascii="Arial" w:hAnsi="Arial" w:cs="Arial"/>
          <w:b/>
        </w:rPr>
      </w:pPr>
      <w:r>
        <w:rPr>
          <w:rFonts w:ascii="Arial" w:hAnsi="Arial" w:cs="Arial"/>
          <w:b/>
        </w:rPr>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14:paraId="488138AB" w14:textId="77777777" w:rsidR="00C34E91" w:rsidRDefault="00C34E91" w:rsidP="00A264C8">
      <w:pPr>
        <w:contextualSpacing/>
        <w:jc w:val="center"/>
        <w:rPr>
          <w:rFonts w:ascii="Arial" w:hAnsi="Arial" w:cs="Arial"/>
          <w:b/>
        </w:rPr>
      </w:pPr>
      <w:r w:rsidRPr="00F25365">
        <w:rPr>
          <w:rFonts w:ascii="Arial" w:hAnsi="Arial" w:cs="Arial"/>
          <w:b/>
        </w:rPr>
        <w:t>Limit a Zpětná platba</w:t>
      </w:r>
    </w:p>
    <w:p w14:paraId="2067CC58" w14:textId="77777777" w:rsidR="00A264C8" w:rsidRPr="00F25365" w:rsidRDefault="00A264C8" w:rsidP="00A264C8">
      <w:pPr>
        <w:contextualSpacing/>
        <w:rPr>
          <w:rFonts w:ascii="Arial" w:hAnsi="Arial" w:cs="Arial"/>
          <w:b/>
        </w:rPr>
      </w:pPr>
    </w:p>
    <w:p w14:paraId="491705BD" w14:textId="77777777" w:rsidR="008D35FD" w:rsidRPr="00D91E9B" w:rsidRDefault="008D35FD" w:rsidP="008D35FD">
      <w:pPr>
        <w:pStyle w:val="Odstavecseseznamem"/>
        <w:numPr>
          <w:ilvl w:val="0"/>
          <w:numId w:val="7"/>
        </w:numPr>
        <w:overflowPunct/>
        <w:autoSpaceDE/>
        <w:autoSpaceDN/>
        <w:adjustRightInd/>
        <w:ind w:left="426" w:hanging="426"/>
        <w:jc w:val="both"/>
        <w:textAlignment w:val="auto"/>
        <w:rPr>
          <w:rFonts w:ascii="Arial" w:hAnsi="Arial" w:cs="Arial"/>
        </w:rPr>
      </w:pPr>
      <w:r w:rsidRPr="00D91E9B">
        <w:rPr>
          <w:rFonts w:ascii="Arial" w:hAnsi="Arial" w:cs="Arial"/>
        </w:rPr>
        <w:t xml:space="preserve">Smluvní strany se dohodly, že Limity pro </w:t>
      </w:r>
      <w:r>
        <w:rPr>
          <w:rFonts w:ascii="Arial" w:hAnsi="Arial" w:cs="Arial"/>
        </w:rPr>
        <w:t xml:space="preserve">jednotlivá </w:t>
      </w:r>
      <w:r w:rsidRPr="00D91E9B">
        <w:rPr>
          <w:rFonts w:ascii="Arial" w:hAnsi="Arial" w:cs="Arial"/>
        </w:rPr>
        <w:t xml:space="preserve">dílčí období </w:t>
      </w:r>
      <w:r>
        <w:rPr>
          <w:rFonts w:ascii="Arial" w:hAnsi="Arial" w:cs="Arial"/>
        </w:rPr>
        <w:t>definovaná Přílohou č. 1 Smlouvy</w:t>
      </w:r>
      <w:r w:rsidRPr="00D91E9B">
        <w:rPr>
          <w:rFonts w:ascii="Arial" w:hAnsi="Arial" w:cs="Arial"/>
        </w:rPr>
        <w:t xml:space="preserve"> činí částky, jejichž výše je specifikována Přílohou č. 1 této Smlouvy.</w:t>
      </w:r>
    </w:p>
    <w:p w14:paraId="1343FF3A" w14:textId="77777777" w:rsidR="005A0395" w:rsidRDefault="005A0395" w:rsidP="005A0395">
      <w:pPr>
        <w:pStyle w:val="Odstavecseseznamem"/>
        <w:overflowPunct/>
        <w:autoSpaceDE/>
        <w:autoSpaceDN/>
        <w:adjustRightInd/>
        <w:ind w:left="426"/>
        <w:jc w:val="both"/>
        <w:textAlignment w:val="auto"/>
        <w:rPr>
          <w:rFonts w:ascii="Arial" w:hAnsi="Arial" w:cs="Arial"/>
        </w:rPr>
      </w:pPr>
    </w:p>
    <w:p w14:paraId="32A30633"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Limit</w:t>
      </w:r>
      <w:r w:rsidR="009E5521" w:rsidRPr="005A0395">
        <w:rPr>
          <w:rFonts w:ascii="Arial" w:hAnsi="Arial" w:cs="Arial"/>
        </w:rPr>
        <w:t xml:space="preserve">y specifikované Přílohou č. 1 této Smlouvy jsou </w:t>
      </w:r>
      <w:r w:rsidRPr="005A0395">
        <w:rPr>
          <w:rFonts w:ascii="Arial" w:hAnsi="Arial" w:cs="Arial"/>
        </w:rPr>
        <w:t>sjednán</w:t>
      </w:r>
      <w:r w:rsidR="009E5521" w:rsidRPr="005A0395">
        <w:rPr>
          <w:rFonts w:ascii="Arial" w:hAnsi="Arial" w:cs="Arial"/>
        </w:rPr>
        <w:t>y</w:t>
      </w:r>
      <w:r w:rsidRPr="005A0395">
        <w:rPr>
          <w:rFonts w:ascii="Arial" w:hAnsi="Arial" w:cs="Arial"/>
        </w:rPr>
        <w:t xml:space="preserve"> jako konečn</w:t>
      </w:r>
      <w:r w:rsidR="009E5521" w:rsidRPr="005A0395">
        <w:rPr>
          <w:rFonts w:ascii="Arial" w:hAnsi="Arial" w:cs="Arial"/>
        </w:rPr>
        <w:t>é</w:t>
      </w:r>
      <w:r w:rsidRPr="005A0395">
        <w:rPr>
          <w:rFonts w:ascii="Arial" w:hAnsi="Arial" w:cs="Arial"/>
        </w:rPr>
        <w:t>. Smluvní strany se dohodly, že v</w:t>
      </w:r>
      <w:r w:rsidR="000E4E55" w:rsidRPr="005A0395">
        <w:rPr>
          <w:rFonts w:ascii="Arial" w:hAnsi="Arial" w:cs="Arial"/>
        </w:rPr>
        <w:t>e vztahu k dohodnuté výši Limit</w:t>
      </w:r>
      <w:r w:rsidR="006C6CB6" w:rsidRPr="005A0395">
        <w:rPr>
          <w:rFonts w:ascii="Arial" w:hAnsi="Arial" w:cs="Arial"/>
        </w:rPr>
        <w:t>ů</w:t>
      </w:r>
      <w:r w:rsidR="000E4E55" w:rsidRPr="005A0395">
        <w:rPr>
          <w:rFonts w:ascii="Arial" w:hAnsi="Arial" w:cs="Arial"/>
        </w:rPr>
        <w:t xml:space="preserve"> </w:t>
      </w:r>
      <w:r w:rsidRPr="005A0395">
        <w:rPr>
          <w:rFonts w:ascii="Arial" w:hAnsi="Arial" w:cs="Arial"/>
        </w:rPr>
        <w:t>přebírají dle § 1765 občanského zákoníku riziko změn okolností s výjimkou uvedenou v</w:t>
      </w:r>
      <w:r w:rsidR="00240E2D" w:rsidRPr="005A0395">
        <w:rPr>
          <w:rFonts w:ascii="Arial" w:hAnsi="Arial" w:cs="Arial"/>
        </w:rPr>
        <w:t> </w:t>
      </w:r>
      <w:r w:rsidRPr="005A0395">
        <w:rPr>
          <w:rFonts w:ascii="Arial" w:hAnsi="Arial" w:cs="Arial"/>
        </w:rPr>
        <w:t>článku</w:t>
      </w:r>
      <w:r w:rsidR="00240E2D" w:rsidRPr="005A0395">
        <w:rPr>
          <w:rFonts w:ascii="Arial" w:hAnsi="Arial" w:cs="Arial"/>
        </w:rPr>
        <w:t xml:space="preserve"> VIII. odst. 1 písm. c</w:t>
      </w:r>
      <w:r w:rsidR="008D35FD">
        <w:rPr>
          <w:rFonts w:ascii="Arial" w:hAnsi="Arial" w:cs="Arial"/>
        </w:rPr>
        <w:t>.</w:t>
      </w:r>
      <w:r w:rsidR="00240E2D" w:rsidRPr="005A0395">
        <w:rPr>
          <w:rFonts w:ascii="Arial" w:hAnsi="Arial" w:cs="Arial"/>
        </w:rPr>
        <w:t xml:space="preserve"> této Smlouvy.</w:t>
      </w:r>
      <w:r w:rsidRPr="005A0395">
        <w:rPr>
          <w:rFonts w:ascii="Arial" w:hAnsi="Arial" w:cs="Arial"/>
          <w:color w:val="FF0000"/>
        </w:rPr>
        <w:t xml:space="preserve"> </w:t>
      </w:r>
    </w:p>
    <w:p w14:paraId="333199DC" w14:textId="77777777" w:rsidR="00C34E91" w:rsidRPr="006C6CB6" w:rsidRDefault="00C34E91" w:rsidP="00A264C8">
      <w:pPr>
        <w:pStyle w:val="Odstavecseseznamem"/>
        <w:overflowPunct/>
        <w:autoSpaceDE/>
        <w:autoSpaceDN/>
        <w:adjustRightInd/>
        <w:ind w:left="426" w:hanging="426"/>
        <w:jc w:val="both"/>
        <w:textAlignment w:val="auto"/>
        <w:rPr>
          <w:rFonts w:ascii="Arial" w:hAnsi="Arial" w:cs="Arial"/>
          <w:color w:val="FF0000"/>
        </w:rPr>
      </w:pPr>
    </w:p>
    <w:p w14:paraId="10E863C4" w14:textId="77777777" w:rsidR="005A0395" w:rsidRPr="005A0395" w:rsidRDefault="00AD4008"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C1435E">
        <w:rPr>
          <w:rFonts w:ascii="Arial" w:hAnsi="Arial" w:cs="Arial"/>
        </w:rPr>
        <w:t>Držitel</w:t>
      </w:r>
      <w:r w:rsidR="00C34E91" w:rsidRPr="00C1435E">
        <w:rPr>
          <w:rFonts w:ascii="Arial" w:hAnsi="Arial" w:cs="Arial"/>
        </w:rPr>
        <w:t xml:space="preserve"> se zavazuje poskytnout Pojišťovně Zpětnou platbu při překročení Limitu</w:t>
      </w:r>
      <w:r w:rsidR="001E0DFF" w:rsidRPr="00C1435E">
        <w:rPr>
          <w:rFonts w:ascii="Arial" w:hAnsi="Arial" w:cs="Arial"/>
        </w:rPr>
        <w:t xml:space="preserve"> v každém dílčím období. </w:t>
      </w:r>
      <w:r w:rsidR="00B53228" w:rsidRPr="00C1435E">
        <w:rPr>
          <w:rFonts w:ascii="Arial" w:hAnsi="Arial" w:cs="Arial"/>
        </w:rPr>
        <w:t>Zpětnou platbu bude Pojišťovna na Držiteli uplatňovat v termínech fakturace</w:t>
      </w:r>
      <w:r w:rsidR="005A0395">
        <w:rPr>
          <w:rFonts w:ascii="Arial" w:hAnsi="Arial" w:cs="Arial"/>
        </w:rPr>
        <w:t xml:space="preserve"> dle článku VI</w:t>
      </w:r>
      <w:r w:rsidR="0008221D">
        <w:rPr>
          <w:rFonts w:ascii="Arial" w:hAnsi="Arial" w:cs="Arial"/>
        </w:rPr>
        <w:t>.</w:t>
      </w:r>
      <w:r w:rsidR="005A0395">
        <w:rPr>
          <w:rFonts w:ascii="Arial" w:hAnsi="Arial" w:cs="Arial"/>
        </w:rPr>
        <w:t xml:space="preserve"> odst. 1 Smlouvy.</w:t>
      </w:r>
      <w:r w:rsidR="00B53228" w:rsidRPr="00C1435E">
        <w:rPr>
          <w:rFonts w:ascii="Arial" w:hAnsi="Arial" w:cs="Arial"/>
          <w:color w:val="FF0000"/>
        </w:rPr>
        <w:t xml:space="preserve"> </w:t>
      </w:r>
    </w:p>
    <w:p w14:paraId="3E481DAF" w14:textId="77777777" w:rsidR="005A0395" w:rsidRPr="005A0395" w:rsidRDefault="005A0395" w:rsidP="005A0395">
      <w:pPr>
        <w:pStyle w:val="Odstavecseseznamem"/>
        <w:rPr>
          <w:rFonts w:ascii="Arial" w:hAnsi="Arial" w:cs="Arial"/>
        </w:rPr>
      </w:pPr>
    </w:p>
    <w:p w14:paraId="6FA7A75A" w14:textId="77777777" w:rsidR="00C34E91" w:rsidRPr="005A0395" w:rsidRDefault="00C34E91" w:rsidP="005A0395">
      <w:pPr>
        <w:pStyle w:val="Odstavecseseznamem"/>
        <w:numPr>
          <w:ilvl w:val="0"/>
          <w:numId w:val="7"/>
        </w:numPr>
        <w:overflowPunct/>
        <w:autoSpaceDE/>
        <w:autoSpaceDN/>
        <w:adjustRightInd/>
        <w:ind w:left="426" w:hanging="426"/>
        <w:jc w:val="both"/>
        <w:textAlignment w:val="auto"/>
        <w:rPr>
          <w:rFonts w:ascii="Arial" w:hAnsi="Arial" w:cs="Arial"/>
        </w:rPr>
      </w:pPr>
      <w:r w:rsidRPr="005A0395">
        <w:rPr>
          <w:rFonts w:ascii="Arial" w:hAnsi="Arial" w:cs="Arial"/>
        </w:rPr>
        <w:t>Podrobné fakturační a platební podmínky pro poskytnutí Zpětné platby jsou uvedeny v</w:t>
      </w:r>
      <w:r w:rsidR="005A0395">
        <w:rPr>
          <w:rFonts w:ascii="Arial" w:hAnsi="Arial" w:cs="Arial"/>
        </w:rPr>
        <w:t> </w:t>
      </w:r>
      <w:r w:rsidRPr="005A0395">
        <w:rPr>
          <w:rFonts w:ascii="Arial" w:hAnsi="Arial" w:cs="Arial"/>
        </w:rPr>
        <w:t>článku</w:t>
      </w:r>
      <w:r w:rsidR="005A0395">
        <w:rPr>
          <w:rFonts w:ascii="Arial" w:hAnsi="Arial" w:cs="Arial"/>
        </w:rPr>
        <w:t xml:space="preserve"> VI.</w:t>
      </w:r>
      <w:r w:rsidR="008D35FD">
        <w:rPr>
          <w:rFonts w:ascii="Arial" w:hAnsi="Arial" w:cs="Arial"/>
        </w:rPr>
        <w:t> </w:t>
      </w:r>
      <w:r w:rsidR="005A0395">
        <w:rPr>
          <w:rFonts w:ascii="Arial" w:hAnsi="Arial" w:cs="Arial"/>
        </w:rPr>
        <w:t>Smlouvy.</w:t>
      </w:r>
    </w:p>
    <w:p w14:paraId="0DCC0D4D" w14:textId="77777777" w:rsidR="00CD61CC" w:rsidRDefault="00CD61CC" w:rsidP="00A264C8">
      <w:pPr>
        <w:contextualSpacing/>
        <w:jc w:val="both"/>
        <w:rPr>
          <w:rFonts w:ascii="Arial" w:hAnsi="Arial" w:cs="Arial"/>
        </w:rPr>
      </w:pPr>
    </w:p>
    <w:p w14:paraId="68270223" w14:textId="77777777" w:rsidR="000912F3" w:rsidRPr="00F25365" w:rsidRDefault="000912F3" w:rsidP="00A264C8">
      <w:pPr>
        <w:contextualSpacing/>
        <w:jc w:val="both"/>
        <w:rPr>
          <w:rFonts w:ascii="Arial" w:hAnsi="Arial" w:cs="Arial"/>
        </w:rPr>
      </w:pPr>
    </w:p>
    <w:p w14:paraId="3B89D746"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14:paraId="32147B1D" w14:textId="77777777"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14:paraId="56C3C37A" w14:textId="77777777" w:rsidR="006C6CB6" w:rsidRPr="00F25365" w:rsidRDefault="006C6CB6" w:rsidP="006C6CB6">
      <w:pPr>
        <w:ind w:left="426" w:hanging="426"/>
        <w:contextualSpacing/>
        <w:jc w:val="center"/>
        <w:rPr>
          <w:rFonts w:ascii="Arial" w:hAnsi="Arial" w:cs="Arial"/>
          <w:b/>
        </w:rPr>
      </w:pPr>
    </w:p>
    <w:p w14:paraId="2F2F0526"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Pr>
          <w:rFonts w:ascii="Arial" w:hAnsi="Arial" w:cs="Arial"/>
        </w:rPr>
        <w:t xml:space="preserve">Celkový náklad vynaložený </w:t>
      </w:r>
      <w:r w:rsidRPr="005D7254">
        <w:rPr>
          <w:rFonts w:ascii="Arial" w:hAnsi="Arial" w:cs="Arial"/>
        </w:rPr>
        <w:t xml:space="preserve">na terapii </w:t>
      </w:r>
      <w:r w:rsidR="00FD4D46" w:rsidRPr="005D7254">
        <w:rPr>
          <w:rFonts w:ascii="Arial" w:hAnsi="Arial" w:cs="Arial"/>
        </w:rPr>
        <w:t>P</w:t>
      </w:r>
      <w:r w:rsidRPr="005D7254">
        <w:rPr>
          <w:rFonts w:ascii="Arial" w:hAnsi="Arial" w:cs="Arial"/>
        </w:rPr>
        <w:t>ojištěnců Pojišťovnou</w:t>
      </w:r>
      <w:r>
        <w:rPr>
          <w:rFonts w:ascii="Arial" w:hAnsi="Arial" w:cs="Arial"/>
        </w:rPr>
        <w:t xml:space="preserve">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14:paraId="39E556E0" w14:textId="77777777" w:rsidR="006C6CB6" w:rsidRDefault="006C6CB6" w:rsidP="006C6CB6">
      <w:pPr>
        <w:pStyle w:val="Odstavecseseznamem"/>
        <w:overflowPunct/>
        <w:autoSpaceDE/>
        <w:autoSpaceDN/>
        <w:adjustRightInd/>
        <w:ind w:left="426"/>
        <w:jc w:val="both"/>
        <w:textAlignment w:val="auto"/>
        <w:rPr>
          <w:rFonts w:ascii="Arial" w:hAnsi="Arial" w:cs="Arial"/>
        </w:rPr>
      </w:pPr>
    </w:p>
    <w:p w14:paraId="2E42A193"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14:paraId="4D3D41D8" w14:textId="77777777" w:rsidR="006C6CB6"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14:paraId="4213D336" w14:textId="69CB9AED" w:rsidR="00264550" w:rsidRPr="0089279A" w:rsidRDefault="006C6CB6" w:rsidP="00264550">
      <w:pPr>
        <w:pStyle w:val="Odstavecseseznamem"/>
        <w:numPr>
          <w:ilvl w:val="0"/>
          <w:numId w:val="11"/>
        </w:numPr>
        <w:overflowPunct/>
        <w:autoSpaceDE/>
        <w:autoSpaceDN/>
        <w:adjustRightInd/>
        <w:ind w:left="851" w:hanging="284"/>
        <w:jc w:val="both"/>
        <w:textAlignment w:val="auto"/>
      </w:pPr>
      <w:r>
        <w:rPr>
          <w:rFonts w:ascii="Arial" w:hAnsi="Arial" w:cs="Arial"/>
        </w:rPr>
        <w:t>p</w:t>
      </w:r>
      <w:r w:rsidRPr="00F25365">
        <w:rPr>
          <w:rFonts w:ascii="Arial" w:hAnsi="Arial" w:cs="Arial"/>
        </w:rPr>
        <w:t xml:space="preserve">očet UOP, u kterých byla </w:t>
      </w:r>
      <w:r w:rsidR="00DB6262">
        <w:rPr>
          <w:rFonts w:ascii="Arial" w:hAnsi="Arial" w:cs="Arial"/>
        </w:rPr>
        <w:t>vykázána</w:t>
      </w:r>
      <w:r w:rsidRPr="00F25365">
        <w:rPr>
          <w:rFonts w:ascii="Arial" w:hAnsi="Arial" w:cs="Arial"/>
        </w:rPr>
        <w:t xml:space="preserve">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14:paraId="0D9A8CFF" w14:textId="77777777" w:rsidR="006C6CB6" w:rsidRPr="00646151"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sidR="00264550">
        <w:rPr>
          <w:rFonts w:ascii="Arial" w:hAnsi="Arial" w:cs="Arial"/>
        </w:rPr>
        <w:t xml:space="preserve"> (v členění na jednotlivé kalendářní měsíce)</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14:paraId="7D1FC5F6" w14:textId="77777777" w:rsidR="006C6CB6" w:rsidRPr="008C2B8E" w:rsidRDefault="006C6CB6" w:rsidP="0075785D">
      <w:pPr>
        <w:pStyle w:val="Odstavecseseznamem"/>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Zpětné platby po překročení Limitu</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za příslušné fakturační období za podmínek uvedených v této Smlouvě</w:t>
      </w:r>
      <w:r w:rsidRPr="008C2B8E">
        <w:rPr>
          <w:rFonts w:ascii="Arial" w:hAnsi="Arial" w:cs="Arial"/>
        </w:rPr>
        <w:t>.</w:t>
      </w:r>
    </w:p>
    <w:p w14:paraId="46FA5877" w14:textId="77777777" w:rsidR="006C6CB6" w:rsidRPr="00F25365" w:rsidRDefault="006C6CB6" w:rsidP="006C6CB6">
      <w:pPr>
        <w:pStyle w:val="Odstavecseseznamem"/>
        <w:ind w:left="426" w:hanging="426"/>
        <w:jc w:val="both"/>
        <w:rPr>
          <w:rFonts w:ascii="Arial" w:hAnsi="Arial" w:cs="Arial"/>
        </w:rPr>
      </w:pPr>
    </w:p>
    <w:p w14:paraId="0D20AEDE" w14:textId="77777777" w:rsidR="006C6CB6" w:rsidRPr="00F25365"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w:t>
      </w:r>
      <w:r w:rsidR="007E2158">
        <w:rPr>
          <w:rFonts w:ascii="Arial" w:hAnsi="Arial" w:cs="Arial"/>
        </w:rPr>
        <w:t xml:space="preserve"> kontaktní osoby, a to: do 15. 11</w:t>
      </w:r>
      <w:r w:rsidRPr="00F25365">
        <w:rPr>
          <w:rFonts w:ascii="Arial" w:hAnsi="Arial" w:cs="Arial"/>
        </w:rPr>
        <w:t xml:space="preserve">. (data za měsíce </w:t>
      </w:r>
      <w:r>
        <w:rPr>
          <w:rFonts w:ascii="Arial" w:hAnsi="Arial" w:cs="Arial"/>
        </w:rPr>
        <w:t>leden</w:t>
      </w:r>
      <w:r w:rsidR="007E2158">
        <w:rPr>
          <w:rFonts w:ascii="Arial" w:hAnsi="Arial" w:cs="Arial"/>
        </w:rPr>
        <w:t xml:space="preserve"> až červen) a do 15. 5</w:t>
      </w:r>
      <w:r w:rsidRPr="00F25365">
        <w:rPr>
          <w:rFonts w:ascii="Arial" w:hAnsi="Arial" w:cs="Arial"/>
        </w:rPr>
        <w:t xml:space="preserve">.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14:paraId="39E121C3" w14:textId="77777777" w:rsidR="006C6CB6" w:rsidRPr="00F25365" w:rsidRDefault="006C6CB6" w:rsidP="006C6CB6">
      <w:pPr>
        <w:pStyle w:val="Odstavecseseznamem"/>
        <w:overflowPunct/>
        <w:autoSpaceDE/>
        <w:autoSpaceDN/>
        <w:adjustRightInd/>
        <w:ind w:left="426" w:hanging="426"/>
        <w:textAlignment w:val="auto"/>
        <w:rPr>
          <w:rFonts w:ascii="Arial" w:hAnsi="Arial" w:cs="Arial"/>
        </w:rPr>
      </w:pPr>
    </w:p>
    <w:p w14:paraId="0CD908A4" w14:textId="77777777" w:rsidR="006C6CB6" w:rsidRDefault="006C6CB6" w:rsidP="0075785D">
      <w:pPr>
        <w:pStyle w:val="Odstavecseseznamem"/>
        <w:numPr>
          <w:ilvl w:val="0"/>
          <w:numId w:val="10"/>
        </w:numPr>
        <w:overflowPunct/>
        <w:autoSpaceDE/>
        <w:autoSpaceDN/>
        <w:adjustRightInd/>
        <w:ind w:left="426" w:hanging="426"/>
        <w:jc w:val="both"/>
        <w:textAlignment w:val="auto"/>
        <w:rPr>
          <w:rFonts w:ascii="Arial" w:hAnsi="Arial" w:cs="Arial"/>
        </w:rPr>
      </w:pPr>
      <w:r>
        <w:rPr>
          <w:rFonts w:ascii="Arial" w:hAnsi="Arial" w:cs="Arial"/>
        </w:rPr>
        <w:t>Držitel</w:t>
      </w:r>
      <w:r w:rsidRPr="00F25365">
        <w:rPr>
          <w:rFonts w:ascii="Arial" w:hAnsi="Arial" w:cs="Arial"/>
        </w:rPr>
        <w:t xml:space="preserve"> se zavazuje posky</w:t>
      </w:r>
      <w:r>
        <w:rPr>
          <w:rFonts w:ascii="Arial" w:hAnsi="Arial" w:cs="Arial"/>
        </w:rPr>
        <w:t xml:space="preserve">tnutý Přehled řádně prostudovat. </w:t>
      </w:r>
      <w:r w:rsidRPr="00142985">
        <w:rPr>
          <w:rFonts w:ascii="Arial" w:hAnsi="Arial" w:cs="Arial"/>
        </w:rPr>
        <w:t xml:space="preserve">V případě, že </w:t>
      </w:r>
      <w:r>
        <w:rPr>
          <w:rFonts w:ascii="Arial" w:hAnsi="Arial" w:cs="Arial"/>
        </w:rPr>
        <w:t>Držitel</w:t>
      </w:r>
      <w:r w:rsidRPr="00142985">
        <w:rPr>
          <w:rFonts w:ascii="Arial" w:hAnsi="Arial" w:cs="Arial"/>
        </w:rPr>
        <w:t xml:space="preserve"> bude mít proti obsahu Přehledu námitky, je oprávněn požadovat po Pojišťovně vysvětlení.</w:t>
      </w:r>
      <w:r>
        <w:rPr>
          <w:rFonts w:ascii="Arial" w:hAnsi="Arial" w:cs="Arial"/>
        </w:rPr>
        <w:t xml:space="preserve"> P</w:t>
      </w:r>
      <w:r w:rsidRPr="00F25365">
        <w:rPr>
          <w:rFonts w:ascii="Arial" w:hAnsi="Arial" w:cs="Arial"/>
        </w:rPr>
        <w:t>okud proti jeho obsahu námitky</w:t>
      </w:r>
      <w:r>
        <w:rPr>
          <w:rFonts w:ascii="Arial" w:hAnsi="Arial" w:cs="Arial"/>
        </w:rPr>
        <w:t xml:space="preserve"> neshledá,</w:t>
      </w:r>
      <w:r w:rsidRPr="00F25365">
        <w:rPr>
          <w:rFonts w:ascii="Arial" w:hAnsi="Arial" w:cs="Arial"/>
        </w:rPr>
        <w:t xml:space="preserve"> </w:t>
      </w:r>
      <w:r>
        <w:rPr>
          <w:rFonts w:ascii="Arial" w:hAnsi="Arial" w:cs="Arial"/>
        </w:rPr>
        <w:t>v přiměřené lhůtě jej odsouhlasit, nejpozději však do 25. dne měsíce, ve kterém Přehled obdržel,</w:t>
      </w:r>
      <w:r w:rsidRPr="00F25365">
        <w:rPr>
          <w:rFonts w:ascii="Arial" w:hAnsi="Arial" w:cs="Arial"/>
        </w:rPr>
        <w:t xml:space="preserve"> prostřednictvím elektronické pošty na e</w:t>
      </w:r>
      <w:r w:rsidR="00D96DC4">
        <w:rPr>
          <w:rFonts w:ascii="Arial" w:hAnsi="Arial" w:cs="Arial"/>
        </w:rPr>
        <w:t>-</w:t>
      </w:r>
      <w:r w:rsidRPr="00F25365">
        <w:rPr>
          <w:rFonts w:ascii="Arial" w:hAnsi="Arial" w:cs="Arial"/>
        </w:rPr>
        <w:t>mailovou adresu Pojišťovnou určené kontaktní osoby</w:t>
      </w:r>
      <w:r>
        <w:rPr>
          <w:rFonts w:ascii="Arial" w:hAnsi="Arial" w:cs="Arial"/>
        </w:rPr>
        <w:t>.</w:t>
      </w:r>
      <w:r w:rsidRPr="00F25365">
        <w:rPr>
          <w:rFonts w:ascii="Arial" w:hAnsi="Arial" w:cs="Arial"/>
        </w:rPr>
        <w:t xml:space="preserve"> Za projevení souhlasu s obsahem Přehledu se má i proplacení faktury.</w:t>
      </w:r>
      <w:r>
        <w:rPr>
          <w:rFonts w:ascii="Arial" w:hAnsi="Arial" w:cs="Arial"/>
        </w:rPr>
        <w:t xml:space="preserve"> </w:t>
      </w:r>
    </w:p>
    <w:p w14:paraId="7D2D2409" w14:textId="77777777" w:rsidR="00442268" w:rsidRDefault="00442268" w:rsidP="00D96DC4">
      <w:pPr>
        <w:contextualSpacing/>
        <w:jc w:val="center"/>
        <w:rPr>
          <w:rFonts w:ascii="Arial" w:hAnsi="Arial" w:cs="Arial"/>
          <w:b/>
        </w:rPr>
      </w:pPr>
    </w:p>
    <w:p w14:paraId="47CC70C5" w14:textId="77777777" w:rsidR="00442268" w:rsidRDefault="00442268" w:rsidP="00D96DC4">
      <w:pPr>
        <w:contextualSpacing/>
        <w:jc w:val="center"/>
        <w:rPr>
          <w:rFonts w:ascii="Arial" w:hAnsi="Arial" w:cs="Arial"/>
          <w:b/>
        </w:rPr>
      </w:pPr>
    </w:p>
    <w:p w14:paraId="090F0704" w14:textId="77777777" w:rsidR="00D96DC4" w:rsidRPr="00F25365" w:rsidRDefault="00D96DC4" w:rsidP="00D96DC4">
      <w:pPr>
        <w:contextualSpacing/>
        <w:jc w:val="center"/>
        <w:rPr>
          <w:rFonts w:ascii="Arial" w:hAnsi="Arial" w:cs="Arial"/>
          <w:b/>
        </w:rPr>
      </w:pPr>
      <w:r w:rsidRPr="00F25365">
        <w:rPr>
          <w:rFonts w:ascii="Arial" w:hAnsi="Arial" w:cs="Arial"/>
          <w:b/>
        </w:rPr>
        <w:t>Článek VI.</w:t>
      </w:r>
    </w:p>
    <w:p w14:paraId="208CE8F1" w14:textId="77777777"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14:paraId="58D119C6" w14:textId="77777777" w:rsidR="00D96DC4" w:rsidRPr="00F25365" w:rsidRDefault="00D96DC4" w:rsidP="00D96DC4">
      <w:pPr>
        <w:spacing w:before="120"/>
        <w:ind w:left="567"/>
        <w:contextualSpacing/>
        <w:jc w:val="both"/>
        <w:rPr>
          <w:rFonts w:ascii="Arial" w:hAnsi="Arial" w:cs="Arial"/>
        </w:rPr>
      </w:pPr>
    </w:p>
    <w:p w14:paraId="68D6B1EB" w14:textId="77777777" w:rsidR="00D96DC4" w:rsidRPr="00EF5C4F" w:rsidRDefault="00264550" w:rsidP="0075785D">
      <w:pPr>
        <w:pStyle w:val="Odstavecseseznamem"/>
        <w:numPr>
          <w:ilvl w:val="0"/>
          <w:numId w:val="9"/>
        </w:numPr>
        <w:overflowPunct/>
        <w:autoSpaceDE/>
        <w:autoSpaceDN/>
        <w:adjustRightInd/>
        <w:ind w:left="426" w:hanging="426"/>
        <w:jc w:val="both"/>
        <w:textAlignment w:val="auto"/>
        <w:rPr>
          <w:rFonts w:ascii="Arial" w:hAnsi="Arial" w:cs="Arial"/>
        </w:rPr>
      </w:pPr>
      <w:r>
        <w:rPr>
          <w:rFonts w:ascii="Arial" w:hAnsi="Arial" w:cs="Arial"/>
        </w:rPr>
        <w:t xml:space="preserve">V případě, že Celkový náklad přesáhne Limit pro jednotlivá dílčí </w:t>
      </w:r>
      <w:r w:rsidR="00442268">
        <w:rPr>
          <w:rFonts w:ascii="Arial" w:hAnsi="Arial" w:cs="Arial"/>
        </w:rPr>
        <w:t>období (jak uvedeno v Příloze č. </w:t>
      </w:r>
      <w:r>
        <w:rPr>
          <w:rFonts w:ascii="Arial" w:hAnsi="Arial" w:cs="Arial"/>
        </w:rPr>
        <w:t>1</w:t>
      </w:r>
      <w:r w:rsidR="00442268">
        <w:rPr>
          <w:rFonts w:ascii="Arial" w:hAnsi="Arial" w:cs="Arial"/>
        </w:rPr>
        <w:t xml:space="preserve"> Smlouvy</w:t>
      </w:r>
      <w:r>
        <w:rPr>
          <w:rFonts w:ascii="Arial" w:hAnsi="Arial" w:cs="Arial"/>
        </w:rPr>
        <w:t xml:space="preserve">), poskytne </w:t>
      </w:r>
      <w:r w:rsidR="00D96DC4">
        <w:rPr>
          <w:rFonts w:ascii="Arial" w:hAnsi="Arial" w:cs="Arial"/>
        </w:rPr>
        <w:t>Držitel</w:t>
      </w:r>
      <w:r w:rsidR="00D96DC4" w:rsidRPr="00EF5C4F">
        <w:rPr>
          <w:rFonts w:ascii="Arial" w:hAnsi="Arial" w:cs="Arial"/>
        </w:rPr>
        <w:t xml:space="preserve"> Pojišťovně </w:t>
      </w:r>
      <w:r w:rsidR="00D96DC4">
        <w:rPr>
          <w:rFonts w:ascii="Arial" w:hAnsi="Arial" w:cs="Arial"/>
        </w:rPr>
        <w:t xml:space="preserve">Zpětnou platbu </w:t>
      </w:r>
      <w:r w:rsidR="00D96DC4" w:rsidRPr="00EF5C4F">
        <w:rPr>
          <w:rFonts w:ascii="Arial" w:hAnsi="Arial" w:cs="Arial"/>
        </w:rPr>
        <w:t>ve výši a v termínu určeném touto Smlouvou</w:t>
      </w:r>
      <w:r w:rsidR="00D96DC4">
        <w:rPr>
          <w:rFonts w:ascii="Arial" w:hAnsi="Arial" w:cs="Arial"/>
        </w:rPr>
        <w:t>.</w:t>
      </w:r>
      <w:r w:rsidR="00D96DC4" w:rsidRPr="00EF5C4F">
        <w:rPr>
          <w:rFonts w:ascii="Arial" w:hAnsi="Arial" w:cs="Arial"/>
        </w:rPr>
        <w:t xml:space="preserve"> Smluvní strany se dohodly, že úhradu</w:t>
      </w:r>
      <w:r w:rsidR="00D96DC4">
        <w:rPr>
          <w:rFonts w:ascii="Arial" w:hAnsi="Arial" w:cs="Arial"/>
        </w:rPr>
        <w:t xml:space="preserve"> Zpětné platby </w:t>
      </w:r>
      <w:r w:rsidR="00D96DC4" w:rsidRPr="00D96DC4">
        <w:rPr>
          <w:rFonts w:ascii="Arial" w:hAnsi="Arial" w:cs="Arial"/>
        </w:rPr>
        <w:t xml:space="preserve">dle článku IV. této Smlouvy </w:t>
      </w:r>
      <w:r w:rsidR="00D96DC4" w:rsidRPr="00EF5C4F">
        <w:rPr>
          <w:rFonts w:ascii="Arial" w:hAnsi="Arial" w:cs="Arial"/>
        </w:rPr>
        <w:t>bude Pojišťovna</w:t>
      </w:r>
      <w:r w:rsidR="00D96DC4">
        <w:rPr>
          <w:rFonts w:ascii="Arial" w:hAnsi="Arial" w:cs="Arial"/>
        </w:rPr>
        <w:t xml:space="preserve"> vůči Držiteli</w:t>
      </w:r>
      <w:r w:rsidR="00D96DC4" w:rsidRPr="00EF5C4F">
        <w:rPr>
          <w:rFonts w:ascii="Arial" w:hAnsi="Arial" w:cs="Arial"/>
        </w:rPr>
        <w:t xml:space="preserve"> uplatňovat půlročně</w:t>
      </w:r>
      <w:r w:rsidR="00D96DC4">
        <w:rPr>
          <w:rFonts w:ascii="Arial" w:hAnsi="Arial" w:cs="Arial"/>
        </w:rPr>
        <w:t>, a to v</w:t>
      </w:r>
      <w:r w:rsidR="007E2158">
        <w:rPr>
          <w:rFonts w:ascii="Arial" w:hAnsi="Arial" w:cs="Arial"/>
        </w:rPr>
        <w:t> termínech do 30. 11</w:t>
      </w:r>
      <w:r w:rsidR="00D96DC4">
        <w:rPr>
          <w:rFonts w:ascii="Arial" w:hAnsi="Arial" w:cs="Arial"/>
        </w:rPr>
        <w:t>. (za fakturační o</w:t>
      </w:r>
      <w:r w:rsidR="007E2158">
        <w:rPr>
          <w:rFonts w:ascii="Arial" w:hAnsi="Arial" w:cs="Arial"/>
        </w:rPr>
        <w:t>bdobí leden – červen) a do 31. 5</w:t>
      </w:r>
      <w:r w:rsidR="00D96DC4">
        <w:rPr>
          <w:rFonts w:ascii="Arial" w:hAnsi="Arial" w:cs="Arial"/>
        </w:rPr>
        <w:t>. (za fakturační období červenec – prosinec).</w:t>
      </w:r>
      <w:r w:rsidR="00D96DC4" w:rsidRPr="00EF5C4F">
        <w:rPr>
          <w:rFonts w:ascii="Arial" w:hAnsi="Arial" w:cs="Arial"/>
        </w:rPr>
        <w:t xml:space="preserve"> </w:t>
      </w:r>
      <w:r w:rsidR="00D96DC4" w:rsidRPr="00FC11AF">
        <w:rPr>
          <w:rFonts w:ascii="Arial" w:hAnsi="Arial" w:cs="Arial"/>
        </w:rPr>
        <w:t>Pojišťovna zašle fakturu do sídla Lokálního zástupce uvedené v záhlaví této Smlouvy.</w:t>
      </w:r>
    </w:p>
    <w:p w14:paraId="0F748148" w14:textId="77777777" w:rsidR="00D96DC4" w:rsidRDefault="00D96DC4" w:rsidP="00D96DC4">
      <w:pPr>
        <w:pStyle w:val="Odstavecseseznamem"/>
        <w:overflowPunct/>
        <w:autoSpaceDE/>
        <w:autoSpaceDN/>
        <w:adjustRightInd/>
        <w:ind w:left="284"/>
        <w:jc w:val="both"/>
        <w:textAlignment w:val="auto"/>
        <w:rPr>
          <w:rFonts w:ascii="Arial" w:hAnsi="Arial" w:cs="Arial"/>
        </w:rPr>
      </w:pPr>
    </w:p>
    <w:p w14:paraId="039052C5" w14:textId="1AC914F6" w:rsidR="00D96DC4" w:rsidRDefault="00D96DC4" w:rsidP="0075785D">
      <w:pPr>
        <w:pStyle w:val="Odstavecseseznamem"/>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Pr>
          <w:rFonts w:ascii="Arial" w:hAnsi="Arial" w:cs="Arial"/>
        </w:rPr>
        <w:t>Zpětné platby</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Dodatečné vyúčtování dle tohoto odstavce bude provedeno nejpozději do 3</w:t>
      </w:r>
      <w:r w:rsidR="00C87523">
        <w:rPr>
          <w:rFonts w:ascii="Arial" w:hAnsi="Arial" w:cs="Arial"/>
        </w:rPr>
        <w:t>0</w:t>
      </w:r>
      <w:r w:rsidRPr="00F25365">
        <w:rPr>
          <w:rFonts w:ascii="Arial" w:hAnsi="Arial" w:cs="Arial"/>
        </w:rPr>
        <w:t>. </w:t>
      </w:r>
      <w:r w:rsidR="00C87523">
        <w:rPr>
          <w:rFonts w:ascii="Arial" w:hAnsi="Arial" w:cs="Arial"/>
        </w:rPr>
        <w:t>6</w:t>
      </w:r>
      <w:r w:rsidRPr="00F25365">
        <w:rPr>
          <w:rFonts w:ascii="Arial" w:hAnsi="Arial" w:cs="Arial"/>
        </w:rPr>
        <w:t xml:space="preserve">.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14:paraId="52C3F81A" w14:textId="77777777" w:rsidR="00D96DC4" w:rsidRPr="00A13D3C" w:rsidRDefault="00D96DC4" w:rsidP="00D96DC4">
      <w:pPr>
        <w:overflowPunct/>
        <w:autoSpaceDE/>
        <w:autoSpaceDN/>
        <w:adjustRightInd/>
        <w:jc w:val="both"/>
        <w:textAlignment w:val="auto"/>
        <w:rPr>
          <w:rFonts w:ascii="Arial" w:hAnsi="Arial" w:cs="Arial"/>
        </w:rPr>
      </w:pPr>
    </w:p>
    <w:p w14:paraId="4311E18D" w14:textId="3A907F87"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w:t>
      </w:r>
      <w:r w:rsidR="00783F86">
        <w:rPr>
          <w:rFonts w:ascii="Arial" w:hAnsi="Arial" w:cs="Arial"/>
        </w:rPr>
        <w:t>6</w:t>
      </w:r>
      <w:r w:rsidRPr="00F25365">
        <w:rPr>
          <w:rFonts w:ascii="Arial" w:hAnsi="Arial" w:cs="Arial"/>
        </w:rPr>
        <w:t xml:space="preserve">0 dnů od data jejího vystavení. </w:t>
      </w:r>
    </w:p>
    <w:p w14:paraId="2006AB7A" w14:textId="77777777"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14:paraId="36B963CE" w14:textId="3B833F92" w:rsidR="00D96DC4" w:rsidRPr="006A3EA9" w:rsidRDefault="00D96DC4" w:rsidP="001E1443">
      <w:pPr>
        <w:overflowPunct/>
        <w:autoSpaceDE/>
        <w:autoSpaceDN/>
        <w:adjustRightInd/>
        <w:spacing w:before="120"/>
        <w:ind w:left="426"/>
        <w:contextualSpacing/>
        <w:jc w:val="both"/>
        <w:textAlignment w:val="auto"/>
        <w:rPr>
          <w:rFonts w:ascii="Arial" w:hAnsi="Arial" w:cs="Arial"/>
        </w:rPr>
      </w:pPr>
      <w:r w:rsidRPr="006A3EA9">
        <w:rPr>
          <w:rFonts w:ascii="Arial" w:hAnsi="Arial" w:cs="Arial"/>
        </w:rPr>
        <w:t xml:space="preserve">Držitel je oprávněn vrátit bez zaplacení fakturu, která nebude obsahovat zákonem stanovené náležitosti nebo bude obsahovat nesprávné údaje, tj. údaje v rozporu s Držitelem schváleným Přehledem, se specifikací důvodu vrácení. Pojišťovna je povinna podle povahy nesprávnosti fakturu opravit. </w:t>
      </w:r>
      <w:r w:rsidR="006A3EA9" w:rsidRPr="001E1443">
        <w:rPr>
          <w:rFonts w:ascii="Arial" w:hAnsi="Arial" w:cs="Arial"/>
        </w:rPr>
        <w:t>Splatnost opravené či nově vystavené faktury bude stanovena tak, že původní splatnost Držitelem vrácené faktury bude přiměřeně prodloužena.</w:t>
      </w:r>
    </w:p>
    <w:p w14:paraId="0136B1DA" w14:textId="77777777"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14:paraId="2A51ADC5" w14:textId="77777777"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14:paraId="1A84338A" w14:textId="2D5909A9"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Pojišťovna prohlašuje, že číslo bankovního účtu základního fondu je</w:t>
      </w:r>
      <w:r w:rsidR="005D7254">
        <w:rPr>
          <w:rFonts w:ascii="Arial" w:hAnsi="Arial" w:cs="Arial"/>
        </w:rPr>
        <w:t xml:space="preserve"> </w:t>
      </w:r>
      <w:r w:rsidR="007B2DB7" w:rsidRPr="00772DD0">
        <w:rPr>
          <w:rFonts w:ascii="Arial" w:hAnsi="Arial" w:cs="Arial"/>
          <w:highlight w:val="black"/>
        </w:rPr>
        <w:t>XXXXXXXXXXXXX</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14:paraId="5CB9F35C" w14:textId="77777777" w:rsidR="00D96DC4" w:rsidRDefault="00D96DC4" w:rsidP="00A264C8">
      <w:pPr>
        <w:contextualSpacing/>
        <w:jc w:val="both"/>
        <w:rPr>
          <w:rFonts w:ascii="Arial" w:hAnsi="Arial" w:cs="Arial"/>
        </w:rPr>
      </w:pPr>
    </w:p>
    <w:p w14:paraId="64B9F7C9" w14:textId="77777777" w:rsidR="005D7254" w:rsidRDefault="005D7254" w:rsidP="00FC11AF">
      <w:pPr>
        <w:overflowPunct/>
        <w:autoSpaceDE/>
        <w:autoSpaceDN/>
        <w:adjustRightInd/>
        <w:spacing w:before="240"/>
        <w:contextualSpacing/>
        <w:jc w:val="center"/>
        <w:textAlignment w:val="auto"/>
        <w:rPr>
          <w:rFonts w:ascii="Arial" w:eastAsia="Calibri" w:hAnsi="Arial" w:cs="Arial"/>
          <w:b/>
        </w:rPr>
      </w:pPr>
    </w:p>
    <w:p w14:paraId="4D63B6A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14:paraId="05622BD0" w14:textId="77777777"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14:paraId="22377E91" w14:textId="77777777"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14:paraId="45FF3666"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6AD6C9F5" w14:textId="77777777"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14:paraId="4D0EB337"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47FE1E85" w14:textId="77777777" w:rsidR="00FC11AF"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w:t>
      </w:r>
      <w:r>
        <w:rPr>
          <w:rFonts w:ascii="Arial" w:hAnsi="Arial" w:cs="Arial"/>
          <w:sz w:val="20"/>
        </w:rPr>
        <w:t> </w:t>
      </w:r>
      <w:r w:rsidRPr="00CE70F0">
        <w:rPr>
          <w:rFonts w:ascii="Arial" w:hAnsi="Arial" w:cs="Arial"/>
          <w:sz w:val="20"/>
        </w:rPr>
        <w:t>informacím</w:t>
      </w:r>
      <w:r>
        <w:rPr>
          <w:rFonts w:ascii="Arial" w:hAnsi="Arial" w:cs="Arial"/>
          <w:sz w:val="20"/>
        </w:rPr>
        <w:t xml:space="preserve"> (dále jen „zákon o svobodném přístupu k informacím“)</w:t>
      </w:r>
      <w:r w:rsidRPr="00CE70F0">
        <w:rPr>
          <w:rFonts w:ascii="Arial" w:hAnsi="Arial" w:cs="Arial"/>
          <w:sz w:val="20"/>
        </w:rPr>
        <w:t xml:space="preserve">. </w:t>
      </w:r>
      <w:r>
        <w:rPr>
          <w:rFonts w:ascii="Arial" w:hAnsi="Arial" w:cs="Arial"/>
          <w:sz w:val="20"/>
        </w:rPr>
        <w:t>Pojišťovna se zavazuje informovat Držitele o případném požadavku na podání informace dle zákona o svobodném přístupu k informacím týkající se této Smlouvy před podáním vyžádané informace.</w:t>
      </w:r>
    </w:p>
    <w:p w14:paraId="7AE5B07A"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8B02231" w14:textId="77777777" w:rsidR="00FC11AF" w:rsidRPr="00CE70F0" w:rsidRDefault="00FC11AF" w:rsidP="0075785D">
      <w:pPr>
        <w:pStyle w:val="Odstavecseseznamem"/>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14:paraId="781CA4F6"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14:paraId="7DF17889" w14:textId="77777777" w:rsidR="00FC11AF" w:rsidRPr="00CE70F0" w:rsidRDefault="00FC11AF" w:rsidP="00FC11AF">
      <w:pPr>
        <w:pStyle w:val="Odstavecseseznamem"/>
        <w:overflowPunct/>
        <w:autoSpaceDE/>
        <w:autoSpaceDN/>
        <w:adjustRightInd/>
        <w:ind w:left="993"/>
        <w:jc w:val="both"/>
        <w:textAlignment w:val="auto"/>
        <w:rPr>
          <w:rFonts w:ascii="Arial" w:hAnsi="Arial" w:cs="Arial"/>
        </w:rPr>
      </w:pPr>
    </w:p>
    <w:p w14:paraId="33AA13AF" w14:textId="77777777" w:rsidR="00FC11AF" w:rsidRPr="00CE70F0"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 xml:space="preserve">informovat druhou smluvní stranu o jakýchkoli dalších podáních učiněných vůči registru smluv z vlastní iniciativy nebo k výzvě správce registru smluv či vůči dalším subjektům </w:t>
      </w:r>
      <w:r w:rsidRPr="00CE70F0">
        <w:rPr>
          <w:rFonts w:ascii="Arial" w:hAnsi="Arial" w:cs="Arial"/>
        </w:rPr>
        <w:lastRenderedPageBreak/>
        <w:t>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14:paraId="1EC1FA6A" w14:textId="77777777" w:rsidR="00FC11AF" w:rsidRPr="00CE70F0" w:rsidRDefault="00FC11AF" w:rsidP="00FC11AF">
      <w:pPr>
        <w:pStyle w:val="Odstavecseseznamem"/>
        <w:rPr>
          <w:rFonts w:ascii="Arial" w:hAnsi="Arial" w:cs="Arial"/>
        </w:rPr>
      </w:pPr>
    </w:p>
    <w:p w14:paraId="12B0862F" w14:textId="77777777" w:rsidR="00FC11AF" w:rsidRDefault="00FC11AF" w:rsidP="0075785D">
      <w:pPr>
        <w:pStyle w:val="Odstavecseseznamem"/>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14:paraId="19186C1A" w14:textId="77777777" w:rsidR="00FC11AF" w:rsidRPr="00C26935" w:rsidRDefault="00FC11AF" w:rsidP="00FC11AF">
      <w:pPr>
        <w:pStyle w:val="Odstavecseseznamem"/>
        <w:rPr>
          <w:rFonts w:ascii="Arial" w:hAnsi="Arial" w:cs="Arial"/>
        </w:rPr>
      </w:pPr>
    </w:p>
    <w:p w14:paraId="58F7EFAB" w14:textId="77777777" w:rsidR="00FC11AF" w:rsidRPr="00C26935" w:rsidRDefault="00FC11AF" w:rsidP="0075785D">
      <w:pPr>
        <w:pStyle w:val="Odstavecseseznamem"/>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14:paraId="3AB2653D" w14:textId="77777777" w:rsidR="00FC11AF"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w:t>
      </w:r>
      <w:r w:rsidR="00997656">
        <w:rPr>
          <w:rFonts w:ascii="Arial" w:hAnsi="Arial" w:cs="Arial"/>
        </w:rPr>
        <w:t>5</w:t>
      </w:r>
      <w:r w:rsidRPr="00CE70F0">
        <w:rPr>
          <w:rFonts w:ascii="Arial" w:hAnsi="Arial" w:cs="Arial"/>
        </w:rPr>
        <w:t xml:space="preserve"> dnů od uzavření Smlouvy</w:t>
      </w:r>
      <w:r>
        <w:rPr>
          <w:rFonts w:ascii="Arial" w:hAnsi="Arial" w:cs="Arial"/>
        </w:rPr>
        <w:t>;</w:t>
      </w:r>
    </w:p>
    <w:p w14:paraId="68E2A123" w14:textId="77777777" w:rsidR="00FC11AF" w:rsidRDefault="00FC11AF" w:rsidP="00FC11AF">
      <w:pPr>
        <w:pStyle w:val="Odstavecseseznamem"/>
        <w:overflowPunct/>
        <w:autoSpaceDE/>
        <w:autoSpaceDN/>
        <w:adjustRightInd/>
        <w:ind w:left="993"/>
        <w:jc w:val="both"/>
        <w:textAlignment w:val="auto"/>
        <w:rPr>
          <w:rFonts w:ascii="Arial" w:hAnsi="Arial" w:cs="Arial"/>
        </w:rPr>
      </w:pPr>
    </w:p>
    <w:p w14:paraId="594C9C99" w14:textId="77777777" w:rsidR="00FC11AF" w:rsidRPr="00CE70F0" w:rsidRDefault="00FC11AF" w:rsidP="0075785D">
      <w:pPr>
        <w:pStyle w:val="Odstavecseseznamem"/>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14:paraId="6B206E19" w14:textId="77777777" w:rsidR="00FC11AF" w:rsidRPr="00CE70F0" w:rsidRDefault="00FC11AF" w:rsidP="00FC11AF">
      <w:pPr>
        <w:pStyle w:val="Stylpravidel"/>
        <w:spacing w:before="0" w:line="240" w:lineRule="auto"/>
        <w:ind w:left="426"/>
        <w:contextualSpacing/>
        <w:textAlignment w:val="auto"/>
        <w:rPr>
          <w:rFonts w:ascii="Arial" w:hAnsi="Arial" w:cs="Arial"/>
          <w:sz w:val="20"/>
        </w:rPr>
      </w:pPr>
    </w:p>
    <w:p w14:paraId="562CB116" w14:textId="77777777"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14:paraId="0B928A83" w14:textId="77777777" w:rsidR="00FC11AF"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14:paraId="0FD87E30" w14:textId="77777777" w:rsidR="00FC11AF" w:rsidRDefault="00FC11AF" w:rsidP="00FC11AF">
      <w:pPr>
        <w:pStyle w:val="Odstavecseseznamem"/>
        <w:overflowPunct/>
        <w:autoSpaceDE/>
        <w:autoSpaceDN/>
        <w:adjustRightInd/>
        <w:ind w:left="993" w:hanging="426"/>
        <w:jc w:val="both"/>
        <w:textAlignment w:val="auto"/>
        <w:rPr>
          <w:rFonts w:ascii="Arial" w:hAnsi="Arial" w:cs="Arial"/>
        </w:rPr>
      </w:pPr>
    </w:p>
    <w:p w14:paraId="7F6DAC8F" w14:textId="77777777" w:rsidR="00FC11AF" w:rsidRPr="008D4A7D" w:rsidRDefault="00FC11AF" w:rsidP="0075785D">
      <w:pPr>
        <w:pStyle w:val="Odstavecseseznamem"/>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14:paraId="2D81E1D6" w14:textId="77777777" w:rsidR="00FC11AF" w:rsidRDefault="00FC11AF" w:rsidP="00FC11AF">
      <w:pPr>
        <w:pStyle w:val="Stylpravidel"/>
        <w:spacing w:before="0" w:line="240" w:lineRule="auto"/>
        <w:contextualSpacing/>
        <w:textAlignment w:val="auto"/>
        <w:rPr>
          <w:rFonts w:ascii="Arial" w:hAnsi="Arial" w:cs="Arial"/>
          <w:sz w:val="20"/>
        </w:rPr>
      </w:pPr>
    </w:p>
    <w:p w14:paraId="6AC19A31" w14:textId="77777777" w:rsidR="00FC11AF" w:rsidRPr="005719C6" w:rsidRDefault="00FC11AF" w:rsidP="0075785D">
      <w:pPr>
        <w:pStyle w:val="Odstavecseseznamem"/>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14:paraId="204546A2" w14:textId="77777777" w:rsidR="00FC11AF" w:rsidRDefault="00FC11AF" w:rsidP="00A264C8">
      <w:pPr>
        <w:contextualSpacing/>
        <w:jc w:val="both"/>
        <w:rPr>
          <w:rFonts w:ascii="Arial" w:hAnsi="Arial" w:cs="Arial"/>
        </w:rPr>
      </w:pPr>
    </w:p>
    <w:p w14:paraId="1CB37FDB" w14:textId="77777777" w:rsidR="00A33C4E" w:rsidRDefault="00A33C4E" w:rsidP="00A264C8">
      <w:pPr>
        <w:contextualSpacing/>
        <w:jc w:val="both"/>
        <w:rPr>
          <w:rFonts w:ascii="Arial" w:hAnsi="Arial" w:cs="Arial"/>
        </w:rPr>
      </w:pPr>
    </w:p>
    <w:p w14:paraId="2D3CC795" w14:textId="77777777"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14:paraId="0FC15C80" w14:textId="77777777"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14:paraId="080644EA" w14:textId="77777777" w:rsidR="00A33C4E" w:rsidRPr="00CE70F0" w:rsidRDefault="00A33C4E" w:rsidP="00A33C4E">
      <w:pPr>
        <w:contextualSpacing/>
        <w:rPr>
          <w:rFonts w:ascii="Arial" w:hAnsi="Arial" w:cs="Arial"/>
          <w:b/>
        </w:rPr>
      </w:pPr>
    </w:p>
    <w:p w14:paraId="738E7123" w14:textId="77777777" w:rsidR="00A33C4E" w:rsidRPr="00CE70F0" w:rsidRDefault="00A33C4E" w:rsidP="0075785D">
      <w:pPr>
        <w:pStyle w:val="Odstavecseseznamem"/>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14:paraId="3A974B65" w14:textId="77777777" w:rsidR="00A33C4E" w:rsidRPr="00CE70F0" w:rsidRDefault="00F7487A"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D171A9">
        <w:rPr>
          <w:rFonts w:ascii="Arial" w:hAnsi="Arial" w:cs="Arial"/>
        </w:rPr>
        <w:t>neprodleně informovat Pojišťovnu o převodu registrace Přípravku na jinou osobu, přičemž vyvinout maximální úsilí</w:t>
      </w:r>
      <w:r>
        <w:rPr>
          <w:rFonts w:ascii="Arial" w:hAnsi="Arial" w:cs="Arial"/>
        </w:rPr>
        <w:t xml:space="preserve">, aby došlo </w:t>
      </w:r>
      <w:r w:rsidRPr="00D171A9">
        <w:rPr>
          <w:rFonts w:ascii="Arial" w:hAnsi="Arial" w:cs="Arial"/>
        </w:rPr>
        <w:t>k převzetí závazku z této Smlouvy novým držitelem rozhodnutí o registraci a toto Pojišťovně prokázat. Za porušení povinností stanovení písm. a. tohoto bodu Smlouvy je Držitel povinen jednorázově zaplatit Pojišťovně smluvní pokutu ve výši 50</w:t>
      </w:r>
      <w:r>
        <w:rPr>
          <w:rFonts w:ascii="Arial" w:hAnsi="Arial" w:cs="Arial"/>
        </w:rPr>
        <w:t>0</w:t>
      </w:r>
      <w:r w:rsidRPr="00D171A9">
        <w:rPr>
          <w:rFonts w:ascii="Arial" w:hAnsi="Arial" w:cs="Arial"/>
        </w:rPr>
        <w:t>.000</w:t>
      </w:r>
      <w:r>
        <w:rPr>
          <w:rFonts w:ascii="Arial" w:hAnsi="Arial" w:cs="Arial"/>
        </w:rPr>
        <w:t> </w:t>
      </w:r>
      <w:r w:rsidRPr="00D171A9">
        <w:rPr>
          <w:rFonts w:ascii="Arial" w:hAnsi="Arial" w:cs="Arial"/>
        </w:rPr>
        <w:t>Kč (slovy: p</w:t>
      </w:r>
      <w:r>
        <w:rPr>
          <w:rFonts w:ascii="Arial" w:hAnsi="Arial" w:cs="Arial"/>
        </w:rPr>
        <w:t xml:space="preserve">ět set </w:t>
      </w:r>
      <w:r w:rsidRPr="00D171A9">
        <w:rPr>
          <w:rFonts w:ascii="Arial" w:hAnsi="Arial" w:cs="Arial"/>
        </w:rPr>
        <w:t>tisíc korun českých)</w:t>
      </w:r>
      <w:r>
        <w:rPr>
          <w:rFonts w:ascii="Arial" w:hAnsi="Arial" w:cs="Arial"/>
        </w:rPr>
        <w:t>, a to do 30 dnů ode dne doručení výzvy k zaplacení smluvní pokuty</w:t>
      </w:r>
      <w:r w:rsidRPr="00D171A9">
        <w:rPr>
          <w:rFonts w:ascii="Arial" w:hAnsi="Arial" w:cs="Arial"/>
        </w:rPr>
        <w:t>.</w:t>
      </w:r>
      <w:r>
        <w:rPr>
          <w:rFonts w:ascii="Arial" w:hAnsi="Arial" w:cs="Arial"/>
        </w:rPr>
        <w:t xml:space="preserve"> U</w:t>
      </w:r>
      <w:r w:rsidRPr="00D171A9">
        <w:rPr>
          <w:rFonts w:ascii="Arial" w:hAnsi="Arial" w:cs="Arial"/>
        </w:rPr>
        <w:t>jednáním o smluvní pokutě ani zaplacením smluvní pokuty není dotčeno právo druhé smluvní strany na náhradu škody</w:t>
      </w:r>
      <w:r w:rsidR="00A33C4E" w:rsidRPr="00CE70F0">
        <w:rPr>
          <w:rFonts w:ascii="Arial" w:hAnsi="Arial" w:cs="Arial"/>
        </w:rPr>
        <w:t>;</w:t>
      </w:r>
    </w:p>
    <w:p w14:paraId="593428F2" w14:textId="77777777" w:rsidR="00A33C4E" w:rsidRPr="00CE70F0" w:rsidRDefault="00A33C4E" w:rsidP="00A33C4E">
      <w:pPr>
        <w:pStyle w:val="Odstavecseseznamem"/>
        <w:overflowPunct/>
        <w:autoSpaceDE/>
        <w:autoSpaceDN/>
        <w:adjustRightInd/>
        <w:ind w:left="993"/>
        <w:jc w:val="both"/>
        <w:textAlignment w:val="auto"/>
        <w:rPr>
          <w:rFonts w:ascii="Arial" w:hAnsi="Arial" w:cs="Arial"/>
        </w:rPr>
      </w:pPr>
    </w:p>
    <w:p w14:paraId="4113C227" w14:textId="77777777" w:rsidR="00F7487A" w:rsidRPr="00735914" w:rsidRDefault="0048709E" w:rsidP="00F7487A">
      <w:pPr>
        <w:pStyle w:val="Odstavecseseznamem"/>
        <w:numPr>
          <w:ilvl w:val="0"/>
          <w:numId w:val="16"/>
        </w:numPr>
        <w:overflowPunct/>
        <w:autoSpaceDE/>
        <w:autoSpaceDN/>
        <w:adjustRightInd/>
        <w:ind w:left="851" w:hanging="425"/>
        <w:jc w:val="both"/>
        <w:textAlignment w:val="auto"/>
        <w:rPr>
          <w:rFonts w:ascii="Arial" w:hAnsi="Arial" w:cs="Arial"/>
        </w:rPr>
      </w:pPr>
      <w:r>
        <w:rPr>
          <w:rFonts w:ascii="Arial" w:hAnsi="Arial" w:cs="Arial"/>
        </w:rPr>
        <w:t xml:space="preserve">před uzavřením Smlouvy předat Pojišťovně platnou plnou moc, </w:t>
      </w:r>
      <w:r w:rsidR="00F7487A">
        <w:rPr>
          <w:rFonts w:ascii="Arial" w:hAnsi="Arial" w:cs="Arial"/>
        </w:rPr>
        <w:t xml:space="preserve">jíž zmocňuje svého Lokálního zástupce, popř. další osobu k jednáním týkajících se Přípravku pro trh České republiky, včetně uzavírání smluv se třetími osobami a </w:t>
      </w:r>
      <w:r w:rsidR="00F7487A" w:rsidRPr="00CE70F0">
        <w:rPr>
          <w:rFonts w:ascii="Arial" w:hAnsi="Arial" w:cs="Arial"/>
        </w:rPr>
        <w:t>neprodleně informovat Pojišťovnu o změn</w:t>
      </w:r>
      <w:r w:rsidR="00F7487A">
        <w:rPr>
          <w:rFonts w:ascii="Arial" w:hAnsi="Arial" w:cs="Arial"/>
        </w:rPr>
        <w:t>ách svého zastoupení;</w:t>
      </w:r>
    </w:p>
    <w:p w14:paraId="2E0C1DC6" w14:textId="77777777" w:rsidR="00A33C4E" w:rsidRPr="00F7487A" w:rsidRDefault="00A33C4E" w:rsidP="00F7487A">
      <w:pPr>
        <w:overflowPunct/>
        <w:autoSpaceDE/>
        <w:autoSpaceDN/>
        <w:adjustRightInd/>
        <w:jc w:val="both"/>
        <w:textAlignment w:val="auto"/>
        <w:rPr>
          <w:rFonts w:ascii="Arial" w:hAnsi="Arial" w:cs="Arial"/>
        </w:rPr>
      </w:pPr>
    </w:p>
    <w:p w14:paraId="21DEF2F9" w14:textId="77777777" w:rsidR="00A33C4E" w:rsidRPr="00CE70F0" w:rsidRDefault="00A33C4E" w:rsidP="00A33C4E">
      <w:pPr>
        <w:pStyle w:val="Odstavecseseznamem"/>
        <w:overflowPunct/>
        <w:autoSpaceDE/>
        <w:autoSpaceDN/>
        <w:adjustRightInd/>
        <w:ind w:left="993" w:hanging="426"/>
        <w:jc w:val="both"/>
        <w:textAlignment w:val="auto"/>
        <w:rPr>
          <w:rFonts w:ascii="Arial" w:hAnsi="Arial" w:cs="Arial"/>
        </w:rPr>
      </w:pPr>
    </w:p>
    <w:p w14:paraId="011BFD39" w14:textId="77777777" w:rsidR="00A33C4E" w:rsidRPr="00CE70F0" w:rsidRDefault="00A33C4E" w:rsidP="0075785D">
      <w:pPr>
        <w:pStyle w:val="Odstavecseseznamem"/>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Limitu,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w:t>
      </w:r>
      <w:r w:rsidRPr="00CE70F0">
        <w:rPr>
          <w:rFonts w:ascii="Arial" w:hAnsi="Arial" w:cs="Arial"/>
        </w:rPr>
        <w:lastRenderedPageBreak/>
        <w:t xml:space="preserve">kompenzován dopad příslušných změn již od účinnosti těchto změn, nebude-li stranami dohodnuto </w:t>
      </w:r>
      <w:r>
        <w:rPr>
          <w:rFonts w:ascii="Arial" w:hAnsi="Arial" w:cs="Arial"/>
        </w:rPr>
        <w:t>jinak.</w:t>
      </w:r>
    </w:p>
    <w:p w14:paraId="29CE211E" w14:textId="77777777" w:rsidR="00111D60" w:rsidRPr="00CE70F0" w:rsidRDefault="00111D60" w:rsidP="00A33C4E">
      <w:pPr>
        <w:pStyle w:val="Odstavecseseznamem"/>
        <w:overflowPunct/>
        <w:autoSpaceDE/>
        <w:autoSpaceDN/>
        <w:adjustRightInd/>
        <w:ind w:left="993" w:hanging="426"/>
        <w:jc w:val="both"/>
        <w:textAlignment w:val="auto"/>
        <w:rPr>
          <w:rFonts w:ascii="Arial" w:hAnsi="Arial" w:cs="Arial"/>
        </w:rPr>
      </w:pPr>
    </w:p>
    <w:p w14:paraId="1E688E23" w14:textId="352AA945" w:rsidR="00A33C4E" w:rsidRPr="004D5C92" w:rsidRDefault="00A33C4E" w:rsidP="004D5C92">
      <w:pPr>
        <w:pStyle w:val="Odstavecseseznamem"/>
        <w:numPr>
          <w:ilvl w:val="0"/>
          <w:numId w:val="21"/>
        </w:numPr>
        <w:overflowPunct/>
        <w:autoSpaceDE/>
        <w:autoSpaceDN/>
        <w:adjustRightInd/>
        <w:ind w:left="426" w:hanging="426"/>
        <w:jc w:val="both"/>
        <w:textAlignment w:val="auto"/>
        <w:rPr>
          <w:rFonts w:ascii="Arial" w:hAnsi="Arial" w:cs="Arial"/>
        </w:rPr>
      </w:pPr>
      <w:r w:rsidRPr="00DB6262">
        <w:rPr>
          <w:rFonts w:ascii="Arial" w:hAnsi="Arial" w:cs="Arial"/>
          <w:u w:val="single"/>
        </w:rPr>
        <w:t>Pojišťovna</w:t>
      </w:r>
      <w:r w:rsidRPr="00DB6262">
        <w:rPr>
          <w:rFonts w:ascii="Arial" w:hAnsi="Arial" w:cs="Arial"/>
        </w:rPr>
        <w:t xml:space="preserve"> se zavazuje</w:t>
      </w:r>
      <w:r w:rsidR="004D5C92">
        <w:rPr>
          <w:rFonts w:ascii="Arial" w:hAnsi="Arial" w:cs="Arial"/>
        </w:rPr>
        <w:t xml:space="preserve"> </w:t>
      </w:r>
      <w:r w:rsidRPr="004D5C92">
        <w:rPr>
          <w:rFonts w:ascii="Arial" w:hAnsi="Arial" w:cs="Arial"/>
        </w:rPr>
        <w:t xml:space="preserve">k zajištění informovanosti o nákladech na terapii </w:t>
      </w:r>
      <w:r w:rsidR="005D7254" w:rsidRPr="004D5C92">
        <w:rPr>
          <w:rFonts w:ascii="Arial" w:hAnsi="Arial" w:cs="Arial"/>
        </w:rPr>
        <w:t xml:space="preserve">Pojištěnců </w:t>
      </w:r>
      <w:r w:rsidRPr="004D5C92">
        <w:rPr>
          <w:rFonts w:ascii="Arial" w:hAnsi="Arial" w:cs="Arial"/>
        </w:rPr>
        <w:t>Přípravkem poskytnout Držiteli tzv. Přehled</w:t>
      </w:r>
      <w:r w:rsidR="005A0395" w:rsidRPr="004D5C92">
        <w:rPr>
          <w:rFonts w:ascii="Arial" w:hAnsi="Arial" w:cs="Arial"/>
        </w:rPr>
        <w:t xml:space="preserve"> dle článku V. této Smlouvy,</w:t>
      </w:r>
      <w:r w:rsidRPr="004D5C92">
        <w:rPr>
          <w:rFonts w:ascii="Arial" w:hAnsi="Arial" w:cs="Arial"/>
        </w:rPr>
        <w:t xml:space="preserve"> přičemž tato listina je smluvními stranami zároveň považována za doklad prokazující nárok na poskytnutí Zpětné platby a tvoří podklad pro fakturaci</w:t>
      </w:r>
      <w:r w:rsidR="00E57E66">
        <w:rPr>
          <w:rFonts w:ascii="Arial" w:hAnsi="Arial" w:cs="Arial"/>
        </w:rPr>
        <w:t>.</w:t>
      </w:r>
    </w:p>
    <w:p w14:paraId="2C219335" w14:textId="77777777" w:rsidR="00A33C4E" w:rsidRDefault="00A33C4E" w:rsidP="00A264C8">
      <w:pPr>
        <w:contextualSpacing/>
        <w:jc w:val="both"/>
        <w:rPr>
          <w:rFonts w:ascii="Arial" w:hAnsi="Arial" w:cs="Arial"/>
        </w:rPr>
      </w:pPr>
    </w:p>
    <w:p w14:paraId="1F191E77" w14:textId="77777777" w:rsidR="0099364B" w:rsidRDefault="0099364B" w:rsidP="00A264C8">
      <w:pPr>
        <w:contextualSpacing/>
        <w:jc w:val="both"/>
        <w:rPr>
          <w:rFonts w:ascii="Arial" w:hAnsi="Arial" w:cs="Arial"/>
        </w:rPr>
      </w:pPr>
    </w:p>
    <w:p w14:paraId="21B27647" w14:textId="77777777"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14:paraId="56703A5D" w14:textId="77777777"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14:paraId="2A7BE0F2" w14:textId="77777777" w:rsidR="005719C6" w:rsidRPr="00CE70F0" w:rsidRDefault="005719C6" w:rsidP="005719C6">
      <w:pPr>
        <w:contextualSpacing/>
        <w:jc w:val="both"/>
        <w:rPr>
          <w:rFonts w:ascii="Arial" w:hAnsi="Arial" w:cs="Arial"/>
        </w:rPr>
      </w:pPr>
    </w:p>
    <w:p w14:paraId="6D71719D"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14:paraId="34207BBD"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14:paraId="5D37C41F" w14:textId="77777777" w:rsidR="005719C6" w:rsidRPr="00CE70F0" w:rsidRDefault="005719C6" w:rsidP="005719C6">
      <w:pPr>
        <w:pStyle w:val="Odstavecseseznamem"/>
        <w:ind w:left="709"/>
        <w:jc w:val="both"/>
        <w:rPr>
          <w:rFonts w:ascii="Arial" w:hAnsi="Arial" w:cs="Arial"/>
        </w:rPr>
      </w:pPr>
      <w:r w:rsidRPr="00CE70F0">
        <w:rPr>
          <w:rFonts w:ascii="Arial" w:hAnsi="Arial" w:cs="Arial"/>
        </w:rPr>
        <w:t xml:space="preserve"> </w:t>
      </w:r>
    </w:p>
    <w:p w14:paraId="3F6BB786" w14:textId="77777777" w:rsidR="005719C6" w:rsidRPr="00CE70F0" w:rsidRDefault="005719C6" w:rsidP="0075785D">
      <w:pPr>
        <w:pStyle w:val="Odstavecseseznamem"/>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14:paraId="226C567D" w14:textId="77777777" w:rsidR="005719C6" w:rsidRPr="00CE70F0" w:rsidRDefault="005719C6" w:rsidP="005719C6">
      <w:pPr>
        <w:pStyle w:val="Odstavecseseznamem"/>
        <w:rPr>
          <w:rFonts w:ascii="Arial" w:hAnsi="Arial" w:cs="Arial"/>
        </w:rPr>
      </w:pPr>
    </w:p>
    <w:p w14:paraId="313EC5D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zachovávat mlčenlivost ohledně důvěrných informací vymezených odst. 1 tohoto článku v období platnosti této Smlouvy, tak po jejím skončení, bez ohledu na to, zda si je poskytly před nebo po datu uzavření Smlouvy, a to i v případě, že k uzavření Smlouvy nedojde.</w:t>
      </w:r>
    </w:p>
    <w:p w14:paraId="50388712" w14:textId="77777777" w:rsidR="005719C6" w:rsidRPr="00CE70F0" w:rsidRDefault="005719C6" w:rsidP="005719C6">
      <w:pPr>
        <w:spacing w:before="120"/>
        <w:ind w:left="426" w:hanging="426"/>
        <w:contextualSpacing/>
        <w:jc w:val="both"/>
        <w:rPr>
          <w:rFonts w:ascii="Arial" w:hAnsi="Arial" w:cs="Arial"/>
        </w:rPr>
      </w:pPr>
    </w:p>
    <w:p w14:paraId="23A29FB2"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14:paraId="30D5478E" w14:textId="77777777" w:rsidR="005719C6" w:rsidRPr="00CE70F0" w:rsidRDefault="005719C6" w:rsidP="005719C6">
      <w:pPr>
        <w:spacing w:before="120"/>
        <w:ind w:left="426" w:hanging="426"/>
        <w:contextualSpacing/>
        <w:jc w:val="both"/>
        <w:rPr>
          <w:rFonts w:ascii="Arial" w:hAnsi="Arial" w:cs="Arial"/>
        </w:rPr>
      </w:pPr>
    </w:p>
    <w:p w14:paraId="0126EEE7"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14:paraId="4DA7BF00" w14:textId="77777777" w:rsidR="005719C6" w:rsidRPr="00CE70F0" w:rsidRDefault="005719C6" w:rsidP="005719C6">
      <w:pPr>
        <w:pStyle w:val="Odstavecseseznamem"/>
        <w:rPr>
          <w:rFonts w:ascii="Arial" w:hAnsi="Arial" w:cs="Arial"/>
        </w:rPr>
      </w:pPr>
    </w:p>
    <w:p w14:paraId="37574DDA" w14:textId="77777777"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14:paraId="2B5263E3"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14:paraId="12CEBE14" w14:textId="77777777" w:rsidR="005719C6" w:rsidRPr="00CE70F0" w:rsidRDefault="005719C6" w:rsidP="005719C6">
      <w:pPr>
        <w:pStyle w:val="Odstavecseseznamem"/>
        <w:spacing w:before="120"/>
        <w:ind w:left="1134" w:hanging="425"/>
        <w:jc w:val="both"/>
        <w:rPr>
          <w:rFonts w:ascii="Arial" w:hAnsi="Arial" w:cs="Arial"/>
        </w:rPr>
      </w:pPr>
    </w:p>
    <w:p w14:paraId="205ECB1A"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14:paraId="6FA26302" w14:textId="77777777" w:rsidR="005719C6" w:rsidRPr="00CE70F0" w:rsidRDefault="005719C6" w:rsidP="005719C6">
      <w:pPr>
        <w:pStyle w:val="Odstavecseseznamem"/>
        <w:ind w:left="1134" w:hanging="425"/>
        <w:rPr>
          <w:rFonts w:ascii="Arial" w:hAnsi="Arial" w:cs="Arial"/>
        </w:rPr>
      </w:pPr>
    </w:p>
    <w:p w14:paraId="43BD3744" w14:textId="77777777" w:rsidR="005719C6" w:rsidRPr="00CE70F0" w:rsidRDefault="005719C6" w:rsidP="0075785D">
      <w:pPr>
        <w:pStyle w:val="Odstavecseseznamem"/>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14:paraId="4CFE0923" w14:textId="77777777" w:rsidR="005719C6" w:rsidRPr="00CE70F0" w:rsidRDefault="005719C6" w:rsidP="005719C6">
      <w:pPr>
        <w:pStyle w:val="Odstavecseseznamem"/>
        <w:spacing w:before="120"/>
        <w:ind w:left="709"/>
        <w:jc w:val="both"/>
        <w:rPr>
          <w:rFonts w:ascii="Arial" w:hAnsi="Arial" w:cs="Arial"/>
        </w:rPr>
      </w:pPr>
    </w:p>
    <w:p w14:paraId="48B170F6" w14:textId="77777777" w:rsidR="005719C6" w:rsidRPr="00CE70F0" w:rsidRDefault="005719C6" w:rsidP="0075785D">
      <w:pPr>
        <w:pStyle w:val="Odstavecseseznamem"/>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14:paraId="5A4760C3" w14:textId="77777777" w:rsidR="00111D60" w:rsidRDefault="00111D60" w:rsidP="00B46F22">
      <w:pPr>
        <w:contextualSpacing/>
        <w:jc w:val="center"/>
        <w:rPr>
          <w:rFonts w:ascii="Arial" w:hAnsi="Arial" w:cs="Arial"/>
          <w:b/>
        </w:rPr>
      </w:pPr>
    </w:p>
    <w:p w14:paraId="7F57F90B" w14:textId="77777777" w:rsidR="00AD72DB" w:rsidRDefault="00AD72DB" w:rsidP="00B46F22">
      <w:pPr>
        <w:contextualSpacing/>
        <w:jc w:val="center"/>
        <w:rPr>
          <w:rFonts w:ascii="Arial" w:hAnsi="Arial" w:cs="Arial"/>
          <w:b/>
        </w:rPr>
      </w:pPr>
    </w:p>
    <w:p w14:paraId="6CFA23E3" w14:textId="77777777" w:rsidR="00E40B47" w:rsidRPr="001E2F29" w:rsidRDefault="00E40B47" w:rsidP="00B46F22">
      <w:pPr>
        <w:contextualSpacing/>
        <w:jc w:val="center"/>
        <w:rPr>
          <w:rFonts w:ascii="Arial" w:hAnsi="Arial" w:cs="Arial"/>
          <w:b/>
        </w:rPr>
      </w:pPr>
      <w:r w:rsidRPr="001E2F29">
        <w:rPr>
          <w:rFonts w:ascii="Arial" w:hAnsi="Arial" w:cs="Arial"/>
          <w:b/>
        </w:rPr>
        <w:t>Článek X.</w:t>
      </w:r>
    </w:p>
    <w:p w14:paraId="533FB645" w14:textId="77777777" w:rsidR="00E40B47" w:rsidRPr="001E2F29" w:rsidRDefault="00E40B47" w:rsidP="00B46F22">
      <w:pPr>
        <w:contextualSpacing/>
        <w:jc w:val="center"/>
        <w:rPr>
          <w:rFonts w:ascii="Arial" w:hAnsi="Arial" w:cs="Arial"/>
          <w:b/>
        </w:rPr>
      </w:pPr>
      <w:r w:rsidRPr="001E2F29">
        <w:rPr>
          <w:rFonts w:ascii="Arial" w:hAnsi="Arial" w:cs="Arial"/>
          <w:b/>
        </w:rPr>
        <w:t>Obchodní tajemství</w:t>
      </w:r>
    </w:p>
    <w:p w14:paraId="4E406A2E" w14:textId="77777777" w:rsidR="00E40B47" w:rsidRDefault="00E40B47" w:rsidP="00E4043E">
      <w:pPr>
        <w:contextualSpacing/>
        <w:jc w:val="both"/>
        <w:rPr>
          <w:rFonts w:ascii="Arial" w:hAnsi="Arial" w:cs="Arial"/>
          <w:highlight w:val="cyan"/>
        </w:rPr>
      </w:pPr>
    </w:p>
    <w:p w14:paraId="18363CE2" w14:textId="40AC7EC1"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považuje </w:t>
      </w:r>
      <w:r w:rsidR="004B66FD" w:rsidRPr="004B66FD">
        <w:rPr>
          <w:rFonts w:ascii="Arial" w:hAnsi="Arial" w:cs="Arial"/>
        </w:rPr>
        <w:t>specifikaci Přípravku, včetně doplňku názvu a kódu SÚKL, Předmětného správního řízení včetně data jeho zahájení a spisové značky a určení počtu, specifikace délky trvání a výše Limitů pro jednotlivá dílčí období</w:t>
      </w:r>
      <w:r w:rsidR="005A59EF">
        <w:rPr>
          <w:rFonts w:ascii="Arial" w:hAnsi="Arial" w:cs="Arial"/>
        </w:rPr>
        <w:t>,</w:t>
      </w:r>
      <w:r w:rsidR="000912F3">
        <w:rPr>
          <w:rFonts w:ascii="Arial" w:hAnsi="Arial" w:cs="Arial"/>
        </w:rPr>
        <w:t xml:space="preserve"> a</w:t>
      </w:r>
      <w:r w:rsidR="005A59EF">
        <w:rPr>
          <w:rFonts w:ascii="Arial" w:hAnsi="Arial" w:cs="Arial"/>
        </w:rPr>
        <w:t xml:space="preserve"> to </w:t>
      </w:r>
      <w:r w:rsidR="003671A3">
        <w:rPr>
          <w:rFonts w:ascii="Arial" w:hAnsi="Arial" w:cs="Arial"/>
        </w:rPr>
        <w:t xml:space="preserve">vše specifikované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w:t>
      </w:r>
      <w:r w:rsidR="009C1EE8" w:rsidRPr="00E31978">
        <w:rPr>
          <w:rFonts w:ascii="Arial" w:hAnsi="Arial" w:cs="Arial"/>
        </w:rPr>
        <w:lastRenderedPageBreak/>
        <w:t xml:space="preserve">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w:t>
      </w:r>
      <w:r w:rsidR="005A59EF">
        <w:rPr>
          <w:rFonts w:ascii="Arial" w:hAnsi="Arial" w:cs="Arial"/>
        </w:rPr>
        <w:t>,</w:t>
      </w:r>
      <w:r w:rsidR="00F54005">
        <w:rPr>
          <w:rFonts w:ascii="Arial" w:hAnsi="Arial" w:cs="Arial"/>
        </w:rPr>
        <w:t xml:space="preserve"> jímž bude stanoveno, že skutečnosti označené </w:t>
      </w:r>
      <w:r>
        <w:rPr>
          <w:rFonts w:ascii="Arial" w:hAnsi="Arial" w:cs="Arial"/>
        </w:rPr>
        <w:t>Držitelem</w:t>
      </w:r>
      <w:r w:rsidR="00F54005">
        <w:rPr>
          <w:rFonts w:ascii="Arial" w:hAnsi="Arial" w:cs="Arial"/>
        </w:rPr>
        <w:t xml:space="preserve"> za obchodní tajemství </w:t>
      </w:r>
      <w:r w:rsidR="005A59EF">
        <w:rPr>
          <w:rFonts w:ascii="Arial" w:hAnsi="Arial" w:cs="Arial"/>
        </w:rPr>
        <w:t>nenaplňují definici ve smyslu § </w:t>
      </w:r>
      <w:r w:rsidR="00F54005">
        <w:rPr>
          <w:rFonts w:ascii="Arial" w:hAnsi="Arial" w:cs="Arial"/>
        </w:rPr>
        <w:t xml:space="preserve">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14:paraId="73CA593B" w14:textId="77777777" w:rsidR="00FD7B41" w:rsidRDefault="00FD7B41" w:rsidP="00E4043E">
      <w:pPr>
        <w:contextualSpacing/>
        <w:jc w:val="both"/>
        <w:rPr>
          <w:rFonts w:ascii="Arial" w:hAnsi="Arial" w:cs="Arial"/>
          <w:highlight w:val="cyan"/>
        </w:rPr>
      </w:pPr>
    </w:p>
    <w:p w14:paraId="34CE0FF0" w14:textId="77777777" w:rsidR="00AD72DB" w:rsidRPr="00A508F0" w:rsidRDefault="00AD72DB" w:rsidP="00E4043E">
      <w:pPr>
        <w:contextualSpacing/>
        <w:jc w:val="both"/>
        <w:rPr>
          <w:rFonts w:ascii="Arial" w:hAnsi="Arial" w:cs="Arial"/>
          <w:highlight w:val="cyan"/>
        </w:rPr>
      </w:pPr>
    </w:p>
    <w:p w14:paraId="5FF2CA32" w14:textId="77777777" w:rsidR="004D5C92" w:rsidRDefault="004D5C92" w:rsidP="00E4043E">
      <w:pPr>
        <w:contextualSpacing/>
        <w:jc w:val="center"/>
        <w:rPr>
          <w:rFonts w:ascii="Arial" w:hAnsi="Arial" w:cs="Arial"/>
          <w:b/>
        </w:rPr>
      </w:pPr>
    </w:p>
    <w:p w14:paraId="45EC745D" w14:textId="77777777" w:rsidR="004D5C92" w:rsidRDefault="004D5C92" w:rsidP="00E4043E">
      <w:pPr>
        <w:contextualSpacing/>
        <w:jc w:val="center"/>
        <w:rPr>
          <w:rFonts w:ascii="Arial" w:hAnsi="Arial" w:cs="Arial"/>
          <w:b/>
        </w:rPr>
      </w:pPr>
    </w:p>
    <w:p w14:paraId="60464C6B" w14:textId="0043D91A" w:rsidR="005F3408" w:rsidRPr="00F25365" w:rsidRDefault="005F3408" w:rsidP="00E4043E">
      <w:pPr>
        <w:contextualSpacing/>
        <w:jc w:val="center"/>
        <w:rPr>
          <w:rFonts w:ascii="Arial" w:hAnsi="Arial" w:cs="Arial"/>
          <w:b/>
        </w:rPr>
      </w:pPr>
      <w:r w:rsidRPr="00F25365">
        <w:rPr>
          <w:rFonts w:ascii="Arial" w:hAnsi="Arial" w:cs="Arial"/>
          <w:b/>
        </w:rPr>
        <w:t>Článek X</w:t>
      </w:r>
      <w:r w:rsidR="00BC41EF">
        <w:rPr>
          <w:rFonts w:ascii="Arial" w:hAnsi="Arial" w:cs="Arial"/>
          <w:b/>
        </w:rPr>
        <w:t>I</w:t>
      </w:r>
      <w:r w:rsidRPr="00F25365">
        <w:rPr>
          <w:rFonts w:ascii="Arial" w:hAnsi="Arial" w:cs="Arial"/>
          <w:b/>
        </w:rPr>
        <w:t>.</w:t>
      </w:r>
    </w:p>
    <w:p w14:paraId="03EE83BC" w14:textId="77777777"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14:paraId="7040751F" w14:textId="77777777" w:rsidR="005F3408" w:rsidRPr="00F25365" w:rsidRDefault="005F3408" w:rsidP="00E4043E">
      <w:pPr>
        <w:contextualSpacing/>
        <w:jc w:val="center"/>
        <w:rPr>
          <w:rFonts w:ascii="Arial" w:hAnsi="Arial" w:cs="Arial"/>
        </w:rPr>
      </w:pPr>
    </w:p>
    <w:p w14:paraId="73DA1E72" w14:textId="6DEBC485" w:rsidR="005F3408" w:rsidRPr="00DB6262" w:rsidRDefault="005F3408" w:rsidP="0075785D">
      <w:pPr>
        <w:pStyle w:val="Odstavecseseznamem"/>
        <w:numPr>
          <w:ilvl w:val="0"/>
          <w:numId w:val="6"/>
        </w:numPr>
        <w:spacing w:before="120"/>
        <w:ind w:left="426" w:hanging="426"/>
        <w:jc w:val="both"/>
        <w:rPr>
          <w:rFonts w:ascii="Arial" w:hAnsi="Arial" w:cs="Arial"/>
        </w:rPr>
      </w:pPr>
      <w:r w:rsidRPr="00DB6262">
        <w:rPr>
          <w:rFonts w:ascii="Arial" w:hAnsi="Arial" w:cs="Arial"/>
        </w:rPr>
        <w:t>Tato Smlouv</w:t>
      </w:r>
      <w:r w:rsidR="005D7254" w:rsidRPr="00DB6262">
        <w:rPr>
          <w:rFonts w:ascii="Arial" w:hAnsi="Arial" w:cs="Arial"/>
        </w:rPr>
        <w:t xml:space="preserve">a se uzavírá na dobu určitou </w:t>
      </w:r>
      <w:r w:rsidR="005A59EF" w:rsidRPr="00DB6262">
        <w:rPr>
          <w:rFonts w:ascii="Arial" w:hAnsi="Arial" w:cs="Arial"/>
        </w:rPr>
        <w:t>tří</w:t>
      </w:r>
      <w:r w:rsidR="00DF37C7" w:rsidRPr="00DB6262">
        <w:rPr>
          <w:rFonts w:ascii="Arial" w:hAnsi="Arial" w:cs="Arial"/>
        </w:rPr>
        <w:t xml:space="preserve"> (3)</w:t>
      </w:r>
      <w:r w:rsidR="005A59EF" w:rsidRPr="00DB6262">
        <w:rPr>
          <w:rFonts w:ascii="Arial" w:hAnsi="Arial" w:cs="Arial"/>
        </w:rPr>
        <w:t xml:space="preserve"> let</w:t>
      </w:r>
      <w:r w:rsidR="006C72BF" w:rsidRPr="00DB6262">
        <w:rPr>
          <w:rFonts w:ascii="Arial" w:hAnsi="Arial" w:cs="Arial"/>
        </w:rPr>
        <w:t xml:space="preserve"> </w:t>
      </w:r>
      <w:r w:rsidR="00DF37C7" w:rsidRPr="00DB6262">
        <w:rPr>
          <w:rFonts w:ascii="Arial" w:hAnsi="Arial" w:cs="Arial"/>
        </w:rPr>
        <w:t xml:space="preserve">ode dne </w:t>
      </w:r>
      <w:r w:rsidR="003C362A" w:rsidRPr="00DB6262">
        <w:rPr>
          <w:rFonts w:ascii="Arial" w:hAnsi="Arial" w:cs="Arial"/>
        </w:rPr>
        <w:t>účinnosti</w:t>
      </w:r>
      <w:r w:rsidR="004D5C92" w:rsidRPr="00DB6262">
        <w:rPr>
          <w:rFonts w:ascii="Arial" w:hAnsi="Arial" w:cs="Arial"/>
        </w:rPr>
        <w:t xml:space="preserve"> Smlouvy dle čl. XIV odst. 1 této Smlouvy</w:t>
      </w:r>
      <w:r w:rsidR="003C362A" w:rsidRPr="00DB6262">
        <w:rPr>
          <w:rFonts w:ascii="Arial" w:hAnsi="Arial" w:cs="Arial"/>
        </w:rPr>
        <w:t>.</w:t>
      </w:r>
    </w:p>
    <w:p w14:paraId="11CEE2BE" w14:textId="77777777" w:rsidR="00F50ED5" w:rsidRDefault="00F50ED5" w:rsidP="00111D60">
      <w:pPr>
        <w:pStyle w:val="Odstavecseseznamem"/>
        <w:spacing w:before="120"/>
        <w:ind w:left="426"/>
        <w:jc w:val="both"/>
        <w:rPr>
          <w:rFonts w:ascii="Arial" w:hAnsi="Arial" w:cs="Arial"/>
        </w:rPr>
      </w:pPr>
    </w:p>
    <w:p w14:paraId="48DD5915" w14:textId="77777777" w:rsidR="00847E8D" w:rsidRDefault="00E43C51"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14:paraId="6EAF4E19" w14:textId="77777777" w:rsidR="00847E8D" w:rsidRPr="00847E8D" w:rsidRDefault="00847E8D" w:rsidP="00847E8D">
      <w:pPr>
        <w:pStyle w:val="Odstavecseseznamem"/>
        <w:rPr>
          <w:rFonts w:ascii="Arial" w:hAnsi="Arial" w:cs="Arial"/>
        </w:rPr>
      </w:pPr>
    </w:p>
    <w:p w14:paraId="5653FC42" w14:textId="77777777" w:rsidR="00CA192C" w:rsidRPr="00DF376F" w:rsidRDefault="00847E8D" w:rsidP="0075785D">
      <w:pPr>
        <w:pStyle w:val="Odstavecseseznamem"/>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14:paraId="6F014E75" w14:textId="77777777" w:rsidR="009C1EE8" w:rsidRPr="00E31978" w:rsidRDefault="009C1EE8" w:rsidP="00E31978">
      <w:pPr>
        <w:pStyle w:val="Odstavecseseznamem"/>
        <w:rPr>
          <w:rFonts w:ascii="Arial" w:hAnsi="Arial" w:cs="Arial"/>
        </w:rPr>
      </w:pPr>
    </w:p>
    <w:p w14:paraId="202BE095" w14:textId="51E9FE80" w:rsidR="00CA192C" w:rsidRDefault="00CA192C" w:rsidP="0075785D">
      <w:pPr>
        <w:pStyle w:val="Odstavecseseznamem"/>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14:paraId="4E537431"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F47354">
        <w:rPr>
          <w:rFonts w:ascii="Arial" w:hAnsi="Arial" w:cs="Arial"/>
          <w:b/>
        </w:rPr>
        <w:t>I</w:t>
      </w:r>
      <w:r w:rsidR="00BC41EF">
        <w:rPr>
          <w:rFonts w:ascii="Arial" w:hAnsi="Arial" w:cs="Arial"/>
          <w:b/>
        </w:rPr>
        <w:t>I</w:t>
      </w:r>
      <w:r w:rsidRPr="00F25365">
        <w:rPr>
          <w:rFonts w:ascii="Arial" w:hAnsi="Arial" w:cs="Arial"/>
          <w:b/>
        </w:rPr>
        <w:t>.</w:t>
      </w:r>
    </w:p>
    <w:p w14:paraId="729D6140"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14:paraId="1AA8D235" w14:textId="77777777" w:rsidR="00945428" w:rsidRDefault="00945428" w:rsidP="0075785D">
      <w:pPr>
        <w:pStyle w:val="Odstavecseseznamem"/>
        <w:numPr>
          <w:ilvl w:val="0"/>
          <w:numId w:val="5"/>
        </w:numPr>
        <w:overflowPunct/>
        <w:autoSpaceDE/>
        <w:autoSpaceDN/>
        <w:adjustRightInd/>
        <w:spacing w:before="120" w:after="120"/>
        <w:ind w:left="426" w:hanging="426"/>
        <w:jc w:val="both"/>
        <w:textAlignment w:val="auto"/>
        <w:rPr>
          <w:rFonts w:ascii="Arial" w:hAnsi="Arial" w:cs="Arial"/>
        </w:rPr>
      </w:pPr>
      <w:r w:rsidRPr="00CE5BF5">
        <w:rPr>
          <w:rFonts w:ascii="Arial" w:hAnsi="Arial" w:cs="Arial"/>
        </w:rPr>
        <w:t xml:space="preserve">Písemnosti související s touto </w:t>
      </w:r>
      <w:r w:rsidR="00CE5BF5" w:rsidRPr="00CE5BF5">
        <w:rPr>
          <w:rFonts w:ascii="Arial" w:hAnsi="Arial" w:cs="Arial"/>
        </w:rPr>
        <w:t>Smlouvou</w:t>
      </w:r>
      <w:r w:rsidRPr="00CE5BF5">
        <w:rPr>
          <w:rFonts w:ascii="Arial" w:hAnsi="Arial" w:cs="Arial"/>
        </w:rPr>
        <w:t xml:space="preserve"> budou doručovány na adresu </w:t>
      </w:r>
      <w:r w:rsidR="00CE5BF5" w:rsidRPr="00CE5BF5">
        <w:rPr>
          <w:rFonts w:ascii="Arial" w:hAnsi="Arial" w:cs="Arial"/>
        </w:rPr>
        <w:t>sídla</w:t>
      </w:r>
      <w:r w:rsidRPr="00CE5BF5">
        <w:rPr>
          <w:rFonts w:ascii="Arial" w:hAnsi="Arial" w:cs="Arial"/>
        </w:rPr>
        <w:t xml:space="preserve"> </w:t>
      </w:r>
      <w:r w:rsidR="002D0FF0">
        <w:rPr>
          <w:rFonts w:ascii="Arial" w:hAnsi="Arial" w:cs="Arial"/>
        </w:rPr>
        <w:t>Lokálního zástupce</w:t>
      </w:r>
      <w:r w:rsidR="00CE5BF5" w:rsidRPr="00CE5BF5">
        <w:rPr>
          <w:rFonts w:ascii="Arial" w:hAnsi="Arial" w:cs="Arial"/>
        </w:rPr>
        <w:t>,</w:t>
      </w:r>
      <w:r w:rsidRPr="00CE5BF5">
        <w:rPr>
          <w:rFonts w:ascii="Arial" w:hAnsi="Arial" w:cs="Arial"/>
        </w:rPr>
        <w:t xml:space="preserve"> resp. na adresu sídla Pojišťovny uvedenou </w:t>
      </w:r>
      <w:r w:rsidR="00CE5BF5">
        <w:rPr>
          <w:rFonts w:ascii="Arial" w:hAnsi="Arial" w:cs="Arial"/>
        </w:rPr>
        <w:t>v záhlaví Smlouvy</w:t>
      </w:r>
      <w:r w:rsidRPr="00CE5BF5">
        <w:rPr>
          <w:rFonts w:ascii="Arial" w:hAnsi="Arial" w:cs="Arial"/>
        </w:rPr>
        <w:t>, ledaže některá ze smluvních stran písemně oznámí druhé smluvní straně jinou doručovací adresu, nebo do datové schránky</w:t>
      </w:r>
      <w:r w:rsidR="00CE5BF5">
        <w:rPr>
          <w:rFonts w:ascii="Arial" w:hAnsi="Arial" w:cs="Arial"/>
        </w:rPr>
        <w:t xml:space="preserve"> </w:t>
      </w:r>
      <w:r w:rsidR="002D0FF0">
        <w:rPr>
          <w:rFonts w:ascii="Arial" w:hAnsi="Arial" w:cs="Arial"/>
        </w:rPr>
        <w:t>Lokálního zástupce</w:t>
      </w:r>
      <w:r w:rsidR="00CE5BF5">
        <w:rPr>
          <w:rFonts w:ascii="Arial" w:hAnsi="Arial" w:cs="Arial"/>
        </w:rPr>
        <w:t xml:space="preserve"> nebo Pojišťovny</w:t>
      </w:r>
      <w:r w:rsidRPr="00CE5BF5">
        <w:rPr>
          <w:rFonts w:ascii="Arial" w:hAnsi="Arial" w:cs="Arial"/>
        </w:rPr>
        <w:t xml:space="preserve">. </w:t>
      </w:r>
    </w:p>
    <w:p w14:paraId="5994FBC4" w14:textId="77777777" w:rsidR="00C47A3F" w:rsidRPr="00CE5BF5" w:rsidRDefault="00C47A3F" w:rsidP="00C47A3F">
      <w:pPr>
        <w:pStyle w:val="Odstavecseseznamem"/>
        <w:overflowPunct/>
        <w:autoSpaceDE/>
        <w:autoSpaceDN/>
        <w:adjustRightInd/>
        <w:spacing w:before="120" w:after="120"/>
        <w:ind w:left="426"/>
        <w:jc w:val="both"/>
        <w:textAlignment w:val="auto"/>
        <w:rPr>
          <w:rFonts w:ascii="Arial" w:hAnsi="Arial" w:cs="Arial"/>
        </w:rPr>
      </w:pPr>
    </w:p>
    <w:p w14:paraId="438B771A" w14:textId="77777777" w:rsidR="005F3408" w:rsidRPr="00F25365" w:rsidRDefault="005F3408"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14:paraId="586505AC" w14:textId="56ABC8C4" w:rsidR="005F3408" w:rsidRPr="00C47A3F"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8C301D">
        <w:rPr>
          <w:rFonts w:ascii="Arial" w:hAnsi="Arial" w:cs="Arial"/>
        </w:rPr>
        <w:tab/>
      </w:r>
      <w:r w:rsidR="00611437" w:rsidRPr="00772DD0">
        <w:rPr>
          <w:rFonts w:ascii="Arial" w:hAnsi="Arial" w:cs="Arial"/>
          <w:highlight w:val="black"/>
        </w:rPr>
        <w:t>XXXXXXXXXXXXX</w:t>
      </w:r>
      <w:r w:rsidR="00896BA2">
        <w:rPr>
          <w:rFonts w:ascii="Arial" w:hAnsi="Arial" w:cs="Arial"/>
        </w:rPr>
        <w:t>, zaměstnanec</w:t>
      </w:r>
      <w:r w:rsidR="00CE5BF5" w:rsidRPr="00C47A3F">
        <w:rPr>
          <w:rFonts w:ascii="Arial" w:hAnsi="Arial" w:cs="Arial"/>
        </w:rPr>
        <w:t xml:space="preserve">, </w:t>
      </w:r>
      <w:r w:rsidR="00611437" w:rsidRPr="00772DD0">
        <w:rPr>
          <w:rFonts w:ascii="Arial" w:hAnsi="Arial" w:cs="Arial"/>
          <w:highlight w:val="black"/>
        </w:rPr>
        <w:t>XXXXXXXXXXXXX</w:t>
      </w:r>
      <w:r w:rsidR="00643465" w:rsidRPr="00C47A3F">
        <w:rPr>
          <w:rFonts w:ascii="Arial" w:hAnsi="Arial" w:cs="Arial"/>
        </w:rPr>
        <w:t xml:space="preserve"> </w:t>
      </w:r>
    </w:p>
    <w:p w14:paraId="36978089" w14:textId="69A0478F" w:rsidR="00643465" w:rsidRDefault="002F7D4C" w:rsidP="002F7D4C">
      <w:pPr>
        <w:pStyle w:val="Odstavecseseznamem"/>
        <w:overflowPunct/>
        <w:autoSpaceDE/>
        <w:autoSpaceDN/>
        <w:adjustRightInd/>
        <w:spacing w:before="240"/>
        <w:ind w:left="1701" w:firstLine="423"/>
        <w:jc w:val="both"/>
        <w:textAlignment w:val="auto"/>
        <w:rPr>
          <w:rFonts w:ascii="Arial" w:hAnsi="Arial" w:cs="Arial"/>
        </w:rPr>
      </w:pPr>
      <w:r>
        <w:rPr>
          <w:rFonts w:ascii="Arial" w:hAnsi="Arial" w:cs="Arial"/>
        </w:rPr>
        <w:t xml:space="preserve">   </w:t>
      </w:r>
      <w:r w:rsidR="008C301D">
        <w:rPr>
          <w:rFonts w:ascii="Arial" w:hAnsi="Arial" w:cs="Arial"/>
        </w:rPr>
        <w:tab/>
      </w:r>
      <w:r w:rsidR="00611437" w:rsidRPr="00772DD0">
        <w:rPr>
          <w:rFonts w:ascii="Arial" w:hAnsi="Arial" w:cs="Arial"/>
          <w:highlight w:val="black"/>
        </w:rPr>
        <w:t>XXXXXXXXXXXXX</w:t>
      </w:r>
      <w:r w:rsidR="007E2158">
        <w:rPr>
          <w:rFonts w:ascii="Arial" w:hAnsi="Arial" w:cs="Arial"/>
        </w:rPr>
        <w:t xml:space="preserve">, </w:t>
      </w:r>
      <w:r w:rsidR="00643465">
        <w:rPr>
          <w:rFonts w:ascii="Arial" w:hAnsi="Arial" w:cs="Arial"/>
        </w:rPr>
        <w:t xml:space="preserve">zaměstnanec, </w:t>
      </w:r>
      <w:r w:rsidR="00611437" w:rsidRPr="00772DD0">
        <w:rPr>
          <w:rFonts w:ascii="Arial" w:hAnsi="Arial" w:cs="Arial"/>
          <w:highlight w:val="black"/>
        </w:rPr>
        <w:t>XXXXXXXXXXXXX</w:t>
      </w:r>
      <w:r w:rsidR="00643465">
        <w:rPr>
          <w:rFonts w:ascii="Arial" w:hAnsi="Arial" w:cs="Arial"/>
        </w:rPr>
        <w:t xml:space="preserve"> </w:t>
      </w:r>
    </w:p>
    <w:p w14:paraId="7BF116C0" w14:textId="7B87ADFB" w:rsidR="008C301D" w:rsidRDefault="008C301D" w:rsidP="002F7D4C">
      <w:pPr>
        <w:pStyle w:val="Odstavecseseznamem"/>
        <w:overflowPunct/>
        <w:autoSpaceDE/>
        <w:autoSpaceDN/>
        <w:adjustRightInd/>
        <w:spacing w:before="240"/>
        <w:ind w:left="1701" w:firstLine="423"/>
        <w:jc w:val="both"/>
        <w:textAlignment w:val="auto"/>
        <w:rPr>
          <w:rFonts w:ascii="Arial" w:hAnsi="Arial" w:cs="Arial"/>
        </w:rPr>
      </w:pPr>
      <w:r>
        <w:rPr>
          <w:rFonts w:ascii="Arial" w:hAnsi="Arial" w:cs="Arial"/>
        </w:rPr>
        <w:tab/>
      </w:r>
      <w:r w:rsidR="00611437" w:rsidRPr="00772DD0">
        <w:rPr>
          <w:rFonts w:ascii="Arial" w:hAnsi="Arial" w:cs="Arial"/>
          <w:highlight w:val="black"/>
        </w:rPr>
        <w:t>XXXXXXXXXXXXX</w:t>
      </w:r>
      <w:r>
        <w:rPr>
          <w:rFonts w:ascii="Arial" w:hAnsi="Arial" w:cs="Arial"/>
        </w:rPr>
        <w:t xml:space="preserve">, zaměstnanec, </w:t>
      </w:r>
      <w:r w:rsidR="00611437" w:rsidRPr="00772DD0">
        <w:rPr>
          <w:rFonts w:ascii="Arial" w:hAnsi="Arial" w:cs="Arial"/>
          <w:highlight w:val="black"/>
        </w:rPr>
        <w:t>XXXXXXXXXXXXX</w:t>
      </w:r>
    </w:p>
    <w:p w14:paraId="75574693" w14:textId="77777777" w:rsidR="008C301D" w:rsidRDefault="008C301D" w:rsidP="002F7D4C">
      <w:pPr>
        <w:pStyle w:val="Odstavecseseznamem"/>
        <w:overflowPunct/>
        <w:autoSpaceDE/>
        <w:autoSpaceDN/>
        <w:adjustRightInd/>
        <w:spacing w:before="240"/>
        <w:ind w:left="1701" w:firstLine="423"/>
        <w:jc w:val="both"/>
        <w:textAlignment w:val="auto"/>
        <w:rPr>
          <w:rFonts w:ascii="Arial" w:hAnsi="Arial" w:cs="Arial"/>
        </w:rPr>
      </w:pPr>
    </w:p>
    <w:p w14:paraId="6D2AD492" w14:textId="2292ED2E" w:rsidR="00C47A3F" w:rsidRPr="002F7D4C" w:rsidRDefault="005F3408" w:rsidP="0075785D">
      <w:pPr>
        <w:pStyle w:val="Odstavecseseznamem"/>
        <w:numPr>
          <w:ilvl w:val="0"/>
          <w:numId w:val="23"/>
        </w:numPr>
        <w:overflowPunct/>
        <w:autoSpaceDE/>
        <w:autoSpaceDN/>
        <w:adjustRightInd/>
        <w:spacing w:before="240"/>
        <w:ind w:left="993" w:hanging="284"/>
        <w:jc w:val="both"/>
        <w:textAlignment w:val="auto"/>
        <w:rPr>
          <w:rFonts w:ascii="Arial" w:hAnsi="Arial" w:cs="Arial"/>
        </w:rPr>
      </w:pPr>
      <w:r w:rsidRPr="002F7D4C">
        <w:rPr>
          <w:rFonts w:ascii="Arial" w:hAnsi="Arial" w:cs="Arial"/>
        </w:rPr>
        <w:t xml:space="preserve">Za </w:t>
      </w:r>
      <w:r w:rsidR="002D0FF0" w:rsidRPr="002F7D4C">
        <w:rPr>
          <w:rFonts w:ascii="Arial" w:hAnsi="Arial" w:cs="Arial"/>
        </w:rPr>
        <w:t>Držitele</w:t>
      </w:r>
      <w:r w:rsidRPr="002F7D4C">
        <w:rPr>
          <w:rFonts w:ascii="Arial" w:hAnsi="Arial" w:cs="Arial"/>
        </w:rPr>
        <w:t>:</w:t>
      </w:r>
      <w:r w:rsidR="00F35546" w:rsidRPr="00F35546">
        <w:rPr>
          <w:rFonts w:ascii="Arial" w:hAnsi="Arial" w:cs="Arial"/>
        </w:rPr>
        <w:t xml:space="preserve"> </w:t>
      </w:r>
      <w:r w:rsidR="005C089E">
        <w:rPr>
          <w:rFonts w:ascii="Arial" w:hAnsi="Arial" w:cs="Arial"/>
        </w:rPr>
        <w:tab/>
      </w:r>
      <w:r w:rsidR="005C089E">
        <w:rPr>
          <w:rFonts w:ascii="Arial" w:hAnsi="Arial" w:cs="Arial"/>
        </w:rPr>
        <w:tab/>
      </w:r>
      <w:bookmarkStart w:id="0" w:name="_GoBack"/>
      <w:bookmarkEnd w:id="0"/>
      <w:r w:rsidR="00611437" w:rsidRPr="00772DD0">
        <w:rPr>
          <w:rFonts w:ascii="Arial" w:hAnsi="Arial" w:cs="Arial"/>
          <w:highlight w:val="black"/>
        </w:rPr>
        <w:t>XXXXXXXXXXXXX</w:t>
      </w:r>
    </w:p>
    <w:p w14:paraId="1F29C5D9" w14:textId="77777777" w:rsidR="00B24DDA" w:rsidRPr="00F25365" w:rsidRDefault="00B24DDA" w:rsidP="00E4043E">
      <w:pPr>
        <w:pStyle w:val="Odstavecseseznamem"/>
        <w:overflowPunct/>
        <w:autoSpaceDE/>
        <w:autoSpaceDN/>
        <w:adjustRightInd/>
        <w:spacing w:before="240"/>
        <w:ind w:left="993"/>
        <w:jc w:val="both"/>
        <w:textAlignment w:val="auto"/>
        <w:rPr>
          <w:rFonts w:ascii="Arial" w:hAnsi="Arial" w:cs="Arial"/>
        </w:rPr>
      </w:pPr>
    </w:p>
    <w:p w14:paraId="2097E363" w14:textId="77777777" w:rsidR="00C47A3F" w:rsidRDefault="00C47A3F" w:rsidP="0075785D">
      <w:pPr>
        <w:pStyle w:val="Odstavecseseznamem"/>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14:paraId="7DFB005D" w14:textId="77777777" w:rsidR="00C47A3F" w:rsidRPr="00CE70F0" w:rsidRDefault="00C47A3F" w:rsidP="0075785D">
      <w:pPr>
        <w:pStyle w:val="Odstavecseseznamem"/>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hyperlink r:id="rId12" w:history="1">
        <w:r w:rsidRPr="00CE70F0">
          <w:rPr>
            <w:rStyle w:val="Hypertextovodkaz"/>
            <w:rFonts w:ascii="Arial" w:hAnsi="Arial" w:cs="Arial"/>
          </w:rPr>
          <w:t>olzp@vzp.cz</w:t>
        </w:r>
      </w:hyperlink>
      <w:r w:rsidRPr="00CE70F0">
        <w:rPr>
          <w:rFonts w:ascii="Arial" w:hAnsi="Arial" w:cs="Arial"/>
        </w:rPr>
        <w:t xml:space="preserve"> </w:t>
      </w:r>
    </w:p>
    <w:p w14:paraId="2149E0DB" w14:textId="68DC9C3E" w:rsidR="002F7D4C" w:rsidRDefault="00C47A3F" w:rsidP="002F7D4C">
      <w:pPr>
        <w:pStyle w:val="Odstavecseseznamem"/>
        <w:numPr>
          <w:ilvl w:val="0"/>
          <w:numId w:val="22"/>
        </w:numPr>
        <w:overflowPunct/>
        <w:autoSpaceDE/>
        <w:autoSpaceDN/>
        <w:adjustRightInd/>
        <w:spacing w:before="240"/>
        <w:jc w:val="both"/>
        <w:textAlignment w:val="auto"/>
        <w:rPr>
          <w:rFonts w:ascii="Arial" w:hAnsi="Arial" w:cs="Arial"/>
        </w:rPr>
      </w:pPr>
      <w:r w:rsidRPr="000912F3">
        <w:rPr>
          <w:rFonts w:ascii="Arial" w:hAnsi="Arial" w:cs="Arial"/>
        </w:rPr>
        <w:t xml:space="preserve">Za Držitele: </w:t>
      </w:r>
      <w:r w:rsidR="005C089E">
        <w:rPr>
          <w:rFonts w:ascii="Arial" w:hAnsi="Arial" w:cs="Arial"/>
        </w:rPr>
        <w:t xml:space="preserve">    </w:t>
      </w:r>
      <w:r w:rsidR="005C089E" w:rsidRPr="00B00CCB">
        <w:rPr>
          <w:rFonts w:ascii="Arial" w:hAnsi="Arial" w:cs="Arial"/>
        </w:rPr>
        <w:t>zavazky@astrazeneca.com</w:t>
      </w:r>
    </w:p>
    <w:p w14:paraId="2A43E8C8" w14:textId="77777777" w:rsidR="000912F3" w:rsidRPr="000912F3" w:rsidRDefault="000912F3" w:rsidP="000912F3">
      <w:pPr>
        <w:pStyle w:val="Odstavecseseznamem"/>
        <w:overflowPunct/>
        <w:autoSpaceDE/>
        <w:autoSpaceDN/>
        <w:adjustRightInd/>
        <w:spacing w:before="240"/>
        <w:ind w:left="1080"/>
        <w:jc w:val="both"/>
        <w:textAlignment w:val="auto"/>
        <w:rPr>
          <w:rFonts w:ascii="Arial" w:hAnsi="Arial" w:cs="Arial"/>
        </w:rPr>
      </w:pPr>
    </w:p>
    <w:p w14:paraId="0A46157B" w14:textId="77777777" w:rsidR="009E1887" w:rsidRPr="002F7D4C" w:rsidRDefault="009E1887" w:rsidP="0075785D">
      <w:pPr>
        <w:pStyle w:val="Odstavecseseznamem"/>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14:paraId="3DB2B479" w14:textId="77777777" w:rsidR="002F7D4C" w:rsidRDefault="002F7D4C" w:rsidP="00E4043E">
      <w:pPr>
        <w:spacing w:before="240"/>
        <w:contextualSpacing/>
        <w:jc w:val="center"/>
        <w:rPr>
          <w:rFonts w:ascii="Arial" w:hAnsi="Arial" w:cs="Arial"/>
          <w:b/>
        </w:rPr>
      </w:pPr>
    </w:p>
    <w:p w14:paraId="0BC266EB" w14:textId="77777777"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00BC41EF">
        <w:rPr>
          <w:rFonts w:ascii="Arial" w:hAnsi="Arial" w:cs="Arial"/>
          <w:b/>
        </w:rPr>
        <w:t>I</w:t>
      </w:r>
      <w:r w:rsidRPr="00F25365">
        <w:rPr>
          <w:rFonts w:ascii="Arial" w:hAnsi="Arial" w:cs="Arial"/>
          <w:b/>
        </w:rPr>
        <w:t>.</w:t>
      </w:r>
    </w:p>
    <w:p w14:paraId="3BF2FA7F" w14:textId="77777777" w:rsidR="005B7868" w:rsidRPr="00F25365" w:rsidRDefault="005B7868" w:rsidP="00E4043E">
      <w:pPr>
        <w:contextualSpacing/>
        <w:jc w:val="center"/>
        <w:rPr>
          <w:rFonts w:ascii="Arial" w:hAnsi="Arial" w:cs="Arial"/>
          <w:b/>
        </w:rPr>
      </w:pPr>
      <w:r w:rsidRPr="00F25365">
        <w:rPr>
          <w:rFonts w:ascii="Arial" w:hAnsi="Arial" w:cs="Arial"/>
          <w:b/>
        </w:rPr>
        <w:t>Ostatní ujednání</w:t>
      </w:r>
    </w:p>
    <w:p w14:paraId="7380ABA8" w14:textId="77777777" w:rsidR="005B7868" w:rsidRPr="00F25365" w:rsidRDefault="005B7868" w:rsidP="00E4043E">
      <w:pPr>
        <w:contextualSpacing/>
        <w:jc w:val="center"/>
        <w:rPr>
          <w:rFonts w:ascii="Arial" w:hAnsi="Arial" w:cs="Arial"/>
          <w:b/>
        </w:rPr>
      </w:pPr>
    </w:p>
    <w:p w14:paraId="2A463DD9" w14:textId="77777777"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14:paraId="63BF845F" w14:textId="77777777" w:rsidR="00F95B70" w:rsidRDefault="00F95B70" w:rsidP="00E4043E">
      <w:pPr>
        <w:tabs>
          <w:tab w:val="left" w:pos="0"/>
        </w:tabs>
        <w:spacing w:before="120"/>
        <w:ind w:left="426"/>
        <w:contextualSpacing/>
        <w:jc w:val="both"/>
        <w:rPr>
          <w:rFonts w:ascii="Arial" w:hAnsi="Arial" w:cs="Arial"/>
        </w:rPr>
      </w:pPr>
    </w:p>
    <w:p w14:paraId="454628D9" w14:textId="77777777"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14:paraId="2F99DBBC" w14:textId="77777777" w:rsidR="005B7868" w:rsidRPr="00F25365" w:rsidRDefault="005B7868" w:rsidP="00E4043E">
      <w:pPr>
        <w:tabs>
          <w:tab w:val="left" w:pos="0"/>
        </w:tabs>
        <w:spacing w:before="120"/>
        <w:ind w:left="426" w:hanging="426"/>
        <w:contextualSpacing/>
        <w:jc w:val="both"/>
        <w:rPr>
          <w:rFonts w:ascii="Arial" w:hAnsi="Arial" w:cs="Arial"/>
        </w:rPr>
      </w:pPr>
    </w:p>
    <w:p w14:paraId="3C8F790A" w14:textId="77777777" w:rsidR="00F7487A" w:rsidRPr="00F25365" w:rsidRDefault="00F7487A" w:rsidP="00F7487A">
      <w:pPr>
        <w:numPr>
          <w:ilvl w:val="0"/>
          <w:numId w:val="12"/>
        </w:numPr>
        <w:tabs>
          <w:tab w:val="left" w:pos="0"/>
        </w:tabs>
        <w:spacing w:before="120"/>
        <w:ind w:left="426" w:hanging="426"/>
        <w:contextualSpacing/>
        <w:jc w:val="both"/>
        <w:rPr>
          <w:rFonts w:ascii="Arial" w:hAnsi="Arial" w:cs="Arial"/>
        </w:rPr>
      </w:pPr>
      <w:r w:rsidRPr="005947A1">
        <w:rPr>
          <w:rFonts w:ascii="Arial" w:hAnsi="Arial" w:cs="Arial"/>
        </w:rPr>
        <w:t>S</w:t>
      </w:r>
      <w:r>
        <w:rPr>
          <w:rFonts w:ascii="Arial" w:hAnsi="Arial" w:cs="Arial"/>
        </w:rPr>
        <w:t>mluvní st</w:t>
      </w:r>
      <w:r w:rsidRPr="005947A1">
        <w:rPr>
          <w:rFonts w:ascii="Arial" w:hAnsi="Arial" w:cs="Arial"/>
        </w:rPr>
        <w:t xml:space="preserve">rany se tímto zavazují, že vynaloží veškeré rozumné úsilí k urovnání všech sporů z této Smlouvy smírnou cestou. Pokud </w:t>
      </w:r>
      <w:r>
        <w:rPr>
          <w:rFonts w:ascii="Arial" w:hAnsi="Arial" w:cs="Arial"/>
        </w:rPr>
        <w:t xml:space="preserve">smluvní </w:t>
      </w:r>
      <w:r w:rsidRPr="005947A1">
        <w:rPr>
          <w:rFonts w:ascii="Arial" w:hAnsi="Arial" w:cs="Arial"/>
        </w:rPr>
        <w:t xml:space="preserve">strany nevyřeší spor smírnou cestou, bude takový spor 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w:t>
      </w:r>
      <w:r w:rsidRPr="005947A1">
        <w:rPr>
          <w:rFonts w:ascii="Arial" w:hAnsi="Arial" w:cs="Arial"/>
        </w:rPr>
        <w:lastRenderedPageBreak/>
        <w:t>soudu a Městského soudu v Praze, je-li dána v konkrétním případě věcná příslušnost krajského soudu</w:t>
      </w:r>
      <w:r w:rsidRPr="00F25365">
        <w:rPr>
          <w:rFonts w:ascii="Arial" w:hAnsi="Arial" w:cs="Arial"/>
        </w:rPr>
        <w:t>.</w:t>
      </w:r>
    </w:p>
    <w:p w14:paraId="672341E2" w14:textId="77777777" w:rsidR="005B7868" w:rsidRPr="00F25365" w:rsidRDefault="005B7868" w:rsidP="00C6456B">
      <w:pPr>
        <w:tabs>
          <w:tab w:val="left" w:pos="0"/>
        </w:tabs>
        <w:spacing w:before="120"/>
        <w:ind w:left="426"/>
        <w:contextualSpacing/>
        <w:jc w:val="both"/>
        <w:rPr>
          <w:rFonts w:ascii="Arial" w:hAnsi="Arial" w:cs="Arial"/>
        </w:rPr>
      </w:pPr>
    </w:p>
    <w:p w14:paraId="4EA35F5B" w14:textId="77777777" w:rsidR="00D02578" w:rsidRDefault="00D02578" w:rsidP="00E4043E">
      <w:pPr>
        <w:spacing w:before="120"/>
        <w:ind w:left="283"/>
        <w:contextualSpacing/>
        <w:jc w:val="both"/>
        <w:rPr>
          <w:rFonts w:ascii="Arial" w:hAnsi="Arial" w:cs="Arial"/>
        </w:rPr>
      </w:pPr>
    </w:p>
    <w:p w14:paraId="6C8E013E" w14:textId="77777777" w:rsidR="001E0F7C" w:rsidRDefault="001E0F7C" w:rsidP="00E4043E">
      <w:pPr>
        <w:spacing w:before="240"/>
        <w:contextualSpacing/>
        <w:jc w:val="center"/>
        <w:rPr>
          <w:rFonts w:ascii="Arial" w:hAnsi="Arial" w:cs="Arial"/>
          <w:b/>
        </w:rPr>
      </w:pPr>
    </w:p>
    <w:p w14:paraId="1ED2A9E7" w14:textId="77777777"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BC41EF">
        <w:rPr>
          <w:rFonts w:ascii="Arial" w:hAnsi="Arial" w:cs="Arial"/>
          <w:b/>
        </w:rPr>
        <w:t>IV</w:t>
      </w:r>
      <w:r w:rsidR="00730807">
        <w:rPr>
          <w:rFonts w:ascii="Arial" w:hAnsi="Arial" w:cs="Arial"/>
          <w:b/>
        </w:rPr>
        <w:t>.</w:t>
      </w:r>
    </w:p>
    <w:p w14:paraId="12CCB87F" w14:textId="77777777"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14:paraId="52CE8EBE" w14:textId="77777777" w:rsidR="005F3408" w:rsidRPr="00F25365" w:rsidRDefault="005F3408" w:rsidP="00E4043E">
      <w:pPr>
        <w:tabs>
          <w:tab w:val="left" w:pos="0"/>
        </w:tabs>
        <w:spacing w:before="120"/>
        <w:ind w:left="567"/>
        <w:contextualSpacing/>
        <w:jc w:val="both"/>
        <w:rPr>
          <w:rFonts w:ascii="Arial" w:hAnsi="Arial" w:cs="Arial"/>
        </w:rPr>
      </w:pPr>
    </w:p>
    <w:p w14:paraId="40617A15" w14:textId="11134402" w:rsidR="0050731E" w:rsidRDefault="0050731E" w:rsidP="0050731E">
      <w:pPr>
        <w:numPr>
          <w:ilvl w:val="0"/>
          <w:numId w:val="13"/>
        </w:numPr>
        <w:ind w:left="426" w:hanging="426"/>
        <w:contextualSpacing/>
        <w:jc w:val="both"/>
        <w:rPr>
          <w:rFonts w:ascii="Arial" w:hAnsi="Arial" w:cs="Arial"/>
        </w:rPr>
      </w:pPr>
      <w:r>
        <w:rPr>
          <w:rFonts w:ascii="Arial" w:hAnsi="Arial" w:cs="Arial"/>
        </w:rPr>
        <w:t xml:space="preserve">Tato Smlouva nabývá platnosti dnem podpisu poslední smluvní stranou a </w:t>
      </w:r>
      <w:r w:rsidRPr="0050731E">
        <w:rPr>
          <w:rFonts w:ascii="Arial" w:hAnsi="Arial" w:cs="Arial"/>
        </w:rPr>
        <w:t>účinnosti prvním dnem kalendářního měsíce bezprostředně následujícího po měsíci, ve kterém došlo ke zveřejnění Smlouvy v registru smluv,</w:t>
      </w:r>
      <w:r>
        <w:rPr>
          <w:rFonts w:ascii="Arial" w:hAnsi="Arial" w:cs="Arial"/>
        </w:rPr>
        <w:t xml:space="preserve"> nebo dnem předběžné vykonatelnosti (vykonatelnosti v případě nepodání odvolání) rozhodnutí Ústavu v Předmětném správním řízení, tj. uveřejněním výše</w:t>
      </w:r>
      <w:r w:rsidR="001F3BBE">
        <w:rPr>
          <w:rFonts w:ascii="Arial" w:hAnsi="Arial" w:cs="Arial"/>
        </w:rPr>
        <w:t xml:space="preserve"> a podmínek</w:t>
      </w:r>
      <w:r>
        <w:rPr>
          <w:rFonts w:ascii="Arial" w:hAnsi="Arial" w:cs="Arial"/>
        </w:rPr>
        <w:t xml:space="preserve"> úhrady Přípravku v Seznamu cen a úhrad (SCAU) ve smyslu § 39n odst. 1 zákona o veřejném zdravotním pojištění, nastane-li tento okamžik později. </w:t>
      </w:r>
    </w:p>
    <w:p w14:paraId="10437941" w14:textId="77777777" w:rsidR="00723DA9" w:rsidRPr="00723DA9" w:rsidRDefault="00723DA9" w:rsidP="006C72BF">
      <w:pPr>
        <w:ind w:left="426"/>
        <w:contextualSpacing/>
        <w:jc w:val="both"/>
        <w:rPr>
          <w:rFonts w:ascii="Arial" w:hAnsi="Arial" w:cs="Arial"/>
        </w:rPr>
      </w:pPr>
    </w:p>
    <w:p w14:paraId="078F687E" w14:textId="77777777" w:rsidR="00F35546"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7B7A20" w:rsidRPr="00443DA0">
        <w:rPr>
          <w:rFonts w:ascii="Arial" w:hAnsi="Arial" w:cs="Arial"/>
        </w:rPr>
        <w:t>Za písemnou formu nebude pro tento účel považována výměna e-mailových zpráv</w:t>
      </w:r>
      <w:r w:rsidR="007B7A20">
        <w:rPr>
          <w:rFonts w:ascii="Arial" w:hAnsi="Arial" w:cs="Arial"/>
        </w:rPr>
        <w:t xml:space="preserve"> s výjimkou dle článku VI. odst. 6 Smlouvy.</w:t>
      </w:r>
    </w:p>
    <w:p w14:paraId="23A84DE4" w14:textId="77777777" w:rsidR="00F35546" w:rsidRDefault="00F35546" w:rsidP="006C72BF">
      <w:pPr>
        <w:pStyle w:val="Odstavecseseznamem"/>
        <w:ind w:left="426"/>
        <w:rPr>
          <w:rFonts w:ascii="Arial" w:hAnsi="Arial" w:cs="Arial"/>
        </w:rPr>
      </w:pPr>
    </w:p>
    <w:p w14:paraId="0AC0EC70" w14:textId="77777777" w:rsidR="00F2678B" w:rsidRPr="00F35546" w:rsidRDefault="000A5875" w:rsidP="006C72BF">
      <w:pPr>
        <w:numPr>
          <w:ilvl w:val="0"/>
          <w:numId w:val="13"/>
        </w:numPr>
        <w:ind w:left="426" w:hanging="426"/>
        <w:contextualSpacing/>
        <w:jc w:val="both"/>
        <w:rPr>
          <w:rFonts w:ascii="Arial" w:hAnsi="Arial" w:cs="Arial"/>
        </w:rPr>
      </w:pPr>
      <w:r w:rsidRPr="00F35546">
        <w:rPr>
          <w:rFonts w:ascii="Arial" w:hAnsi="Arial" w:cs="Arial"/>
        </w:rPr>
        <w:t>Smlouva je vyhotovena ve 2 stejnopisech, z nichž každá smluvní strana obdrží 1 vyhotovení</w:t>
      </w:r>
      <w:r w:rsidR="00F2678B" w:rsidRPr="00F35546">
        <w:rPr>
          <w:rFonts w:ascii="Arial" w:hAnsi="Arial" w:cs="Arial"/>
        </w:rPr>
        <w:t>.</w:t>
      </w:r>
    </w:p>
    <w:p w14:paraId="263B388A" w14:textId="77777777" w:rsidR="005B7868" w:rsidRPr="00F25365" w:rsidRDefault="005B7868" w:rsidP="006C72BF">
      <w:pPr>
        <w:ind w:left="426"/>
        <w:contextualSpacing/>
        <w:jc w:val="both"/>
        <w:rPr>
          <w:rFonts w:ascii="Arial" w:hAnsi="Arial" w:cs="Arial"/>
        </w:rPr>
      </w:pPr>
    </w:p>
    <w:p w14:paraId="48F4D448" w14:textId="77777777" w:rsidR="005F3408" w:rsidRPr="00F25365" w:rsidRDefault="005F3408" w:rsidP="006C72BF">
      <w:pPr>
        <w:numPr>
          <w:ilvl w:val="0"/>
          <w:numId w:val="13"/>
        </w:numPr>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14:paraId="7380B94D" w14:textId="77777777" w:rsidR="005F3408" w:rsidRPr="00F25365" w:rsidRDefault="005F3408" w:rsidP="006C72BF">
      <w:pPr>
        <w:ind w:left="426" w:hanging="426"/>
        <w:contextualSpacing/>
        <w:jc w:val="both"/>
        <w:rPr>
          <w:rFonts w:ascii="Arial" w:hAnsi="Arial" w:cs="Arial"/>
        </w:rPr>
      </w:pPr>
    </w:p>
    <w:p w14:paraId="2C51B570" w14:textId="4E82C3E1" w:rsidR="002B1A1E" w:rsidRDefault="005F3408" w:rsidP="006C72BF">
      <w:pPr>
        <w:numPr>
          <w:ilvl w:val="0"/>
          <w:numId w:val="13"/>
        </w:numPr>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14:paraId="09A1789E" w14:textId="77777777" w:rsidR="008F4A1C" w:rsidRDefault="008F4A1C" w:rsidP="00CB4AF1">
      <w:pPr>
        <w:contextualSpacing/>
        <w:jc w:val="both"/>
        <w:rPr>
          <w:rFonts w:ascii="Arial" w:hAnsi="Arial" w:cs="Arial"/>
        </w:rPr>
      </w:pPr>
    </w:p>
    <w:p w14:paraId="55AA43E8" w14:textId="77777777" w:rsidR="0055628A" w:rsidRPr="002B1A1E" w:rsidRDefault="005F3408" w:rsidP="006C72BF">
      <w:pPr>
        <w:ind w:left="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výše Limitu</w:t>
      </w:r>
    </w:p>
    <w:p w14:paraId="7FFBFA49" w14:textId="77777777" w:rsidR="002B1A1E" w:rsidRDefault="002B1A1E" w:rsidP="006C72BF">
      <w:pPr>
        <w:pStyle w:val="Odstavecseseznamem"/>
        <w:overflowPunct/>
        <w:autoSpaceDE/>
        <w:autoSpaceDN/>
        <w:adjustRightInd/>
        <w:ind w:left="426"/>
        <w:textAlignment w:val="auto"/>
        <w:rPr>
          <w:rFonts w:ascii="Arial" w:hAnsi="Arial" w:cs="Arial"/>
        </w:rPr>
      </w:pPr>
    </w:p>
    <w:p w14:paraId="00BDCF04" w14:textId="77777777" w:rsidR="00D04546" w:rsidRDefault="00D04546" w:rsidP="002B1A1E">
      <w:pPr>
        <w:pStyle w:val="Odstavecseseznamem"/>
        <w:overflowPunct/>
        <w:autoSpaceDE/>
        <w:autoSpaceDN/>
        <w:adjustRightInd/>
        <w:ind w:left="1080"/>
        <w:textAlignment w:val="auto"/>
        <w:rPr>
          <w:rFonts w:ascii="Arial" w:hAnsi="Arial" w:cs="Arial"/>
        </w:rPr>
      </w:pPr>
    </w:p>
    <w:p w14:paraId="0CBB6FBF" w14:textId="77777777" w:rsidR="00723DA9" w:rsidRDefault="00723DA9" w:rsidP="00BB43E7">
      <w:pPr>
        <w:overflowPunct/>
        <w:autoSpaceDE/>
        <w:autoSpaceDN/>
        <w:adjustRightInd/>
        <w:textAlignment w:val="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43E7" w:rsidRPr="002E2615" w14:paraId="64483B99" w14:textId="77777777" w:rsidTr="00C66FC3">
        <w:trPr>
          <w:trHeight w:val="172"/>
        </w:trPr>
        <w:tc>
          <w:tcPr>
            <w:tcW w:w="4644" w:type="dxa"/>
          </w:tcPr>
          <w:p w14:paraId="0DBABB12" w14:textId="54A45F62" w:rsidR="00BB43E7" w:rsidRPr="002E2615" w:rsidRDefault="00BB43E7" w:rsidP="00FA1FF1">
            <w:pPr>
              <w:tabs>
                <w:tab w:val="left" w:pos="5103"/>
              </w:tabs>
              <w:spacing w:before="240"/>
              <w:contextualSpacing/>
              <w:rPr>
                <w:rFonts w:ascii="Arial" w:hAnsi="Arial" w:cs="Arial"/>
              </w:rPr>
            </w:pPr>
            <w:r w:rsidRPr="002E2615">
              <w:rPr>
                <w:rFonts w:ascii="Arial" w:hAnsi="Arial" w:cs="Arial"/>
              </w:rPr>
              <w:t xml:space="preserve">V Praze dne </w:t>
            </w:r>
            <w:r w:rsidR="00FA1FF1">
              <w:rPr>
                <w:rFonts w:ascii="Arial" w:hAnsi="Arial" w:cs="Arial"/>
              </w:rPr>
              <w:t>18. 3. 2020</w:t>
            </w:r>
          </w:p>
        </w:tc>
        <w:tc>
          <w:tcPr>
            <w:tcW w:w="4644" w:type="dxa"/>
          </w:tcPr>
          <w:p w14:paraId="4FA767DC" w14:textId="3E6071C9" w:rsidR="00BB43E7" w:rsidRPr="002E2615" w:rsidRDefault="00BB43E7" w:rsidP="00FA1FF1">
            <w:pPr>
              <w:tabs>
                <w:tab w:val="left" w:pos="5103"/>
              </w:tabs>
              <w:spacing w:before="240"/>
              <w:contextualSpacing/>
              <w:rPr>
                <w:rFonts w:ascii="Arial" w:hAnsi="Arial" w:cs="Arial"/>
              </w:rPr>
            </w:pPr>
            <w:r w:rsidRPr="002E2615">
              <w:rPr>
                <w:rFonts w:ascii="Arial" w:hAnsi="Arial" w:cs="Arial"/>
              </w:rPr>
              <w:t xml:space="preserve"> V Praze dne </w:t>
            </w:r>
            <w:r w:rsidR="00FA1FF1">
              <w:rPr>
                <w:rFonts w:ascii="Arial" w:hAnsi="Arial" w:cs="Arial"/>
              </w:rPr>
              <w:t>17. 3. 2020</w:t>
            </w:r>
          </w:p>
        </w:tc>
      </w:tr>
      <w:tr w:rsidR="00BB43E7" w:rsidRPr="002E2615" w14:paraId="5EA05FBD" w14:textId="77777777" w:rsidTr="00C66FC3">
        <w:trPr>
          <w:trHeight w:val="172"/>
        </w:trPr>
        <w:tc>
          <w:tcPr>
            <w:tcW w:w="9288" w:type="dxa"/>
            <w:gridSpan w:val="2"/>
          </w:tcPr>
          <w:p w14:paraId="4223487B" w14:textId="77777777" w:rsidR="00BB43E7" w:rsidRPr="002E2615" w:rsidRDefault="00BB43E7" w:rsidP="00C66FC3">
            <w:pPr>
              <w:tabs>
                <w:tab w:val="left" w:pos="5103"/>
              </w:tabs>
              <w:spacing w:before="240"/>
              <w:contextualSpacing/>
              <w:rPr>
                <w:rFonts w:ascii="Arial" w:hAnsi="Arial" w:cs="Arial"/>
              </w:rPr>
            </w:pPr>
          </w:p>
        </w:tc>
      </w:tr>
      <w:tr w:rsidR="00BB43E7" w:rsidRPr="002E2615" w14:paraId="2AE3F0CD" w14:textId="77777777" w:rsidTr="00C66FC3">
        <w:trPr>
          <w:trHeight w:val="183"/>
        </w:trPr>
        <w:tc>
          <w:tcPr>
            <w:tcW w:w="4644" w:type="dxa"/>
          </w:tcPr>
          <w:p w14:paraId="4985B352"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Za Pojišťovnu:</w:t>
            </w:r>
          </w:p>
        </w:tc>
        <w:tc>
          <w:tcPr>
            <w:tcW w:w="4644" w:type="dxa"/>
          </w:tcPr>
          <w:p w14:paraId="293D2C94" w14:textId="77777777" w:rsidR="00BB43E7" w:rsidRPr="002E2615" w:rsidRDefault="00BB43E7" w:rsidP="00C66FC3">
            <w:pPr>
              <w:tabs>
                <w:tab w:val="left" w:pos="5103"/>
              </w:tabs>
              <w:spacing w:before="240"/>
              <w:contextualSpacing/>
              <w:rPr>
                <w:rFonts w:ascii="Arial" w:hAnsi="Arial" w:cs="Arial"/>
              </w:rPr>
            </w:pPr>
            <w:r w:rsidRPr="002E2615">
              <w:rPr>
                <w:rFonts w:ascii="Arial" w:hAnsi="Arial" w:cs="Arial"/>
              </w:rPr>
              <w:t xml:space="preserve">Za </w:t>
            </w:r>
            <w:r>
              <w:rPr>
                <w:rFonts w:ascii="Arial" w:hAnsi="Arial" w:cs="Arial"/>
              </w:rPr>
              <w:t>Držitele</w:t>
            </w:r>
            <w:r w:rsidRPr="002E2615">
              <w:rPr>
                <w:rFonts w:ascii="Arial" w:hAnsi="Arial" w:cs="Arial"/>
              </w:rPr>
              <w:t>:</w:t>
            </w:r>
          </w:p>
        </w:tc>
      </w:tr>
      <w:tr w:rsidR="00BB43E7" w:rsidRPr="00CE19CC" w14:paraId="5060C2BC" w14:textId="77777777" w:rsidTr="00C66FC3">
        <w:trPr>
          <w:trHeight w:val="137"/>
        </w:trPr>
        <w:tc>
          <w:tcPr>
            <w:tcW w:w="4644" w:type="dxa"/>
          </w:tcPr>
          <w:p w14:paraId="0599A372"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c>
          <w:tcPr>
            <w:tcW w:w="4644" w:type="dxa"/>
          </w:tcPr>
          <w:p w14:paraId="721FFE04" w14:textId="77777777" w:rsidR="00BB43E7" w:rsidRPr="00CE19CC" w:rsidRDefault="00BB43E7" w:rsidP="00C66FC3">
            <w:pPr>
              <w:tabs>
                <w:tab w:val="left" w:pos="5103"/>
              </w:tabs>
              <w:spacing w:before="240"/>
              <w:contextualSpacing/>
              <w:rPr>
                <w:rFonts w:ascii="Arial" w:hAnsi="Arial" w:cs="Arial"/>
                <w:color w:val="95B3D7" w:themeColor="accent1" w:themeTint="99"/>
                <w:sz w:val="16"/>
                <w:szCs w:val="16"/>
              </w:rPr>
            </w:pPr>
            <w:r w:rsidRPr="00CE19CC">
              <w:rPr>
                <w:rFonts w:ascii="Arial" w:hAnsi="Arial" w:cs="Arial"/>
                <w:color w:val="95B3D7" w:themeColor="accent1" w:themeTint="99"/>
                <w:sz w:val="16"/>
                <w:szCs w:val="16"/>
              </w:rPr>
              <w:t>razítko a podpis</w:t>
            </w:r>
          </w:p>
        </w:tc>
      </w:tr>
      <w:tr w:rsidR="00BB43E7" w:rsidRPr="002E2615" w14:paraId="437A5581" w14:textId="77777777" w:rsidTr="00C66FC3">
        <w:trPr>
          <w:trHeight w:val="540"/>
        </w:trPr>
        <w:tc>
          <w:tcPr>
            <w:tcW w:w="4644" w:type="dxa"/>
            <w:vAlign w:val="bottom"/>
          </w:tcPr>
          <w:p w14:paraId="2B1B73B3" w14:textId="4E671415" w:rsidR="00BB43E7" w:rsidRDefault="00BB43E7" w:rsidP="00C66FC3">
            <w:pPr>
              <w:tabs>
                <w:tab w:val="left" w:pos="5103"/>
              </w:tabs>
              <w:spacing w:before="240"/>
              <w:contextualSpacing/>
              <w:rPr>
                <w:rFonts w:ascii="Arial" w:hAnsi="Arial" w:cs="Arial"/>
              </w:rPr>
            </w:pPr>
            <w:r>
              <w:rPr>
                <w:rFonts w:ascii="Arial" w:hAnsi="Arial" w:cs="Arial"/>
              </w:rPr>
              <w:t>______________________________________</w:t>
            </w:r>
          </w:p>
        </w:tc>
        <w:tc>
          <w:tcPr>
            <w:tcW w:w="4644" w:type="dxa"/>
            <w:vAlign w:val="bottom"/>
          </w:tcPr>
          <w:p w14:paraId="573265DB" w14:textId="637A5AB2" w:rsidR="00BB43E7" w:rsidRPr="002E2615" w:rsidRDefault="00BB43E7" w:rsidP="00C66FC3">
            <w:pPr>
              <w:tabs>
                <w:tab w:val="left" w:pos="5103"/>
              </w:tabs>
              <w:spacing w:before="240"/>
              <w:contextualSpacing/>
              <w:rPr>
                <w:rFonts w:ascii="Arial" w:hAnsi="Arial" w:cs="Arial"/>
              </w:rPr>
            </w:pPr>
            <w:r>
              <w:rPr>
                <w:rFonts w:ascii="Arial" w:hAnsi="Arial" w:cs="Arial"/>
              </w:rPr>
              <w:t>______________________________________</w:t>
            </w:r>
          </w:p>
        </w:tc>
      </w:tr>
      <w:tr w:rsidR="00BB43E7" w:rsidRPr="002E2615" w14:paraId="60596206" w14:textId="77777777" w:rsidTr="00C66FC3">
        <w:trPr>
          <w:trHeight w:val="525"/>
        </w:trPr>
        <w:tc>
          <w:tcPr>
            <w:tcW w:w="4644" w:type="dxa"/>
          </w:tcPr>
          <w:p w14:paraId="472F12A0" w14:textId="77777777" w:rsidR="007E2158" w:rsidRDefault="007E2158" w:rsidP="007E2158">
            <w:pPr>
              <w:tabs>
                <w:tab w:val="left" w:pos="5103"/>
              </w:tabs>
              <w:contextualSpacing/>
              <w:rPr>
                <w:rFonts w:ascii="Arial" w:hAnsi="Arial" w:cs="Arial"/>
              </w:rPr>
            </w:pPr>
            <w:r>
              <w:rPr>
                <w:rFonts w:ascii="Arial" w:hAnsi="Arial" w:cs="Arial"/>
              </w:rPr>
              <w:t>Ing. David Šmehlík, MHA</w:t>
            </w:r>
          </w:p>
          <w:p w14:paraId="73EA5904" w14:textId="77777777" w:rsidR="00BB43E7" w:rsidRPr="002E2615" w:rsidRDefault="007E2158" w:rsidP="007E2158">
            <w:pPr>
              <w:tabs>
                <w:tab w:val="left" w:pos="5103"/>
              </w:tabs>
              <w:spacing w:before="240"/>
              <w:contextualSpacing/>
              <w:rPr>
                <w:rFonts w:ascii="Arial" w:hAnsi="Arial" w:cs="Arial"/>
              </w:rPr>
            </w:pPr>
            <w:r>
              <w:rPr>
                <w:rFonts w:ascii="Arial" w:hAnsi="Arial" w:cs="Arial"/>
              </w:rPr>
              <w:t>náměstek ředitele VZP ČR pro zdravotní péči</w:t>
            </w:r>
          </w:p>
        </w:tc>
        <w:tc>
          <w:tcPr>
            <w:tcW w:w="4644" w:type="dxa"/>
          </w:tcPr>
          <w:p w14:paraId="0065E6F1" w14:textId="17ED8F0B" w:rsidR="00BB43E7" w:rsidRPr="002E2615" w:rsidRDefault="00CF559A" w:rsidP="00C66FC3">
            <w:pPr>
              <w:rPr>
                <w:rFonts w:ascii="Arial" w:hAnsi="Arial" w:cs="Arial"/>
              </w:rPr>
            </w:pPr>
            <w:r>
              <w:rPr>
                <w:rFonts w:ascii="Arial" w:hAnsi="Arial" w:cs="Arial"/>
              </w:rPr>
              <w:t xml:space="preserve">Emelie Antoni, jednatelka </w:t>
            </w:r>
            <w:r w:rsidRPr="0009581C">
              <w:rPr>
                <w:rFonts w:ascii="Arial" w:hAnsi="Arial" w:cs="Arial"/>
              </w:rPr>
              <w:t>AstraZeneca Czech Republic s.r.o.</w:t>
            </w:r>
          </w:p>
        </w:tc>
      </w:tr>
    </w:tbl>
    <w:p w14:paraId="60125C0B" w14:textId="77777777" w:rsidR="00BB43E7" w:rsidRPr="00BB43E7" w:rsidRDefault="00BB43E7" w:rsidP="00BB43E7">
      <w:pPr>
        <w:overflowPunct/>
        <w:autoSpaceDE/>
        <w:autoSpaceDN/>
        <w:adjustRightInd/>
        <w:textAlignment w:val="auto"/>
        <w:rPr>
          <w:rFonts w:ascii="Arial" w:hAnsi="Arial" w:cs="Arial"/>
        </w:rPr>
      </w:pPr>
    </w:p>
    <w:p w14:paraId="3B61EE62" w14:textId="77777777" w:rsidR="00D04546" w:rsidRDefault="00D04546" w:rsidP="002B1A1E">
      <w:pPr>
        <w:pStyle w:val="Odstavecseseznamem"/>
        <w:overflowPunct/>
        <w:autoSpaceDE/>
        <w:autoSpaceDN/>
        <w:adjustRightInd/>
        <w:ind w:left="1080"/>
        <w:textAlignment w:val="auto"/>
        <w:rPr>
          <w:rFonts w:ascii="Arial" w:hAnsi="Arial" w:cs="Arial"/>
        </w:rPr>
      </w:pPr>
    </w:p>
    <w:p w14:paraId="3702FE05" w14:textId="77777777" w:rsidR="00D04546" w:rsidRDefault="00D04546" w:rsidP="002B1A1E">
      <w:pPr>
        <w:pStyle w:val="Odstavecseseznamem"/>
        <w:overflowPunct/>
        <w:autoSpaceDE/>
        <w:autoSpaceDN/>
        <w:adjustRightInd/>
        <w:ind w:left="1080"/>
        <w:textAlignment w:val="auto"/>
        <w:rPr>
          <w:rFonts w:ascii="Arial" w:hAnsi="Arial" w:cs="Arial"/>
        </w:rPr>
      </w:pPr>
    </w:p>
    <w:p w14:paraId="08D7C62F" w14:textId="77777777" w:rsidR="0098426C" w:rsidRPr="00D02578" w:rsidRDefault="0098426C" w:rsidP="002B1A1E">
      <w:pPr>
        <w:spacing w:before="240" w:after="120"/>
        <w:ind w:left="426"/>
        <w:contextualSpacing/>
        <w:rPr>
          <w:rFonts w:ascii="Arial" w:hAnsi="Arial" w:cs="Arial"/>
        </w:rPr>
      </w:pPr>
    </w:p>
    <w:sectPr w:rsidR="0098426C" w:rsidRPr="00D02578" w:rsidSect="00D60DBB">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6A2C6" w14:textId="77777777" w:rsidR="00A93646" w:rsidRDefault="00A93646" w:rsidP="00C442AF">
      <w:r>
        <w:separator/>
      </w:r>
    </w:p>
  </w:endnote>
  <w:endnote w:type="continuationSeparator" w:id="0">
    <w:p w14:paraId="240DB745" w14:textId="77777777" w:rsidR="00A93646" w:rsidRDefault="00A93646" w:rsidP="00C4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631136"/>
      <w:docPartObj>
        <w:docPartGallery w:val="Page Numbers (Bottom of Page)"/>
        <w:docPartUnique/>
      </w:docPartObj>
    </w:sdtPr>
    <w:sdtEndPr/>
    <w:sdtContent>
      <w:sdt>
        <w:sdtPr>
          <w:id w:val="860082579"/>
          <w:docPartObj>
            <w:docPartGallery w:val="Page Numbers (Top of Page)"/>
            <w:docPartUnique/>
          </w:docPartObj>
        </w:sdtPr>
        <w:sdtEndPr/>
        <w:sdtContent>
          <w:p w14:paraId="5118612F" w14:textId="77777777" w:rsidR="00712C60" w:rsidRDefault="00712C60">
            <w:pPr>
              <w:pStyle w:val="Zpat"/>
              <w:jc w:val="right"/>
            </w:pPr>
            <w:r w:rsidRPr="00B72403">
              <w:rPr>
                <w:rFonts w:ascii="Arial" w:hAnsi="Arial" w:cs="Arial"/>
                <w:sz w:val="16"/>
                <w:szCs w:val="16"/>
              </w:rPr>
              <w:t xml:space="preserve">Stránka </w:t>
            </w:r>
            <w:r w:rsidR="00E30A37" w:rsidRPr="00B72403">
              <w:rPr>
                <w:rFonts w:ascii="Arial" w:hAnsi="Arial" w:cs="Arial"/>
                <w:bCs/>
                <w:sz w:val="16"/>
                <w:szCs w:val="16"/>
              </w:rPr>
              <w:fldChar w:fldCharType="begin"/>
            </w:r>
            <w:r w:rsidRPr="00B72403">
              <w:rPr>
                <w:rFonts w:ascii="Arial" w:hAnsi="Arial" w:cs="Arial"/>
                <w:bCs/>
                <w:sz w:val="16"/>
                <w:szCs w:val="16"/>
              </w:rPr>
              <w:instrText>PAGE</w:instrText>
            </w:r>
            <w:r w:rsidR="00E30A37" w:rsidRPr="00B72403">
              <w:rPr>
                <w:rFonts w:ascii="Arial" w:hAnsi="Arial" w:cs="Arial"/>
                <w:bCs/>
                <w:sz w:val="16"/>
                <w:szCs w:val="16"/>
              </w:rPr>
              <w:fldChar w:fldCharType="separate"/>
            </w:r>
            <w:r w:rsidR="00FA1FF1">
              <w:rPr>
                <w:rFonts w:ascii="Arial" w:hAnsi="Arial" w:cs="Arial"/>
                <w:bCs/>
                <w:noProof/>
                <w:sz w:val="16"/>
                <w:szCs w:val="16"/>
              </w:rPr>
              <w:t>8</w:t>
            </w:r>
            <w:r w:rsidR="00E30A37" w:rsidRPr="00B72403">
              <w:rPr>
                <w:rFonts w:ascii="Arial" w:hAnsi="Arial" w:cs="Arial"/>
                <w:bCs/>
                <w:sz w:val="16"/>
                <w:szCs w:val="16"/>
              </w:rPr>
              <w:fldChar w:fldCharType="end"/>
            </w:r>
            <w:r w:rsidRPr="00B72403">
              <w:rPr>
                <w:rFonts w:ascii="Arial" w:hAnsi="Arial" w:cs="Arial"/>
                <w:sz w:val="16"/>
                <w:szCs w:val="16"/>
              </w:rPr>
              <w:t xml:space="preserve"> z </w:t>
            </w:r>
            <w:r w:rsidR="00E30A37" w:rsidRPr="00B72403">
              <w:rPr>
                <w:rFonts w:ascii="Arial" w:hAnsi="Arial" w:cs="Arial"/>
                <w:bCs/>
                <w:sz w:val="16"/>
                <w:szCs w:val="16"/>
              </w:rPr>
              <w:fldChar w:fldCharType="begin"/>
            </w:r>
            <w:r w:rsidRPr="00B72403">
              <w:rPr>
                <w:rFonts w:ascii="Arial" w:hAnsi="Arial" w:cs="Arial"/>
                <w:bCs/>
                <w:sz w:val="16"/>
                <w:szCs w:val="16"/>
              </w:rPr>
              <w:instrText>NUMPAGES</w:instrText>
            </w:r>
            <w:r w:rsidR="00E30A37" w:rsidRPr="00B72403">
              <w:rPr>
                <w:rFonts w:ascii="Arial" w:hAnsi="Arial" w:cs="Arial"/>
                <w:bCs/>
                <w:sz w:val="16"/>
                <w:szCs w:val="16"/>
              </w:rPr>
              <w:fldChar w:fldCharType="separate"/>
            </w:r>
            <w:r w:rsidR="00FA1FF1">
              <w:rPr>
                <w:rFonts w:ascii="Arial" w:hAnsi="Arial" w:cs="Arial"/>
                <w:bCs/>
                <w:noProof/>
                <w:sz w:val="16"/>
                <w:szCs w:val="16"/>
              </w:rPr>
              <w:t>8</w:t>
            </w:r>
            <w:r w:rsidR="00E30A37" w:rsidRPr="00B72403">
              <w:rPr>
                <w:rFonts w:ascii="Arial" w:hAnsi="Arial" w:cs="Arial"/>
                <w:bCs/>
                <w:sz w:val="16"/>
                <w:szCs w:val="16"/>
              </w:rPr>
              <w:fldChar w:fldCharType="end"/>
            </w:r>
          </w:p>
        </w:sdtContent>
      </w:sdt>
    </w:sdtContent>
  </w:sdt>
  <w:p w14:paraId="2F5535FF" w14:textId="77777777" w:rsidR="00712C60" w:rsidRDefault="00712C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993440"/>
      <w:docPartObj>
        <w:docPartGallery w:val="Page Numbers (Bottom of Page)"/>
        <w:docPartUnique/>
      </w:docPartObj>
    </w:sdtPr>
    <w:sdtEndPr/>
    <w:sdtContent>
      <w:sdt>
        <w:sdtPr>
          <w:id w:val="-1436443798"/>
          <w:docPartObj>
            <w:docPartGallery w:val="Page Numbers (Top of Page)"/>
            <w:docPartUnique/>
          </w:docPartObj>
        </w:sdtPr>
        <w:sdtEndPr/>
        <w:sdtContent>
          <w:p w14:paraId="6474A774" w14:textId="77777777" w:rsidR="00712C60" w:rsidRDefault="00712C60">
            <w:pPr>
              <w:pStyle w:val="Zpat"/>
              <w:jc w:val="right"/>
            </w:pPr>
            <w:r w:rsidRPr="00D60DBB">
              <w:rPr>
                <w:rFonts w:ascii="Arial" w:hAnsi="Arial" w:cs="Arial"/>
                <w:sz w:val="16"/>
                <w:szCs w:val="16"/>
              </w:rPr>
              <w:t xml:space="preserve">Stránka </w:t>
            </w:r>
            <w:r w:rsidR="00E30A37" w:rsidRPr="00D60DBB">
              <w:rPr>
                <w:rFonts w:ascii="Arial" w:hAnsi="Arial" w:cs="Arial"/>
                <w:bCs/>
                <w:sz w:val="16"/>
                <w:szCs w:val="16"/>
              </w:rPr>
              <w:fldChar w:fldCharType="begin"/>
            </w:r>
            <w:r w:rsidRPr="00D60DBB">
              <w:rPr>
                <w:rFonts w:ascii="Arial" w:hAnsi="Arial" w:cs="Arial"/>
                <w:bCs/>
                <w:sz w:val="16"/>
                <w:szCs w:val="16"/>
              </w:rPr>
              <w:instrText>PAGE</w:instrText>
            </w:r>
            <w:r w:rsidR="00E30A37" w:rsidRPr="00D60DBB">
              <w:rPr>
                <w:rFonts w:ascii="Arial" w:hAnsi="Arial" w:cs="Arial"/>
                <w:bCs/>
                <w:sz w:val="16"/>
                <w:szCs w:val="16"/>
              </w:rPr>
              <w:fldChar w:fldCharType="separate"/>
            </w:r>
            <w:r w:rsidR="00FA1FF1">
              <w:rPr>
                <w:rFonts w:ascii="Arial" w:hAnsi="Arial" w:cs="Arial"/>
                <w:bCs/>
                <w:noProof/>
                <w:sz w:val="16"/>
                <w:szCs w:val="16"/>
              </w:rPr>
              <w:t>1</w:t>
            </w:r>
            <w:r w:rsidR="00E30A37" w:rsidRPr="00D60DBB">
              <w:rPr>
                <w:rFonts w:ascii="Arial" w:hAnsi="Arial" w:cs="Arial"/>
                <w:bCs/>
                <w:sz w:val="16"/>
                <w:szCs w:val="16"/>
              </w:rPr>
              <w:fldChar w:fldCharType="end"/>
            </w:r>
            <w:r w:rsidRPr="00D60DBB">
              <w:rPr>
                <w:rFonts w:ascii="Arial" w:hAnsi="Arial" w:cs="Arial"/>
                <w:sz w:val="16"/>
                <w:szCs w:val="16"/>
              </w:rPr>
              <w:t xml:space="preserve"> z </w:t>
            </w:r>
            <w:r w:rsidR="00E30A37" w:rsidRPr="00D60DBB">
              <w:rPr>
                <w:rFonts w:ascii="Arial" w:hAnsi="Arial" w:cs="Arial"/>
                <w:bCs/>
                <w:sz w:val="16"/>
                <w:szCs w:val="16"/>
              </w:rPr>
              <w:fldChar w:fldCharType="begin"/>
            </w:r>
            <w:r w:rsidRPr="00D60DBB">
              <w:rPr>
                <w:rFonts w:ascii="Arial" w:hAnsi="Arial" w:cs="Arial"/>
                <w:bCs/>
                <w:sz w:val="16"/>
                <w:szCs w:val="16"/>
              </w:rPr>
              <w:instrText>NUMPAGES</w:instrText>
            </w:r>
            <w:r w:rsidR="00E30A37" w:rsidRPr="00D60DBB">
              <w:rPr>
                <w:rFonts w:ascii="Arial" w:hAnsi="Arial" w:cs="Arial"/>
                <w:bCs/>
                <w:sz w:val="16"/>
                <w:szCs w:val="16"/>
              </w:rPr>
              <w:fldChar w:fldCharType="separate"/>
            </w:r>
            <w:r w:rsidR="00FA1FF1">
              <w:rPr>
                <w:rFonts w:ascii="Arial" w:hAnsi="Arial" w:cs="Arial"/>
                <w:bCs/>
                <w:noProof/>
                <w:sz w:val="16"/>
                <w:szCs w:val="16"/>
              </w:rPr>
              <w:t>8</w:t>
            </w:r>
            <w:r w:rsidR="00E30A37" w:rsidRPr="00D60DBB">
              <w:rPr>
                <w:rFonts w:ascii="Arial" w:hAnsi="Arial" w:cs="Arial"/>
                <w:bCs/>
                <w:sz w:val="16"/>
                <w:szCs w:val="16"/>
              </w:rPr>
              <w:fldChar w:fldCharType="end"/>
            </w:r>
          </w:p>
        </w:sdtContent>
      </w:sdt>
    </w:sdtContent>
  </w:sdt>
  <w:p w14:paraId="6A48F1B1" w14:textId="77777777" w:rsidR="00712C60" w:rsidRDefault="00712C60">
    <w:pPr>
      <w:pStyle w:val="Zpat"/>
    </w:pPr>
  </w:p>
  <w:p w14:paraId="0B6D0A5E" w14:textId="77777777" w:rsidR="00712C60" w:rsidRDefault="00712C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9AA46" w14:textId="77777777" w:rsidR="00A93646" w:rsidRDefault="00A93646" w:rsidP="00C442AF">
      <w:r>
        <w:separator/>
      </w:r>
    </w:p>
  </w:footnote>
  <w:footnote w:type="continuationSeparator" w:id="0">
    <w:p w14:paraId="3662D301" w14:textId="77777777" w:rsidR="00A93646" w:rsidRDefault="00A93646" w:rsidP="00C442AF">
      <w:r>
        <w:continuationSeparator/>
      </w:r>
    </w:p>
  </w:footnote>
  <w:footnote w:id="1">
    <w:p w14:paraId="7BE246BB" w14:textId="02366BE3" w:rsidR="000001F1" w:rsidRPr="0008221D" w:rsidRDefault="000001F1" w:rsidP="000001F1">
      <w:pPr>
        <w:pStyle w:val="Textpoznpodarou"/>
        <w:jc w:val="both"/>
        <w:rPr>
          <w:rFonts w:ascii="Arial" w:hAnsi="Arial" w:cs="Arial"/>
          <w:sz w:val="16"/>
          <w:szCs w:val="16"/>
        </w:rPr>
      </w:pPr>
      <w:r w:rsidRPr="0008221D">
        <w:rPr>
          <w:rFonts w:ascii="Arial" w:hAnsi="Arial" w:cs="Arial"/>
          <w:sz w:val="16"/>
          <w:szCs w:val="16"/>
        </w:rPr>
        <w:footnoteRef/>
      </w:r>
      <w:r w:rsidRPr="0008221D">
        <w:rPr>
          <w:rFonts w:ascii="Arial" w:hAnsi="Arial" w:cs="Arial"/>
          <w:sz w:val="16"/>
          <w:szCs w:val="16"/>
        </w:rPr>
        <w:t xml:space="preserve"> </w:t>
      </w:r>
      <w:r w:rsidR="008F4A1C" w:rsidRPr="00D274D8">
        <w:rPr>
          <w:rFonts w:ascii="Arial" w:hAnsi="Arial" w:cs="Arial"/>
          <w:bCs/>
          <w:sz w:val="16"/>
          <w:szCs w:val="16"/>
        </w:rPr>
        <w:t>Cenový předpis o regulaci cen léčivých přípravků a potravin pro zvláštní lékařské účely č. 1/2020/CAU</w:t>
      </w:r>
      <w:r w:rsidR="008F4A1C" w:rsidRPr="00D274D8">
        <w:rPr>
          <w:rFonts w:ascii="Arial" w:hAnsi="Arial" w:cs="Arial"/>
          <w:sz w:val="16"/>
          <w:szCs w:val="16"/>
        </w:rPr>
        <w:t>,</w:t>
      </w:r>
      <w:r w:rsidR="008F4A1C" w:rsidRPr="0008221D">
        <w:rPr>
          <w:rFonts w:ascii="Arial" w:hAnsi="Arial" w:cs="Arial"/>
          <w:sz w:val="16"/>
          <w:szCs w:val="16"/>
        </w:rPr>
        <w:t xml:space="preserve"> Zákon č. 235/2004 Sb., o dani z přidané hodnoty</w:t>
      </w:r>
      <w:r w:rsidRPr="0008221D">
        <w:rPr>
          <w:rFonts w:ascii="Arial" w:hAnsi="Arial" w:cs="Arial"/>
          <w:sz w:val="16"/>
          <w:szCs w:val="16"/>
        </w:rPr>
        <w:t xml:space="preserve">, Zákon č. 235/2004 Sb., o dani z přidané hodnoty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CA4D" w14:textId="77777777" w:rsidR="00712C60" w:rsidRPr="00FB3CCF" w:rsidRDefault="00712C60">
    <w:pPr>
      <w:pStyle w:val="Zhlav"/>
      <w:rPr>
        <w:rFonts w:ascii="Arial" w:hAnsi="Arial" w:cs="Arial"/>
        <w:sz w:val="16"/>
        <w:szCs w:val="16"/>
      </w:rPr>
    </w:pPr>
    <w:r>
      <w:rPr>
        <w:noProof/>
      </w:rPr>
      <w:drawing>
        <wp:inline distT="0" distB="0" distL="0" distR="0" wp14:anchorId="53802C75" wp14:editId="77365EDD">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14:paraId="2517AB97" w14:textId="77777777" w:rsidR="00712C60" w:rsidRDefault="00712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1FB3"/>
    <w:multiLevelType w:val="hybridMultilevel"/>
    <w:tmpl w:val="963C018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6" w15:restartNumberingAfterBreak="0">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E0005D"/>
    <w:multiLevelType w:val="hybridMultilevel"/>
    <w:tmpl w:val="4EDCD20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0"/>
  </w:num>
  <w:num w:numId="2">
    <w:abstractNumId w:val="19"/>
  </w:num>
  <w:num w:numId="3">
    <w:abstractNumId w:val="16"/>
  </w:num>
  <w:num w:numId="4">
    <w:abstractNumId w:val="13"/>
  </w:num>
  <w:num w:numId="5">
    <w:abstractNumId w:val="8"/>
  </w:num>
  <w:num w:numId="6">
    <w:abstractNumId w:val="5"/>
  </w:num>
  <w:num w:numId="7">
    <w:abstractNumId w:val="21"/>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
  </w:num>
  <w:num w:numId="13">
    <w:abstractNumId w:val="14"/>
  </w:num>
  <w:num w:numId="14">
    <w:abstractNumId w:val="15"/>
  </w:num>
  <w:num w:numId="15">
    <w:abstractNumId w:val="0"/>
  </w:num>
  <w:num w:numId="16">
    <w:abstractNumId w:val="2"/>
  </w:num>
  <w:num w:numId="17">
    <w:abstractNumId w:val="4"/>
  </w:num>
  <w:num w:numId="18">
    <w:abstractNumId w:val="18"/>
  </w:num>
  <w:num w:numId="19">
    <w:abstractNumId w:val="1"/>
  </w:num>
  <w:num w:numId="20">
    <w:abstractNumId w:val="9"/>
  </w:num>
  <w:num w:numId="21">
    <w:abstractNumId w:val="10"/>
  </w:num>
  <w:num w:numId="22">
    <w:abstractNumId w:val="7"/>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48B"/>
    <w:rsid w:val="000001F1"/>
    <w:rsid w:val="00002C96"/>
    <w:rsid w:val="00006646"/>
    <w:rsid w:val="00013AA4"/>
    <w:rsid w:val="00026C93"/>
    <w:rsid w:val="0003035B"/>
    <w:rsid w:val="0003190C"/>
    <w:rsid w:val="00037CD6"/>
    <w:rsid w:val="000418D7"/>
    <w:rsid w:val="00045BE2"/>
    <w:rsid w:val="00046CE5"/>
    <w:rsid w:val="00047F6B"/>
    <w:rsid w:val="00050948"/>
    <w:rsid w:val="00052964"/>
    <w:rsid w:val="00053A66"/>
    <w:rsid w:val="0005422F"/>
    <w:rsid w:val="000563F0"/>
    <w:rsid w:val="0006092A"/>
    <w:rsid w:val="00061DAD"/>
    <w:rsid w:val="00061DDB"/>
    <w:rsid w:val="000666A0"/>
    <w:rsid w:val="00070056"/>
    <w:rsid w:val="00070F75"/>
    <w:rsid w:val="00072993"/>
    <w:rsid w:val="00074BD0"/>
    <w:rsid w:val="00074FFB"/>
    <w:rsid w:val="00080C23"/>
    <w:rsid w:val="0008221D"/>
    <w:rsid w:val="0008513D"/>
    <w:rsid w:val="000868CB"/>
    <w:rsid w:val="00090005"/>
    <w:rsid w:val="000912F3"/>
    <w:rsid w:val="00093E95"/>
    <w:rsid w:val="0009512B"/>
    <w:rsid w:val="000A29FF"/>
    <w:rsid w:val="000A3E13"/>
    <w:rsid w:val="000A457C"/>
    <w:rsid w:val="000A4A29"/>
    <w:rsid w:val="000A5875"/>
    <w:rsid w:val="000A5DC1"/>
    <w:rsid w:val="000A6414"/>
    <w:rsid w:val="000B0A1B"/>
    <w:rsid w:val="000B29C1"/>
    <w:rsid w:val="000B4AD7"/>
    <w:rsid w:val="000B743A"/>
    <w:rsid w:val="000C1C3B"/>
    <w:rsid w:val="000C1EE7"/>
    <w:rsid w:val="000C2698"/>
    <w:rsid w:val="000C41D1"/>
    <w:rsid w:val="000C4600"/>
    <w:rsid w:val="000C624C"/>
    <w:rsid w:val="000D0CFE"/>
    <w:rsid w:val="000D73F3"/>
    <w:rsid w:val="000E2D21"/>
    <w:rsid w:val="000E30CE"/>
    <w:rsid w:val="000E3A74"/>
    <w:rsid w:val="000E4E55"/>
    <w:rsid w:val="000E4E74"/>
    <w:rsid w:val="000E539F"/>
    <w:rsid w:val="00102723"/>
    <w:rsid w:val="00102ECD"/>
    <w:rsid w:val="00103EE3"/>
    <w:rsid w:val="00106E44"/>
    <w:rsid w:val="00111AB3"/>
    <w:rsid w:val="00111D60"/>
    <w:rsid w:val="00112A42"/>
    <w:rsid w:val="00121E23"/>
    <w:rsid w:val="00122E30"/>
    <w:rsid w:val="0012303F"/>
    <w:rsid w:val="001257FF"/>
    <w:rsid w:val="00125F67"/>
    <w:rsid w:val="001314BD"/>
    <w:rsid w:val="00136D49"/>
    <w:rsid w:val="00140FF5"/>
    <w:rsid w:val="0014268F"/>
    <w:rsid w:val="00142985"/>
    <w:rsid w:val="001432CB"/>
    <w:rsid w:val="001451FA"/>
    <w:rsid w:val="0014689E"/>
    <w:rsid w:val="00146B68"/>
    <w:rsid w:val="00152B54"/>
    <w:rsid w:val="00154B2C"/>
    <w:rsid w:val="00155DEE"/>
    <w:rsid w:val="0016579F"/>
    <w:rsid w:val="001665DF"/>
    <w:rsid w:val="001749DD"/>
    <w:rsid w:val="00175DFD"/>
    <w:rsid w:val="00175FCB"/>
    <w:rsid w:val="00176275"/>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A775D"/>
    <w:rsid w:val="001B16F3"/>
    <w:rsid w:val="001B2C7F"/>
    <w:rsid w:val="001B45EE"/>
    <w:rsid w:val="001B5836"/>
    <w:rsid w:val="001B7062"/>
    <w:rsid w:val="001B77C6"/>
    <w:rsid w:val="001C382A"/>
    <w:rsid w:val="001C3D62"/>
    <w:rsid w:val="001C5ABC"/>
    <w:rsid w:val="001D024B"/>
    <w:rsid w:val="001D02F5"/>
    <w:rsid w:val="001D5352"/>
    <w:rsid w:val="001D5CAA"/>
    <w:rsid w:val="001D6DBC"/>
    <w:rsid w:val="001D7BE5"/>
    <w:rsid w:val="001E0DFF"/>
    <w:rsid w:val="001E0F7C"/>
    <w:rsid w:val="001E0F89"/>
    <w:rsid w:val="001E1443"/>
    <w:rsid w:val="001E1745"/>
    <w:rsid w:val="001E194D"/>
    <w:rsid w:val="001E1B87"/>
    <w:rsid w:val="001E259D"/>
    <w:rsid w:val="001E2F29"/>
    <w:rsid w:val="001E5480"/>
    <w:rsid w:val="001E687F"/>
    <w:rsid w:val="001E6F12"/>
    <w:rsid w:val="001F0FE5"/>
    <w:rsid w:val="001F3BBE"/>
    <w:rsid w:val="001F406B"/>
    <w:rsid w:val="001F5BB6"/>
    <w:rsid w:val="00200787"/>
    <w:rsid w:val="002009FC"/>
    <w:rsid w:val="00200DB6"/>
    <w:rsid w:val="0020181C"/>
    <w:rsid w:val="00207AA5"/>
    <w:rsid w:val="00211D0B"/>
    <w:rsid w:val="00212EB8"/>
    <w:rsid w:val="00215A6C"/>
    <w:rsid w:val="0021757A"/>
    <w:rsid w:val="0022156F"/>
    <w:rsid w:val="00225BD5"/>
    <w:rsid w:val="002266FE"/>
    <w:rsid w:val="0022679D"/>
    <w:rsid w:val="00230581"/>
    <w:rsid w:val="00232201"/>
    <w:rsid w:val="00232829"/>
    <w:rsid w:val="00240E2D"/>
    <w:rsid w:val="00242AE1"/>
    <w:rsid w:val="0024792B"/>
    <w:rsid w:val="00251E22"/>
    <w:rsid w:val="002533A3"/>
    <w:rsid w:val="00253D7A"/>
    <w:rsid w:val="00254A12"/>
    <w:rsid w:val="00260090"/>
    <w:rsid w:val="00262061"/>
    <w:rsid w:val="002636F5"/>
    <w:rsid w:val="00264550"/>
    <w:rsid w:val="002657A7"/>
    <w:rsid w:val="0026720B"/>
    <w:rsid w:val="00270842"/>
    <w:rsid w:val="002760E0"/>
    <w:rsid w:val="00276BEE"/>
    <w:rsid w:val="002775EE"/>
    <w:rsid w:val="00277AB0"/>
    <w:rsid w:val="00281E99"/>
    <w:rsid w:val="00287303"/>
    <w:rsid w:val="00287729"/>
    <w:rsid w:val="002913EC"/>
    <w:rsid w:val="00291BB3"/>
    <w:rsid w:val="00291DBD"/>
    <w:rsid w:val="00292D68"/>
    <w:rsid w:val="00295995"/>
    <w:rsid w:val="002A5188"/>
    <w:rsid w:val="002A523C"/>
    <w:rsid w:val="002B0A6B"/>
    <w:rsid w:val="002B1A1E"/>
    <w:rsid w:val="002B2531"/>
    <w:rsid w:val="002B2533"/>
    <w:rsid w:val="002B618D"/>
    <w:rsid w:val="002B6974"/>
    <w:rsid w:val="002C1C82"/>
    <w:rsid w:val="002C2A06"/>
    <w:rsid w:val="002C3895"/>
    <w:rsid w:val="002C4B39"/>
    <w:rsid w:val="002C6D9D"/>
    <w:rsid w:val="002C7941"/>
    <w:rsid w:val="002D0FF0"/>
    <w:rsid w:val="002D5D15"/>
    <w:rsid w:val="002D5EF9"/>
    <w:rsid w:val="002D7DB4"/>
    <w:rsid w:val="002E05AC"/>
    <w:rsid w:val="002E077A"/>
    <w:rsid w:val="002E2B2F"/>
    <w:rsid w:val="002E2BC9"/>
    <w:rsid w:val="002E2F10"/>
    <w:rsid w:val="002E328A"/>
    <w:rsid w:val="002E3DF3"/>
    <w:rsid w:val="002F38B5"/>
    <w:rsid w:val="002F41A3"/>
    <w:rsid w:val="002F7D4C"/>
    <w:rsid w:val="0030282F"/>
    <w:rsid w:val="00303497"/>
    <w:rsid w:val="003043B0"/>
    <w:rsid w:val="00305A95"/>
    <w:rsid w:val="003068FC"/>
    <w:rsid w:val="00310BE0"/>
    <w:rsid w:val="00311E18"/>
    <w:rsid w:val="00313A0B"/>
    <w:rsid w:val="00316DF7"/>
    <w:rsid w:val="00320A5D"/>
    <w:rsid w:val="003211D0"/>
    <w:rsid w:val="00321AA3"/>
    <w:rsid w:val="00323F56"/>
    <w:rsid w:val="00324526"/>
    <w:rsid w:val="003249AE"/>
    <w:rsid w:val="00327216"/>
    <w:rsid w:val="00331E65"/>
    <w:rsid w:val="00332A14"/>
    <w:rsid w:val="00334FE8"/>
    <w:rsid w:val="0033581C"/>
    <w:rsid w:val="00337AD4"/>
    <w:rsid w:val="00337D9A"/>
    <w:rsid w:val="003420AF"/>
    <w:rsid w:val="0034377A"/>
    <w:rsid w:val="00344E9F"/>
    <w:rsid w:val="00351379"/>
    <w:rsid w:val="0035212B"/>
    <w:rsid w:val="003522A1"/>
    <w:rsid w:val="00355CAF"/>
    <w:rsid w:val="00355E4C"/>
    <w:rsid w:val="00357BC8"/>
    <w:rsid w:val="00360E04"/>
    <w:rsid w:val="00362485"/>
    <w:rsid w:val="0036293C"/>
    <w:rsid w:val="003671A3"/>
    <w:rsid w:val="003713AF"/>
    <w:rsid w:val="00373261"/>
    <w:rsid w:val="00376BBC"/>
    <w:rsid w:val="003771E4"/>
    <w:rsid w:val="00377BE3"/>
    <w:rsid w:val="0038066F"/>
    <w:rsid w:val="00381282"/>
    <w:rsid w:val="0038532F"/>
    <w:rsid w:val="00387995"/>
    <w:rsid w:val="003911A3"/>
    <w:rsid w:val="00393072"/>
    <w:rsid w:val="003951BC"/>
    <w:rsid w:val="00395346"/>
    <w:rsid w:val="003A16F2"/>
    <w:rsid w:val="003A39A7"/>
    <w:rsid w:val="003A3C86"/>
    <w:rsid w:val="003B184B"/>
    <w:rsid w:val="003B5A3D"/>
    <w:rsid w:val="003C2AEA"/>
    <w:rsid w:val="003C362A"/>
    <w:rsid w:val="003C4A6A"/>
    <w:rsid w:val="003C75C6"/>
    <w:rsid w:val="003D2895"/>
    <w:rsid w:val="003D42A1"/>
    <w:rsid w:val="003E0452"/>
    <w:rsid w:val="003E391C"/>
    <w:rsid w:val="003E43C5"/>
    <w:rsid w:val="003E5F2B"/>
    <w:rsid w:val="003F48AE"/>
    <w:rsid w:val="003F6627"/>
    <w:rsid w:val="00400B5C"/>
    <w:rsid w:val="00402301"/>
    <w:rsid w:val="004043B8"/>
    <w:rsid w:val="00415AF1"/>
    <w:rsid w:val="00417DD7"/>
    <w:rsid w:val="00422862"/>
    <w:rsid w:val="00423D83"/>
    <w:rsid w:val="004304F2"/>
    <w:rsid w:val="00431945"/>
    <w:rsid w:val="00432AC3"/>
    <w:rsid w:val="00432C29"/>
    <w:rsid w:val="004334F4"/>
    <w:rsid w:val="004364D6"/>
    <w:rsid w:val="00436750"/>
    <w:rsid w:val="00440C67"/>
    <w:rsid w:val="00442268"/>
    <w:rsid w:val="00445140"/>
    <w:rsid w:val="00445829"/>
    <w:rsid w:val="00445BCA"/>
    <w:rsid w:val="00446323"/>
    <w:rsid w:val="0045250A"/>
    <w:rsid w:val="0045638A"/>
    <w:rsid w:val="00470FED"/>
    <w:rsid w:val="00473FD9"/>
    <w:rsid w:val="00474C19"/>
    <w:rsid w:val="00474F0B"/>
    <w:rsid w:val="00476A55"/>
    <w:rsid w:val="004774C0"/>
    <w:rsid w:val="0047764D"/>
    <w:rsid w:val="00483139"/>
    <w:rsid w:val="0048709E"/>
    <w:rsid w:val="004927BD"/>
    <w:rsid w:val="00492F31"/>
    <w:rsid w:val="0049321E"/>
    <w:rsid w:val="0049327E"/>
    <w:rsid w:val="004A058A"/>
    <w:rsid w:val="004A4FE3"/>
    <w:rsid w:val="004A50A2"/>
    <w:rsid w:val="004A5730"/>
    <w:rsid w:val="004A6BA3"/>
    <w:rsid w:val="004B03FF"/>
    <w:rsid w:val="004B0454"/>
    <w:rsid w:val="004B0574"/>
    <w:rsid w:val="004B3396"/>
    <w:rsid w:val="004B66FD"/>
    <w:rsid w:val="004C1997"/>
    <w:rsid w:val="004C2E77"/>
    <w:rsid w:val="004C30ED"/>
    <w:rsid w:val="004C5470"/>
    <w:rsid w:val="004D3A43"/>
    <w:rsid w:val="004D5C92"/>
    <w:rsid w:val="004D7359"/>
    <w:rsid w:val="004D76FE"/>
    <w:rsid w:val="004E5628"/>
    <w:rsid w:val="004E6035"/>
    <w:rsid w:val="004F0E05"/>
    <w:rsid w:val="004F1CB6"/>
    <w:rsid w:val="00501DCF"/>
    <w:rsid w:val="00502B0D"/>
    <w:rsid w:val="005047AC"/>
    <w:rsid w:val="00504917"/>
    <w:rsid w:val="0050621F"/>
    <w:rsid w:val="00506898"/>
    <w:rsid w:val="0050731E"/>
    <w:rsid w:val="0051013F"/>
    <w:rsid w:val="00511A75"/>
    <w:rsid w:val="00512142"/>
    <w:rsid w:val="00512151"/>
    <w:rsid w:val="00513EE5"/>
    <w:rsid w:val="00515951"/>
    <w:rsid w:val="00521CAF"/>
    <w:rsid w:val="00522ECE"/>
    <w:rsid w:val="00524526"/>
    <w:rsid w:val="005251E8"/>
    <w:rsid w:val="00526A39"/>
    <w:rsid w:val="00531E72"/>
    <w:rsid w:val="00534AA3"/>
    <w:rsid w:val="00536B01"/>
    <w:rsid w:val="0053713B"/>
    <w:rsid w:val="005373BB"/>
    <w:rsid w:val="00537F69"/>
    <w:rsid w:val="00540688"/>
    <w:rsid w:val="005432B2"/>
    <w:rsid w:val="005438C7"/>
    <w:rsid w:val="00546E2E"/>
    <w:rsid w:val="005546D3"/>
    <w:rsid w:val="0055628A"/>
    <w:rsid w:val="0055755A"/>
    <w:rsid w:val="005605BA"/>
    <w:rsid w:val="0056163D"/>
    <w:rsid w:val="00561BBF"/>
    <w:rsid w:val="00562539"/>
    <w:rsid w:val="00562AF7"/>
    <w:rsid w:val="00562B4C"/>
    <w:rsid w:val="005647C0"/>
    <w:rsid w:val="00566001"/>
    <w:rsid w:val="00567B28"/>
    <w:rsid w:val="00571724"/>
    <w:rsid w:val="005719C6"/>
    <w:rsid w:val="00574220"/>
    <w:rsid w:val="00584821"/>
    <w:rsid w:val="00585FBA"/>
    <w:rsid w:val="00590AB1"/>
    <w:rsid w:val="00591D18"/>
    <w:rsid w:val="005931FF"/>
    <w:rsid w:val="00593236"/>
    <w:rsid w:val="00593E76"/>
    <w:rsid w:val="005946B8"/>
    <w:rsid w:val="00596AD8"/>
    <w:rsid w:val="00597D7F"/>
    <w:rsid w:val="005A0395"/>
    <w:rsid w:val="005A0FB4"/>
    <w:rsid w:val="005A3850"/>
    <w:rsid w:val="005A393F"/>
    <w:rsid w:val="005A59EF"/>
    <w:rsid w:val="005B21F8"/>
    <w:rsid w:val="005B35A1"/>
    <w:rsid w:val="005B4462"/>
    <w:rsid w:val="005B534C"/>
    <w:rsid w:val="005B5BBA"/>
    <w:rsid w:val="005B6F72"/>
    <w:rsid w:val="005B7752"/>
    <w:rsid w:val="005B7868"/>
    <w:rsid w:val="005C089E"/>
    <w:rsid w:val="005C0B1E"/>
    <w:rsid w:val="005D1A13"/>
    <w:rsid w:val="005D2C14"/>
    <w:rsid w:val="005D653C"/>
    <w:rsid w:val="005D7254"/>
    <w:rsid w:val="005E109B"/>
    <w:rsid w:val="005E4DE5"/>
    <w:rsid w:val="005E58BA"/>
    <w:rsid w:val="005E7312"/>
    <w:rsid w:val="005F078A"/>
    <w:rsid w:val="005F1B2D"/>
    <w:rsid w:val="005F33B8"/>
    <w:rsid w:val="005F3408"/>
    <w:rsid w:val="0060173D"/>
    <w:rsid w:val="006042D8"/>
    <w:rsid w:val="00606FD7"/>
    <w:rsid w:val="00611090"/>
    <w:rsid w:val="00611437"/>
    <w:rsid w:val="0061163E"/>
    <w:rsid w:val="00612BAB"/>
    <w:rsid w:val="00613F0F"/>
    <w:rsid w:val="006144C8"/>
    <w:rsid w:val="0061732C"/>
    <w:rsid w:val="00626D5A"/>
    <w:rsid w:val="0063081A"/>
    <w:rsid w:val="006340DF"/>
    <w:rsid w:val="0063576C"/>
    <w:rsid w:val="00642541"/>
    <w:rsid w:val="00643465"/>
    <w:rsid w:val="00646151"/>
    <w:rsid w:val="00650A0C"/>
    <w:rsid w:val="00657632"/>
    <w:rsid w:val="00664187"/>
    <w:rsid w:val="00666FA4"/>
    <w:rsid w:val="00670240"/>
    <w:rsid w:val="006703C3"/>
    <w:rsid w:val="00670758"/>
    <w:rsid w:val="00672A5B"/>
    <w:rsid w:val="006743D8"/>
    <w:rsid w:val="00674DDC"/>
    <w:rsid w:val="00675BEB"/>
    <w:rsid w:val="0067689F"/>
    <w:rsid w:val="00676AB7"/>
    <w:rsid w:val="00677C30"/>
    <w:rsid w:val="00680309"/>
    <w:rsid w:val="00683BB7"/>
    <w:rsid w:val="00686AC6"/>
    <w:rsid w:val="00695B42"/>
    <w:rsid w:val="00696247"/>
    <w:rsid w:val="006A3EA9"/>
    <w:rsid w:val="006A47E9"/>
    <w:rsid w:val="006A5600"/>
    <w:rsid w:val="006B1A5E"/>
    <w:rsid w:val="006B6B56"/>
    <w:rsid w:val="006B7FA1"/>
    <w:rsid w:val="006C02CF"/>
    <w:rsid w:val="006C0CBB"/>
    <w:rsid w:val="006C5AFA"/>
    <w:rsid w:val="006C6CB6"/>
    <w:rsid w:val="006C6E32"/>
    <w:rsid w:val="006C72BF"/>
    <w:rsid w:val="006D0698"/>
    <w:rsid w:val="006D2CFD"/>
    <w:rsid w:val="006D3071"/>
    <w:rsid w:val="006D4AA3"/>
    <w:rsid w:val="006E2794"/>
    <w:rsid w:val="006E4612"/>
    <w:rsid w:val="006E5108"/>
    <w:rsid w:val="006E6329"/>
    <w:rsid w:val="006F1C54"/>
    <w:rsid w:val="006F46D2"/>
    <w:rsid w:val="006F706F"/>
    <w:rsid w:val="007023C4"/>
    <w:rsid w:val="00702D94"/>
    <w:rsid w:val="00703BDA"/>
    <w:rsid w:val="00704ADD"/>
    <w:rsid w:val="00704D44"/>
    <w:rsid w:val="00712C60"/>
    <w:rsid w:val="0072112F"/>
    <w:rsid w:val="0072351A"/>
    <w:rsid w:val="007235D3"/>
    <w:rsid w:val="00723DA9"/>
    <w:rsid w:val="007259B6"/>
    <w:rsid w:val="00730807"/>
    <w:rsid w:val="007319DD"/>
    <w:rsid w:val="0073583A"/>
    <w:rsid w:val="00735914"/>
    <w:rsid w:val="00736927"/>
    <w:rsid w:val="00740737"/>
    <w:rsid w:val="00741226"/>
    <w:rsid w:val="00744F6B"/>
    <w:rsid w:val="00746C09"/>
    <w:rsid w:val="00753EE1"/>
    <w:rsid w:val="00757009"/>
    <w:rsid w:val="0075785D"/>
    <w:rsid w:val="007676FA"/>
    <w:rsid w:val="00771A36"/>
    <w:rsid w:val="00774F11"/>
    <w:rsid w:val="00774F7B"/>
    <w:rsid w:val="007754F4"/>
    <w:rsid w:val="0077773E"/>
    <w:rsid w:val="007813E2"/>
    <w:rsid w:val="00782BF1"/>
    <w:rsid w:val="00783F86"/>
    <w:rsid w:val="00785CB7"/>
    <w:rsid w:val="00785F26"/>
    <w:rsid w:val="00787D52"/>
    <w:rsid w:val="00792EEC"/>
    <w:rsid w:val="007963BD"/>
    <w:rsid w:val="007A2909"/>
    <w:rsid w:val="007A3C24"/>
    <w:rsid w:val="007A4711"/>
    <w:rsid w:val="007A5C3D"/>
    <w:rsid w:val="007B14BE"/>
    <w:rsid w:val="007B15DA"/>
    <w:rsid w:val="007B2876"/>
    <w:rsid w:val="007B2A7F"/>
    <w:rsid w:val="007B2DB7"/>
    <w:rsid w:val="007B3795"/>
    <w:rsid w:val="007B5D8C"/>
    <w:rsid w:val="007B7166"/>
    <w:rsid w:val="007B72C5"/>
    <w:rsid w:val="007B7A20"/>
    <w:rsid w:val="007C02C2"/>
    <w:rsid w:val="007C05D7"/>
    <w:rsid w:val="007C5AA5"/>
    <w:rsid w:val="007C7519"/>
    <w:rsid w:val="007C79B8"/>
    <w:rsid w:val="007D0EC7"/>
    <w:rsid w:val="007D43E8"/>
    <w:rsid w:val="007D7E15"/>
    <w:rsid w:val="007E031D"/>
    <w:rsid w:val="007E2158"/>
    <w:rsid w:val="007E4EBB"/>
    <w:rsid w:val="007E6EAE"/>
    <w:rsid w:val="007E754E"/>
    <w:rsid w:val="007F3CBD"/>
    <w:rsid w:val="007F5BCB"/>
    <w:rsid w:val="007F64DA"/>
    <w:rsid w:val="008102F8"/>
    <w:rsid w:val="00810A27"/>
    <w:rsid w:val="00815304"/>
    <w:rsid w:val="00815C00"/>
    <w:rsid w:val="00817B20"/>
    <w:rsid w:val="00817DED"/>
    <w:rsid w:val="00823A70"/>
    <w:rsid w:val="00824B74"/>
    <w:rsid w:val="00826C01"/>
    <w:rsid w:val="00827CCA"/>
    <w:rsid w:val="00835451"/>
    <w:rsid w:val="0084179E"/>
    <w:rsid w:val="00842CF7"/>
    <w:rsid w:val="00847E8D"/>
    <w:rsid w:val="00851E52"/>
    <w:rsid w:val="0085754E"/>
    <w:rsid w:val="008575B4"/>
    <w:rsid w:val="008675F4"/>
    <w:rsid w:val="008676FF"/>
    <w:rsid w:val="008736A9"/>
    <w:rsid w:val="00876D0B"/>
    <w:rsid w:val="0088103B"/>
    <w:rsid w:val="00883212"/>
    <w:rsid w:val="008845E2"/>
    <w:rsid w:val="008846D6"/>
    <w:rsid w:val="008868D6"/>
    <w:rsid w:val="00886FCB"/>
    <w:rsid w:val="00891A3E"/>
    <w:rsid w:val="0089279A"/>
    <w:rsid w:val="0089598E"/>
    <w:rsid w:val="00896328"/>
    <w:rsid w:val="00896BA2"/>
    <w:rsid w:val="008A162D"/>
    <w:rsid w:val="008A655C"/>
    <w:rsid w:val="008B03E2"/>
    <w:rsid w:val="008B0EDD"/>
    <w:rsid w:val="008C082B"/>
    <w:rsid w:val="008C1601"/>
    <w:rsid w:val="008C2A69"/>
    <w:rsid w:val="008C2B8E"/>
    <w:rsid w:val="008C301D"/>
    <w:rsid w:val="008C4EDE"/>
    <w:rsid w:val="008D1A19"/>
    <w:rsid w:val="008D35FD"/>
    <w:rsid w:val="008D4715"/>
    <w:rsid w:val="008D7EB0"/>
    <w:rsid w:val="008E2B39"/>
    <w:rsid w:val="008E2C56"/>
    <w:rsid w:val="008E3264"/>
    <w:rsid w:val="008E4751"/>
    <w:rsid w:val="008E4E0C"/>
    <w:rsid w:val="008E75CF"/>
    <w:rsid w:val="008E77D6"/>
    <w:rsid w:val="008F1746"/>
    <w:rsid w:val="008F18F9"/>
    <w:rsid w:val="008F1906"/>
    <w:rsid w:val="008F2303"/>
    <w:rsid w:val="008F384A"/>
    <w:rsid w:val="008F4A1C"/>
    <w:rsid w:val="008F4C0D"/>
    <w:rsid w:val="00900229"/>
    <w:rsid w:val="00901590"/>
    <w:rsid w:val="00903408"/>
    <w:rsid w:val="0090388D"/>
    <w:rsid w:val="0090777D"/>
    <w:rsid w:val="00912E10"/>
    <w:rsid w:val="00913CCA"/>
    <w:rsid w:val="009141D3"/>
    <w:rsid w:val="00916DAE"/>
    <w:rsid w:val="00917E32"/>
    <w:rsid w:val="00917F7A"/>
    <w:rsid w:val="00922009"/>
    <w:rsid w:val="009254EC"/>
    <w:rsid w:val="00925EF6"/>
    <w:rsid w:val="009268A8"/>
    <w:rsid w:val="009269AD"/>
    <w:rsid w:val="009335E4"/>
    <w:rsid w:val="009370B9"/>
    <w:rsid w:val="0094264F"/>
    <w:rsid w:val="00944719"/>
    <w:rsid w:val="00944A89"/>
    <w:rsid w:val="00945320"/>
    <w:rsid w:val="00945428"/>
    <w:rsid w:val="0095513D"/>
    <w:rsid w:val="009574C5"/>
    <w:rsid w:val="009610A7"/>
    <w:rsid w:val="0096305F"/>
    <w:rsid w:val="00967A6F"/>
    <w:rsid w:val="009751B3"/>
    <w:rsid w:val="00981602"/>
    <w:rsid w:val="009823C7"/>
    <w:rsid w:val="0098426C"/>
    <w:rsid w:val="0098448B"/>
    <w:rsid w:val="00992EF7"/>
    <w:rsid w:val="0099364B"/>
    <w:rsid w:val="00993D05"/>
    <w:rsid w:val="00994103"/>
    <w:rsid w:val="0099670B"/>
    <w:rsid w:val="00997656"/>
    <w:rsid w:val="009976CD"/>
    <w:rsid w:val="009A03B0"/>
    <w:rsid w:val="009A2873"/>
    <w:rsid w:val="009A3B10"/>
    <w:rsid w:val="009A5C84"/>
    <w:rsid w:val="009B0375"/>
    <w:rsid w:val="009B1FF5"/>
    <w:rsid w:val="009B223C"/>
    <w:rsid w:val="009B25EF"/>
    <w:rsid w:val="009B4C3F"/>
    <w:rsid w:val="009C1EE8"/>
    <w:rsid w:val="009C256C"/>
    <w:rsid w:val="009C27B3"/>
    <w:rsid w:val="009C3088"/>
    <w:rsid w:val="009C46BD"/>
    <w:rsid w:val="009C65D8"/>
    <w:rsid w:val="009D212F"/>
    <w:rsid w:val="009D2846"/>
    <w:rsid w:val="009D3CB6"/>
    <w:rsid w:val="009D3F91"/>
    <w:rsid w:val="009E165F"/>
    <w:rsid w:val="009E172D"/>
    <w:rsid w:val="009E1830"/>
    <w:rsid w:val="009E1887"/>
    <w:rsid w:val="009E1A0E"/>
    <w:rsid w:val="009E2117"/>
    <w:rsid w:val="009E21F1"/>
    <w:rsid w:val="009E5521"/>
    <w:rsid w:val="009E7BE7"/>
    <w:rsid w:val="009E7DFB"/>
    <w:rsid w:val="009F1805"/>
    <w:rsid w:val="009F1E4C"/>
    <w:rsid w:val="009F211B"/>
    <w:rsid w:val="009F5D6F"/>
    <w:rsid w:val="009F6012"/>
    <w:rsid w:val="009F6450"/>
    <w:rsid w:val="009F6621"/>
    <w:rsid w:val="009F6B71"/>
    <w:rsid w:val="009F70D4"/>
    <w:rsid w:val="009F77EF"/>
    <w:rsid w:val="009F7A35"/>
    <w:rsid w:val="00A0067A"/>
    <w:rsid w:val="00A007E3"/>
    <w:rsid w:val="00A012EF"/>
    <w:rsid w:val="00A0240C"/>
    <w:rsid w:val="00A02F91"/>
    <w:rsid w:val="00A07851"/>
    <w:rsid w:val="00A12BF6"/>
    <w:rsid w:val="00A13D3C"/>
    <w:rsid w:val="00A14115"/>
    <w:rsid w:val="00A145B9"/>
    <w:rsid w:val="00A203D8"/>
    <w:rsid w:val="00A23B75"/>
    <w:rsid w:val="00A2509B"/>
    <w:rsid w:val="00A264C8"/>
    <w:rsid w:val="00A27CC3"/>
    <w:rsid w:val="00A310D9"/>
    <w:rsid w:val="00A33C4E"/>
    <w:rsid w:val="00A354A2"/>
    <w:rsid w:val="00A35DD3"/>
    <w:rsid w:val="00A369BD"/>
    <w:rsid w:val="00A36A84"/>
    <w:rsid w:val="00A42E21"/>
    <w:rsid w:val="00A508F0"/>
    <w:rsid w:val="00A51892"/>
    <w:rsid w:val="00A519C7"/>
    <w:rsid w:val="00A5357C"/>
    <w:rsid w:val="00A6136D"/>
    <w:rsid w:val="00A61E57"/>
    <w:rsid w:val="00A70AF4"/>
    <w:rsid w:val="00A71762"/>
    <w:rsid w:val="00A7271D"/>
    <w:rsid w:val="00A767D4"/>
    <w:rsid w:val="00A8170C"/>
    <w:rsid w:val="00A84299"/>
    <w:rsid w:val="00A84441"/>
    <w:rsid w:val="00A87BF7"/>
    <w:rsid w:val="00A9300C"/>
    <w:rsid w:val="00A9345A"/>
    <w:rsid w:val="00A93646"/>
    <w:rsid w:val="00A977B9"/>
    <w:rsid w:val="00AA3578"/>
    <w:rsid w:val="00AA519C"/>
    <w:rsid w:val="00AA5ADE"/>
    <w:rsid w:val="00AA638B"/>
    <w:rsid w:val="00AB3793"/>
    <w:rsid w:val="00AB4D69"/>
    <w:rsid w:val="00AB670F"/>
    <w:rsid w:val="00AB6A98"/>
    <w:rsid w:val="00AB6B89"/>
    <w:rsid w:val="00AC2C26"/>
    <w:rsid w:val="00AC4D45"/>
    <w:rsid w:val="00AC564E"/>
    <w:rsid w:val="00AD2C84"/>
    <w:rsid w:val="00AD4008"/>
    <w:rsid w:val="00AD673A"/>
    <w:rsid w:val="00AD72DB"/>
    <w:rsid w:val="00AD77A2"/>
    <w:rsid w:val="00AD7F5D"/>
    <w:rsid w:val="00AE4698"/>
    <w:rsid w:val="00AF111F"/>
    <w:rsid w:val="00AF2DB3"/>
    <w:rsid w:val="00AF5D24"/>
    <w:rsid w:val="00B00DBA"/>
    <w:rsid w:val="00B0179A"/>
    <w:rsid w:val="00B01A8A"/>
    <w:rsid w:val="00B02417"/>
    <w:rsid w:val="00B04BBE"/>
    <w:rsid w:val="00B105A1"/>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31D3"/>
    <w:rsid w:val="00B53228"/>
    <w:rsid w:val="00B54414"/>
    <w:rsid w:val="00B54CC1"/>
    <w:rsid w:val="00B56A6D"/>
    <w:rsid w:val="00B61BE8"/>
    <w:rsid w:val="00B6352A"/>
    <w:rsid w:val="00B635FD"/>
    <w:rsid w:val="00B641BB"/>
    <w:rsid w:val="00B642B0"/>
    <w:rsid w:val="00B654F8"/>
    <w:rsid w:val="00B719AB"/>
    <w:rsid w:val="00B72403"/>
    <w:rsid w:val="00B73825"/>
    <w:rsid w:val="00B82365"/>
    <w:rsid w:val="00B829D3"/>
    <w:rsid w:val="00B95CBE"/>
    <w:rsid w:val="00B9684B"/>
    <w:rsid w:val="00BA1337"/>
    <w:rsid w:val="00BA6907"/>
    <w:rsid w:val="00BA7FF3"/>
    <w:rsid w:val="00BB1AA5"/>
    <w:rsid w:val="00BB243A"/>
    <w:rsid w:val="00BB2A0A"/>
    <w:rsid w:val="00BB43E7"/>
    <w:rsid w:val="00BB4EAE"/>
    <w:rsid w:val="00BC08B9"/>
    <w:rsid w:val="00BC11A3"/>
    <w:rsid w:val="00BC2222"/>
    <w:rsid w:val="00BC24CF"/>
    <w:rsid w:val="00BC331D"/>
    <w:rsid w:val="00BC3DB3"/>
    <w:rsid w:val="00BC3E4A"/>
    <w:rsid w:val="00BC41EF"/>
    <w:rsid w:val="00BC594C"/>
    <w:rsid w:val="00BD11F9"/>
    <w:rsid w:val="00BD243B"/>
    <w:rsid w:val="00BD4E84"/>
    <w:rsid w:val="00BD767B"/>
    <w:rsid w:val="00BE2340"/>
    <w:rsid w:val="00BE2343"/>
    <w:rsid w:val="00BE6888"/>
    <w:rsid w:val="00BE7786"/>
    <w:rsid w:val="00BF4611"/>
    <w:rsid w:val="00BF7453"/>
    <w:rsid w:val="00BF74E8"/>
    <w:rsid w:val="00C00377"/>
    <w:rsid w:val="00C00391"/>
    <w:rsid w:val="00C011A9"/>
    <w:rsid w:val="00C01C43"/>
    <w:rsid w:val="00C01C66"/>
    <w:rsid w:val="00C070AA"/>
    <w:rsid w:val="00C10807"/>
    <w:rsid w:val="00C108DA"/>
    <w:rsid w:val="00C1435E"/>
    <w:rsid w:val="00C20692"/>
    <w:rsid w:val="00C21F9E"/>
    <w:rsid w:val="00C336ED"/>
    <w:rsid w:val="00C33743"/>
    <w:rsid w:val="00C34E91"/>
    <w:rsid w:val="00C37CCA"/>
    <w:rsid w:val="00C42331"/>
    <w:rsid w:val="00C442AF"/>
    <w:rsid w:val="00C47A3F"/>
    <w:rsid w:val="00C54A2A"/>
    <w:rsid w:val="00C54AFF"/>
    <w:rsid w:val="00C57555"/>
    <w:rsid w:val="00C616BA"/>
    <w:rsid w:val="00C6456B"/>
    <w:rsid w:val="00C64AF2"/>
    <w:rsid w:val="00C67B2D"/>
    <w:rsid w:val="00C67D9C"/>
    <w:rsid w:val="00C70C40"/>
    <w:rsid w:val="00C731E3"/>
    <w:rsid w:val="00C732BC"/>
    <w:rsid w:val="00C760FA"/>
    <w:rsid w:val="00C77ED2"/>
    <w:rsid w:val="00C814FE"/>
    <w:rsid w:val="00C81553"/>
    <w:rsid w:val="00C87523"/>
    <w:rsid w:val="00C903B9"/>
    <w:rsid w:val="00C9153F"/>
    <w:rsid w:val="00C9399B"/>
    <w:rsid w:val="00C93D07"/>
    <w:rsid w:val="00C93E5D"/>
    <w:rsid w:val="00C942B2"/>
    <w:rsid w:val="00C9431D"/>
    <w:rsid w:val="00C954E4"/>
    <w:rsid w:val="00C96242"/>
    <w:rsid w:val="00CA192C"/>
    <w:rsid w:val="00CA20B3"/>
    <w:rsid w:val="00CA38DD"/>
    <w:rsid w:val="00CA5625"/>
    <w:rsid w:val="00CB0A01"/>
    <w:rsid w:val="00CB3532"/>
    <w:rsid w:val="00CB3618"/>
    <w:rsid w:val="00CB3EC2"/>
    <w:rsid w:val="00CB4AF1"/>
    <w:rsid w:val="00CB4F7F"/>
    <w:rsid w:val="00CB54C5"/>
    <w:rsid w:val="00CC2436"/>
    <w:rsid w:val="00CC282C"/>
    <w:rsid w:val="00CC44F5"/>
    <w:rsid w:val="00CC5C5A"/>
    <w:rsid w:val="00CC6B50"/>
    <w:rsid w:val="00CC7249"/>
    <w:rsid w:val="00CC7C9B"/>
    <w:rsid w:val="00CD0F87"/>
    <w:rsid w:val="00CD1225"/>
    <w:rsid w:val="00CD364C"/>
    <w:rsid w:val="00CD4B93"/>
    <w:rsid w:val="00CD61CC"/>
    <w:rsid w:val="00CD702C"/>
    <w:rsid w:val="00CE5BF5"/>
    <w:rsid w:val="00CE68B4"/>
    <w:rsid w:val="00CE68EF"/>
    <w:rsid w:val="00CF1CC8"/>
    <w:rsid w:val="00CF4B53"/>
    <w:rsid w:val="00CF559A"/>
    <w:rsid w:val="00CF5885"/>
    <w:rsid w:val="00D0153F"/>
    <w:rsid w:val="00D02578"/>
    <w:rsid w:val="00D02700"/>
    <w:rsid w:val="00D02C7C"/>
    <w:rsid w:val="00D0397A"/>
    <w:rsid w:val="00D03D43"/>
    <w:rsid w:val="00D04546"/>
    <w:rsid w:val="00D06C3F"/>
    <w:rsid w:val="00D126A5"/>
    <w:rsid w:val="00D171ED"/>
    <w:rsid w:val="00D24206"/>
    <w:rsid w:val="00D30A10"/>
    <w:rsid w:val="00D369A1"/>
    <w:rsid w:val="00D37D5A"/>
    <w:rsid w:val="00D37F76"/>
    <w:rsid w:val="00D40438"/>
    <w:rsid w:val="00D40AAE"/>
    <w:rsid w:val="00D41884"/>
    <w:rsid w:val="00D440C3"/>
    <w:rsid w:val="00D4763D"/>
    <w:rsid w:val="00D47C4B"/>
    <w:rsid w:val="00D47E21"/>
    <w:rsid w:val="00D50C18"/>
    <w:rsid w:val="00D51428"/>
    <w:rsid w:val="00D525B7"/>
    <w:rsid w:val="00D54102"/>
    <w:rsid w:val="00D558A4"/>
    <w:rsid w:val="00D55D23"/>
    <w:rsid w:val="00D56AA3"/>
    <w:rsid w:val="00D56BD3"/>
    <w:rsid w:val="00D603A0"/>
    <w:rsid w:val="00D60DBB"/>
    <w:rsid w:val="00D616B1"/>
    <w:rsid w:val="00D616FE"/>
    <w:rsid w:val="00D64A5C"/>
    <w:rsid w:val="00D6590E"/>
    <w:rsid w:val="00D666F9"/>
    <w:rsid w:val="00D71EA5"/>
    <w:rsid w:val="00D776E2"/>
    <w:rsid w:val="00D77985"/>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4B8A"/>
    <w:rsid w:val="00DB6262"/>
    <w:rsid w:val="00DB7566"/>
    <w:rsid w:val="00DB7940"/>
    <w:rsid w:val="00DC1E93"/>
    <w:rsid w:val="00DC437E"/>
    <w:rsid w:val="00DC4E32"/>
    <w:rsid w:val="00DC6D61"/>
    <w:rsid w:val="00DD1209"/>
    <w:rsid w:val="00DD3079"/>
    <w:rsid w:val="00DD37D6"/>
    <w:rsid w:val="00DD3821"/>
    <w:rsid w:val="00DD5CC4"/>
    <w:rsid w:val="00DD64B1"/>
    <w:rsid w:val="00DD6627"/>
    <w:rsid w:val="00DD6E5C"/>
    <w:rsid w:val="00DD7E7C"/>
    <w:rsid w:val="00DE3019"/>
    <w:rsid w:val="00DF31A5"/>
    <w:rsid w:val="00DF376F"/>
    <w:rsid w:val="00DF37C7"/>
    <w:rsid w:val="00DF5150"/>
    <w:rsid w:val="00E00246"/>
    <w:rsid w:val="00E0753F"/>
    <w:rsid w:val="00E07AD5"/>
    <w:rsid w:val="00E12225"/>
    <w:rsid w:val="00E16BB2"/>
    <w:rsid w:val="00E17118"/>
    <w:rsid w:val="00E20246"/>
    <w:rsid w:val="00E22EF7"/>
    <w:rsid w:val="00E2696A"/>
    <w:rsid w:val="00E30A37"/>
    <w:rsid w:val="00E31978"/>
    <w:rsid w:val="00E4043E"/>
    <w:rsid w:val="00E40B47"/>
    <w:rsid w:val="00E43A97"/>
    <w:rsid w:val="00E43C51"/>
    <w:rsid w:val="00E43D8A"/>
    <w:rsid w:val="00E4614E"/>
    <w:rsid w:val="00E46C9D"/>
    <w:rsid w:val="00E46D91"/>
    <w:rsid w:val="00E523A1"/>
    <w:rsid w:val="00E53C23"/>
    <w:rsid w:val="00E53E63"/>
    <w:rsid w:val="00E55785"/>
    <w:rsid w:val="00E57E66"/>
    <w:rsid w:val="00E61EE0"/>
    <w:rsid w:val="00E62CB0"/>
    <w:rsid w:val="00E62E34"/>
    <w:rsid w:val="00E63009"/>
    <w:rsid w:val="00E65BC4"/>
    <w:rsid w:val="00E66ECC"/>
    <w:rsid w:val="00E6723B"/>
    <w:rsid w:val="00E70192"/>
    <w:rsid w:val="00E715B6"/>
    <w:rsid w:val="00E7307C"/>
    <w:rsid w:val="00E74B41"/>
    <w:rsid w:val="00E812C4"/>
    <w:rsid w:val="00E82B8F"/>
    <w:rsid w:val="00E82C4E"/>
    <w:rsid w:val="00E83E2C"/>
    <w:rsid w:val="00E867A5"/>
    <w:rsid w:val="00E87700"/>
    <w:rsid w:val="00E87713"/>
    <w:rsid w:val="00E8795C"/>
    <w:rsid w:val="00E921A0"/>
    <w:rsid w:val="00E95BD8"/>
    <w:rsid w:val="00EA0515"/>
    <w:rsid w:val="00EA0B6C"/>
    <w:rsid w:val="00EA13A4"/>
    <w:rsid w:val="00EA1775"/>
    <w:rsid w:val="00EA3A6C"/>
    <w:rsid w:val="00EA3C41"/>
    <w:rsid w:val="00EA776C"/>
    <w:rsid w:val="00EA7E6B"/>
    <w:rsid w:val="00EB1EEB"/>
    <w:rsid w:val="00EB48B7"/>
    <w:rsid w:val="00EC7A7A"/>
    <w:rsid w:val="00ED03E8"/>
    <w:rsid w:val="00ED180E"/>
    <w:rsid w:val="00ED20EF"/>
    <w:rsid w:val="00ED2E79"/>
    <w:rsid w:val="00ED3AFC"/>
    <w:rsid w:val="00ED3F5D"/>
    <w:rsid w:val="00ED4CF7"/>
    <w:rsid w:val="00ED6AFE"/>
    <w:rsid w:val="00ED7376"/>
    <w:rsid w:val="00EE1451"/>
    <w:rsid w:val="00EE330B"/>
    <w:rsid w:val="00EE5217"/>
    <w:rsid w:val="00EE57C5"/>
    <w:rsid w:val="00EF0389"/>
    <w:rsid w:val="00EF15E0"/>
    <w:rsid w:val="00EF3A60"/>
    <w:rsid w:val="00EF5C4F"/>
    <w:rsid w:val="00F00453"/>
    <w:rsid w:val="00F00567"/>
    <w:rsid w:val="00F00B51"/>
    <w:rsid w:val="00F01779"/>
    <w:rsid w:val="00F02F52"/>
    <w:rsid w:val="00F033B2"/>
    <w:rsid w:val="00F03E3E"/>
    <w:rsid w:val="00F055AF"/>
    <w:rsid w:val="00F06BCD"/>
    <w:rsid w:val="00F07EEA"/>
    <w:rsid w:val="00F10065"/>
    <w:rsid w:val="00F106FE"/>
    <w:rsid w:val="00F12BB1"/>
    <w:rsid w:val="00F230DA"/>
    <w:rsid w:val="00F25365"/>
    <w:rsid w:val="00F2678B"/>
    <w:rsid w:val="00F26D5A"/>
    <w:rsid w:val="00F30EFF"/>
    <w:rsid w:val="00F31A90"/>
    <w:rsid w:val="00F32D71"/>
    <w:rsid w:val="00F3361A"/>
    <w:rsid w:val="00F337E6"/>
    <w:rsid w:val="00F35546"/>
    <w:rsid w:val="00F412D1"/>
    <w:rsid w:val="00F41BAC"/>
    <w:rsid w:val="00F44197"/>
    <w:rsid w:val="00F47354"/>
    <w:rsid w:val="00F50452"/>
    <w:rsid w:val="00F50ED5"/>
    <w:rsid w:val="00F54005"/>
    <w:rsid w:val="00F578E1"/>
    <w:rsid w:val="00F57996"/>
    <w:rsid w:val="00F7487A"/>
    <w:rsid w:val="00F807B9"/>
    <w:rsid w:val="00F80BEC"/>
    <w:rsid w:val="00F82CCA"/>
    <w:rsid w:val="00F85044"/>
    <w:rsid w:val="00F86163"/>
    <w:rsid w:val="00F8708F"/>
    <w:rsid w:val="00F87809"/>
    <w:rsid w:val="00F91154"/>
    <w:rsid w:val="00F923CE"/>
    <w:rsid w:val="00F92654"/>
    <w:rsid w:val="00F941AA"/>
    <w:rsid w:val="00F95967"/>
    <w:rsid w:val="00F95B70"/>
    <w:rsid w:val="00F966DD"/>
    <w:rsid w:val="00FA1FF1"/>
    <w:rsid w:val="00FA2E23"/>
    <w:rsid w:val="00FA2FDB"/>
    <w:rsid w:val="00FA3B2D"/>
    <w:rsid w:val="00FA4110"/>
    <w:rsid w:val="00FA43E0"/>
    <w:rsid w:val="00FA56FC"/>
    <w:rsid w:val="00FA6968"/>
    <w:rsid w:val="00FA6F17"/>
    <w:rsid w:val="00FB3CCF"/>
    <w:rsid w:val="00FB6302"/>
    <w:rsid w:val="00FB6729"/>
    <w:rsid w:val="00FB72FB"/>
    <w:rsid w:val="00FB7739"/>
    <w:rsid w:val="00FC11AF"/>
    <w:rsid w:val="00FC536F"/>
    <w:rsid w:val="00FC64F2"/>
    <w:rsid w:val="00FC7331"/>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BE9E3"/>
  <w15:docId w15:val="{3AD98127-5CED-4971-8789-572DE5CF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 w:type="character" w:customStyle="1" w:styleId="Nevyeenzmnka1">
    <w:name w:val="Nevyřešená zmínka1"/>
    <w:basedOn w:val="Standardnpsmoodstavce"/>
    <w:uiPriority w:val="99"/>
    <w:semiHidden/>
    <w:unhideWhenUsed/>
    <w:rsid w:val="008C3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555822298">
      <w:bodyDiv w:val="1"/>
      <w:marLeft w:val="0"/>
      <w:marRight w:val="0"/>
      <w:marTop w:val="0"/>
      <w:marBottom w:val="0"/>
      <w:divBdr>
        <w:top w:val="none" w:sz="0" w:space="0" w:color="auto"/>
        <w:left w:val="none" w:sz="0" w:space="0" w:color="auto"/>
        <w:bottom w:val="none" w:sz="0" w:space="0" w:color="auto"/>
        <w:right w:val="none" w:sz="0" w:space="0" w:color="auto"/>
      </w:divBdr>
    </w:div>
    <w:div w:id="741681142">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441141662">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 w:id="2066759992">
      <w:bodyDiv w:val="1"/>
      <w:marLeft w:val="0"/>
      <w:marRight w:val="0"/>
      <w:marTop w:val="0"/>
      <w:marBottom w:val="0"/>
      <w:divBdr>
        <w:top w:val="none" w:sz="0" w:space="0" w:color="auto"/>
        <w:left w:val="none" w:sz="0" w:space="0" w:color="auto"/>
        <w:bottom w:val="none" w:sz="0" w:space="0" w:color="auto"/>
        <w:right w:val="none" w:sz="0" w:space="0" w:color="auto"/>
      </w:divBdr>
      <w:divsChild>
        <w:div w:id="1278179139">
          <w:marLeft w:val="0"/>
          <w:marRight w:val="0"/>
          <w:marTop w:val="0"/>
          <w:marBottom w:val="0"/>
          <w:divBdr>
            <w:top w:val="none" w:sz="0" w:space="0" w:color="auto"/>
            <w:left w:val="none" w:sz="0" w:space="0" w:color="auto"/>
            <w:bottom w:val="none" w:sz="0" w:space="0" w:color="auto"/>
            <w:right w:val="none" w:sz="0" w:space="0" w:color="auto"/>
          </w:divBdr>
          <w:divsChild>
            <w:div w:id="1899172997">
              <w:marLeft w:val="0"/>
              <w:marRight w:val="0"/>
              <w:marTop w:val="0"/>
              <w:marBottom w:val="0"/>
              <w:divBdr>
                <w:top w:val="none" w:sz="0" w:space="0" w:color="auto"/>
                <w:left w:val="none" w:sz="0" w:space="0" w:color="auto"/>
                <w:bottom w:val="none" w:sz="0" w:space="0" w:color="auto"/>
                <w:right w:val="none" w:sz="0" w:space="0" w:color="auto"/>
              </w:divBdr>
              <w:divsChild>
                <w:div w:id="1201743390">
                  <w:marLeft w:val="0"/>
                  <w:marRight w:val="0"/>
                  <w:marTop w:val="0"/>
                  <w:marBottom w:val="0"/>
                  <w:divBdr>
                    <w:top w:val="none" w:sz="0" w:space="0" w:color="auto"/>
                    <w:left w:val="none" w:sz="0" w:space="0" w:color="auto"/>
                    <w:bottom w:val="none" w:sz="0" w:space="0" w:color="auto"/>
                    <w:right w:val="none" w:sz="0" w:space="0" w:color="auto"/>
                  </w:divBdr>
                  <w:divsChild>
                    <w:div w:id="1822037869">
                      <w:marLeft w:val="0"/>
                      <w:marRight w:val="0"/>
                      <w:marTop w:val="0"/>
                      <w:marBottom w:val="0"/>
                      <w:divBdr>
                        <w:top w:val="none" w:sz="0" w:space="0" w:color="auto"/>
                        <w:left w:val="none" w:sz="0" w:space="0" w:color="auto"/>
                        <w:bottom w:val="none" w:sz="0" w:space="0" w:color="auto"/>
                        <w:right w:val="none" w:sz="0" w:space="0" w:color="auto"/>
                      </w:divBdr>
                      <w:divsChild>
                        <w:div w:id="900404045">
                          <w:marLeft w:val="0"/>
                          <w:marRight w:val="0"/>
                          <w:marTop w:val="0"/>
                          <w:marBottom w:val="0"/>
                          <w:divBdr>
                            <w:top w:val="none" w:sz="0" w:space="0" w:color="auto"/>
                            <w:left w:val="none" w:sz="0" w:space="0" w:color="auto"/>
                            <w:bottom w:val="none" w:sz="0" w:space="0" w:color="auto"/>
                            <w:right w:val="none" w:sz="0" w:space="0" w:color="auto"/>
                          </w:divBdr>
                          <w:divsChild>
                            <w:div w:id="1027104799">
                              <w:marLeft w:val="0"/>
                              <w:marRight w:val="0"/>
                              <w:marTop w:val="0"/>
                              <w:marBottom w:val="0"/>
                              <w:divBdr>
                                <w:top w:val="none" w:sz="0" w:space="0" w:color="auto"/>
                                <w:left w:val="none" w:sz="0" w:space="0" w:color="auto"/>
                                <w:bottom w:val="none" w:sz="0" w:space="0" w:color="auto"/>
                                <w:right w:val="none" w:sz="0" w:space="0" w:color="auto"/>
                              </w:divBdr>
                              <w:divsChild>
                                <w:div w:id="1279028977">
                                  <w:marLeft w:val="0"/>
                                  <w:marRight w:val="0"/>
                                  <w:marTop w:val="0"/>
                                  <w:marBottom w:val="0"/>
                                  <w:divBdr>
                                    <w:top w:val="none" w:sz="0" w:space="0" w:color="auto"/>
                                    <w:left w:val="none" w:sz="0" w:space="0" w:color="auto"/>
                                    <w:bottom w:val="none" w:sz="0" w:space="0" w:color="auto"/>
                                    <w:right w:val="none" w:sz="0" w:space="0" w:color="auto"/>
                                  </w:divBdr>
                                  <w:divsChild>
                                    <w:div w:id="1028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lzp@vzp.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D50F7ACA2F44E90CC9CE0AE42B7B8" ma:contentTypeVersion="10" ma:contentTypeDescription="Create a new document." ma:contentTypeScope="" ma:versionID="fa7f07536b4159e8a1bdf3e0f5280318">
  <xsd:schema xmlns:xsd="http://www.w3.org/2001/XMLSchema" xmlns:xs="http://www.w3.org/2001/XMLSchema" xmlns:p="http://schemas.microsoft.com/office/2006/metadata/properties" xmlns:ns3="44a56295-c29e-4898-8136-a54736c65b82" xmlns:ns4="fb2675c5-932f-4adf-9b30-e5886cba6611" targetNamespace="http://schemas.microsoft.com/office/2006/metadata/properties" ma:root="true" ma:fieldsID="23d0ab66764c0882520a9c977eb18520" ns3:_="" ns4:_="">
    <xsd:import namespace="44a56295-c29e-4898-8136-a54736c65b82"/>
    <xsd:import namespace="fb2675c5-932f-4adf-9b30-e5886cba6611"/>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675c5-932f-4adf-9b30-e5886cba66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ee89e71-04cd-405e-9ca3-99e020c1694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031C-530B-4917-8215-90B483757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fb2675c5-932f-4adf-9b30-e5886cba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489C6-E368-4999-AAD5-F7AF8C87837A}">
  <ds:schemaRefs>
    <ds:schemaRef ds:uri="Microsoft.SharePoint.Taxonomy.ContentTypeSync"/>
  </ds:schemaRefs>
</ds:datastoreItem>
</file>

<file path=customXml/itemProps3.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 ds:uri="44a56295-c29e-4898-8136-a54736c65b82"/>
  </ds:schemaRefs>
</ds:datastoreItem>
</file>

<file path=customXml/itemProps4.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5.xml><?xml version="1.0" encoding="utf-8"?>
<ds:datastoreItem xmlns:ds="http://schemas.openxmlformats.org/officeDocument/2006/customXml" ds:itemID="{233F5336-AFF6-4832-8201-C8D44024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3232</Words>
  <Characters>19071</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VZP ČR</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autor</cp:lastModifiedBy>
  <cp:revision>4</cp:revision>
  <cp:lastPrinted>2016-05-06T11:31:00Z</cp:lastPrinted>
  <dcterms:created xsi:type="dcterms:W3CDTF">2020-03-17T11:49:00Z</dcterms:created>
  <dcterms:modified xsi:type="dcterms:W3CDTF">2020-03-24T14:59:00Z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0x010100DFAD50F7ACA2F44E90CC9CE0AE42B7B8</vt:lpwstr>
  </property>
</Properties>
</file>