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3"/>
        <w:tblW w:w="9751" w:type="dxa"/>
        <w:tblInd w:w="0" w:type="dxa"/>
        <w:tblLayout w:type="fixed"/>
        <w:tblLook w:val="04A0"/>
      </w:tblPr>
      <w:tblGrid>
        <w:gridCol w:w="9751"/>
      </w:tblGrid>
      <w:tr w:rsidR="00526A48">
        <w:trPr>
          <w:cantSplit/>
          <w:trHeight w:val="216"/>
        </w:trPr>
        <w:tc>
          <w:tcPr>
            <w:tcW w:w="9751" w:type="dxa"/>
            <w:vAlign w:val="center"/>
          </w:tcPr>
          <w:p w:rsidR="00526A48" w:rsidRDefault="00FB421F">
            <w:pPr>
              <w:pStyle w:val="a0"/>
              <w:widowControl w:val="0"/>
              <w:suppressAutoHyphens/>
              <w:rPr>
                <w:rStyle w:val="a7"/>
              </w:rPr>
            </w:pPr>
            <w:r>
              <w:rPr>
                <w:noProof/>
              </w:rPr>
              <w:drawing>
                <wp:inline distT="0" distB="0" distL="0" distR="0">
                  <wp:extent cx="6120000" cy="533329"/>
                  <wp:effectExtent l="0" t="0" r="0" b="0"/>
                  <wp:docPr id="1002" name="media/rasterized/r0.png"/>
                  <wp:cNvGraphicFramePr/>
                  <a:graphic xmlns:a="http://schemas.openxmlformats.org/drawingml/2006/main">
                    <a:graphicData uri="http://schemas.openxmlformats.org/drawingml/2006/picture">
                      <pic:pic xmlns:pic="http://schemas.openxmlformats.org/drawingml/2006/picture">
                        <pic:nvPicPr>
                          <pic:cNvPr id="1003" name=""/>
                          <pic:cNvPicPr/>
                        </pic:nvPicPr>
                        <pic:blipFill>
                          <a:blip r:embed="rId6" cstate="print"/>
                          <a:srcRect l="-6852" r="-6845" b="-3536"/>
                          <a:stretch>
                            <a:fillRect/>
                          </a:stretch>
                        </pic:blipFill>
                        <pic:spPr>
                          <a:xfrm>
                            <a:off x="0" y="0"/>
                            <a:ext cx="6120000" cy="533329"/>
                          </a:xfrm>
                          <a:prstGeom prst="rect">
                            <a:avLst/>
                          </a:prstGeom>
                        </pic:spPr>
                      </pic:pic>
                    </a:graphicData>
                  </a:graphic>
                </wp:inline>
              </w:drawing>
            </w:r>
          </w:p>
        </w:tc>
      </w:tr>
      <w:tr w:rsidR="00526A48">
        <w:tc>
          <w:tcPr>
            <w:tcW w:w="9751" w:type="dxa"/>
            <w:vAlign w:val="center"/>
          </w:tcPr>
          <w:tbl>
            <w:tblPr>
              <w:tblStyle w:val="t9"/>
              <w:tblW w:w="10107" w:type="dxa"/>
              <w:tblInd w:w="0" w:type="dxa"/>
              <w:tblLayout w:type="fixed"/>
              <w:tblLook w:val="04A0"/>
            </w:tblPr>
            <w:tblGrid>
              <w:gridCol w:w="975"/>
              <w:gridCol w:w="6582"/>
              <w:gridCol w:w="2550"/>
            </w:tblGrid>
            <w:tr w:rsidR="00526A48">
              <w:tc>
                <w:tcPr>
                  <w:tcW w:w="975" w:type="dxa"/>
                  <w:tcMar>
                    <w:top w:w="20" w:type="dxa"/>
                    <w:left w:w="20" w:type="dxa"/>
                    <w:bottom w:w="20" w:type="dxa"/>
                    <w:right w:w="20" w:type="dxa"/>
                  </w:tcMar>
                  <w:vAlign w:val="center"/>
                </w:tcPr>
                <w:p w:rsidR="00526A48" w:rsidRDefault="00FB421F">
                  <w:pPr>
                    <w:pStyle w:val="a1"/>
                    <w:widowControl w:val="0"/>
                    <w:suppressAutoHyphens/>
                    <w:rPr>
                      <w:rStyle w:val="a9"/>
                    </w:rPr>
                  </w:pPr>
                  <w:r>
                    <w:rPr>
                      <w:noProof/>
                    </w:rPr>
                    <w:drawing>
                      <wp:inline distT="0" distB="0" distL="0" distR="0">
                        <wp:extent cx="485775" cy="657225"/>
                        <wp:effectExtent l="0" t="0" r="0" b="0"/>
                        <wp:docPr id="1004" name="media/i0.png"/>
                        <wp:cNvGraphicFramePr/>
                        <a:graphic xmlns:a="http://schemas.openxmlformats.org/drawingml/2006/main">
                          <a:graphicData uri="http://schemas.openxmlformats.org/drawingml/2006/picture">
                            <pic:pic xmlns:pic="http://schemas.openxmlformats.org/drawingml/2006/picture">
                              <pic:nvPicPr>
                                <pic:cNvPr id="1005" name=""/>
                                <pic:cNvPicPr/>
                              </pic:nvPicPr>
                              <pic:blipFill>
                                <a:blip r:embed="rId7" cstate="print"/>
                                <a:stretch>
                                  <a:fillRect/>
                                </a:stretch>
                              </pic:blipFill>
                              <pic:spPr>
                                <a:xfrm>
                                  <a:off x="0" y="0"/>
                                  <a:ext cx="485775" cy="657225"/>
                                </a:xfrm>
                                <a:prstGeom prst="rect">
                                  <a:avLst/>
                                </a:prstGeom>
                              </pic:spPr>
                            </pic:pic>
                          </a:graphicData>
                        </a:graphic>
                      </wp:inline>
                    </w:drawing>
                  </w:r>
                </w:p>
              </w:tc>
              <w:tc>
                <w:tcPr>
                  <w:tcW w:w="6582" w:type="dxa"/>
                  <w:vAlign w:val="center"/>
                </w:tcPr>
                <w:tbl>
                  <w:tblPr>
                    <w:tblStyle w:val="t9"/>
                    <w:tblW w:w="4050" w:type="dxa"/>
                    <w:tblInd w:w="0" w:type="dxa"/>
                    <w:tblLayout w:type="fixed"/>
                    <w:tblLook w:val="04A0"/>
                  </w:tblPr>
                  <w:tblGrid>
                    <w:gridCol w:w="2250"/>
                    <w:gridCol w:w="1800"/>
                  </w:tblGrid>
                  <w:tr w:rsidR="00526A48">
                    <w:tc>
                      <w:tcPr>
                        <w:tcW w:w="2250" w:type="dxa"/>
                        <w:vAlign w:val="center"/>
                      </w:tcPr>
                      <w:p w:rsidR="00526A48" w:rsidRDefault="00FB421F">
                        <w:pPr>
                          <w:pStyle w:val="a1"/>
                          <w:widowControl w:val="0"/>
                          <w:suppressAutoHyphens/>
                          <w:rPr>
                            <w:rStyle w:val="a9"/>
                          </w:rPr>
                        </w:pPr>
                        <w:r>
                          <w:rPr>
                            <w:rStyle w:val="a9"/>
                          </w:rPr>
                          <w:t>Zákaznické číslo:</w:t>
                        </w:r>
                      </w:p>
                    </w:tc>
                    <w:tc>
                      <w:tcPr>
                        <w:tcW w:w="1800" w:type="dxa"/>
                        <w:vAlign w:val="center"/>
                      </w:tcPr>
                      <w:p w:rsidR="00526A48" w:rsidRDefault="00FB421F">
                        <w:pPr>
                          <w:pStyle w:val="a1"/>
                          <w:widowControl w:val="0"/>
                          <w:suppressAutoHyphens/>
                          <w:rPr>
                            <w:rStyle w:val="aa"/>
                          </w:rPr>
                        </w:pPr>
                        <w:r>
                          <w:rPr>
                            <w:rStyle w:val="aa"/>
                          </w:rPr>
                          <w:t>5150032175</w:t>
                        </w:r>
                      </w:p>
                    </w:tc>
                  </w:tr>
                  <w:tr w:rsidR="00526A48">
                    <w:tc>
                      <w:tcPr>
                        <w:tcW w:w="2250" w:type="dxa"/>
                        <w:vAlign w:val="center"/>
                      </w:tcPr>
                      <w:p w:rsidR="00526A48" w:rsidRDefault="00FB421F">
                        <w:pPr>
                          <w:pStyle w:val="a1"/>
                          <w:widowControl w:val="0"/>
                          <w:suppressAutoHyphens/>
                          <w:rPr>
                            <w:rStyle w:val="a9"/>
                          </w:rPr>
                        </w:pPr>
                        <w:r>
                          <w:rPr>
                            <w:rStyle w:val="a9"/>
                          </w:rPr>
                          <w:t>Číslo smlouvy:</w:t>
                        </w:r>
                      </w:p>
                    </w:tc>
                    <w:tc>
                      <w:tcPr>
                        <w:tcW w:w="1800" w:type="dxa"/>
                        <w:vAlign w:val="center"/>
                      </w:tcPr>
                      <w:p w:rsidR="00526A48" w:rsidRDefault="00FB421F">
                        <w:pPr>
                          <w:pStyle w:val="a1"/>
                          <w:widowControl w:val="0"/>
                          <w:suppressAutoHyphens/>
                          <w:rPr>
                            <w:rStyle w:val="aa"/>
                          </w:rPr>
                        </w:pPr>
                        <w:r>
                          <w:rPr>
                            <w:rStyle w:val="aa"/>
                          </w:rPr>
                          <w:t>9552129486</w:t>
                        </w:r>
                      </w:p>
                    </w:tc>
                  </w:tr>
                  <w:tr w:rsidR="00526A48">
                    <w:tc>
                      <w:tcPr>
                        <w:tcW w:w="2250" w:type="dxa"/>
                        <w:vAlign w:val="center"/>
                      </w:tcPr>
                      <w:p w:rsidR="00526A48" w:rsidRDefault="00FB421F">
                        <w:pPr>
                          <w:pStyle w:val="a1"/>
                          <w:widowControl w:val="0"/>
                          <w:suppressAutoHyphens/>
                          <w:rPr>
                            <w:rStyle w:val="a9"/>
                          </w:rPr>
                        </w:pPr>
                        <w:r>
                          <w:rPr>
                            <w:rStyle w:val="a9"/>
                          </w:rPr>
                          <w:t>Číslo místa spotřeby:</w:t>
                        </w:r>
                      </w:p>
                    </w:tc>
                    <w:tc>
                      <w:tcPr>
                        <w:tcW w:w="1800" w:type="dxa"/>
                        <w:vAlign w:val="center"/>
                      </w:tcPr>
                      <w:p w:rsidR="00526A48" w:rsidRDefault="00FB421F">
                        <w:pPr>
                          <w:pStyle w:val="a1"/>
                          <w:widowControl w:val="0"/>
                          <w:suppressAutoHyphens/>
                          <w:rPr>
                            <w:rStyle w:val="aa"/>
                          </w:rPr>
                        </w:pPr>
                        <w:r>
                          <w:rPr>
                            <w:rStyle w:val="aa"/>
                          </w:rPr>
                          <w:t>3610381540</w:t>
                        </w:r>
                      </w:p>
                    </w:tc>
                  </w:tr>
                </w:tbl>
                <w:p w:rsidR="00526A48" w:rsidRDefault="00526A48">
                  <w:pPr>
                    <w:pStyle w:val="a1"/>
                    <w:widowControl w:val="0"/>
                  </w:pPr>
                </w:p>
              </w:tc>
              <w:tc>
                <w:tcPr>
                  <w:tcW w:w="2550" w:type="dxa"/>
                  <w:tcMar>
                    <w:top w:w="20" w:type="dxa"/>
                    <w:left w:w="20" w:type="dxa"/>
                    <w:bottom w:w="20" w:type="dxa"/>
                    <w:right w:w="20" w:type="dxa"/>
                  </w:tcMar>
                  <w:vAlign w:val="center"/>
                </w:tcPr>
                <w:p w:rsidR="00526A48" w:rsidRDefault="00FB421F">
                  <w:pPr>
                    <w:pStyle w:val="a1"/>
                    <w:widowControl w:val="0"/>
                    <w:suppressAutoHyphens/>
                    <w:rPr>
                      <w:rStyle w:val="a9"/>
                    </w:rPr>
                  </w:pPr>
                  <w:r>
                    <w:rPr>
                      <w:noProof/>
                    </w:rPr>
                    <w:drawing>
                      <wp:inline distT="0" distB="0" distL="0" distR="0">
                        <wp:extent cx="1619250" cy="595586"/>
                        <wp:effectExtent l="0" t="0" r="0" b="0"/>
                        <wp:docPr id="1006" name="media/i1.gif"/>
                        <wp:cNvGraphicFramePr/>
                        <a:graphic xmlns:a="http://schemas.openxmlformats.org/drawingml/2006/main">
                          <a:graphicData uri="http://schemas.openxmlformats.org/drawingml/2006/picture">
                            <pic:pic xmlns:pic="http://schemas.openxmlformats.org/drawingml/2006/picture">
                              <pic:nvPicPr>
                                <pic:cNvPr id="1007" name=""/>
                                <pic:cNvPicPr/>
                              </pic:nvPicPr>
                              <pic:blipFill>
                                <a:blip r:embed="rId8" cstate="print"/>
                                <a:stretch>
                                  <a:fillRect/>
                                </a:stretch>
                              </pic:blipFill>
                              <pic:spPr>
                                <a:xfrm>
                                  <a:off x="0" y="0"/>
                                  <a:ext cx="1619250" cy="595586"/>
                                </a:xfrm>
                                <a:prstGeom prst="rect">
                                  <a:avLst/>
                                </a:prstGeom>
                              </pic:spPr>
                            </pic:pic>
                          </a:graphicData>
                        </a:graphic>
                      </wp:inline>
                    </w:drawing>
                  </w:r>
                </w:p>
              </w:tc>
            </w:tr>
          </w:tbl>
          <w:p w:rsidR="00526A48" w:rsidRDefault="00526A48">
            <w:pPr>
              <w:pStyle w:val="a1"/>
              <w:widowControl w:val="0"/>
              <w:suppressAutoHyphens/>
              <w:rPr>
                <w:rStyle w:val="a9"/>
              </w:rPr>
            </w:pPr>
          </w:p>
        </w:tc>
      </w:tr>
      <w:tr w:rsidR="00526A48">
        <w:tc>
          <w:tcPr>
            <w:tcW w:w="9751" w:type="dxa"/>
            <w:vAlign w:val="center"/>
          </w:tcPr>
          <w:p w:rsidR="00526A48" w:rsidRDefault="00FB421F">
            <w:pPr>
              <w:pStyle w:val="a1"/>
              <w:widowControl w:val="0"/>
              <w:suppressAutoHyphens/>
              <w:rPr>
                <w:rStyle w:val="ac"/>
              </w:rPr>
            </w:pPr>
            <w:r>
              <w:rPr>
                <w:rStyle w:val="ac"/>
              </w:rPr>
              <w:t xml:space="preserve">Smlouva o sdružených službách dodávky plynu </w:t>
            </w:r>
            <w:r>
              <w:br/>
            </w:r>
            <w:r>
              <w:rPr>
                <w:rStyle w:val="ad"/>
              </w:rPr>
              <w:t>(dále jen "Smlouva")</w:t>
            </w:r>
            <w:r>
              <w:br/>
            </w:r>
            <w:r>
              <w:rPr>
                <w:rStyle w:val="a9"/>
              </w:rPr>
              <w:t> </w:t>
            </w:r>
          </w:p>
        </w:tc>
      </w:tr>
      <w:tr w:rsidR="00526A48">
        <w:tc>
          <w:tcPr>
            <w:tcW w:w="9751" w:type="dxa"/>
            <w:vAlign w:val="center"/>
          </w:tcPr>
          <w:p w:rsidR="00526A48" w:rsidRDefault="00FB421F">
            <w:pPr>
              <w:pStyle w:val="a1"/>
              <w:widowControl w:val="0"/>
              <w:suppressAutoHyphens/>
              <w:rPr>
                <w:rStyle w:val="ae"/>
              </w:rPr>
            </w:pPr>
            <w:r>
              <w:rPr>
                <w:rStyle w:val="ae"/>
              </w:rPr>
              <w:t>Dodavatel</w:t>
            </w:r>
          </w:p>
          <w:p w:rsidR="00526A48" w:rsidRDefault="007D52EF">
            <w:pPr>
              <w:pStyle w:val="a4"/>
              <w:widowControl w:val="0"/>
              <w:suppressAutoHyphens/>
              <w:rPr>
                <w:rStyle w:val="a9"/>
              </w:rPr>
            </w:pPr>
            <w:r w:rsidRPr="007D52EF">
              <w:rPr>
                <w:noProof/>
              </w:rPr>
            </w:r>
            <w:r w:rsidRPr="007D52EF">
              <w:rPr>
                <w:noProof/>
              </w:rPr>
              <w:pict>
                <v:line id="Přímá spojnice 1008" o:spid="_x0000_s1039" style="visibility:visible;mso-position-horizontal-relative:char;mso-position-vertical-relative:line" from="0,0" to="487.55pt,.05pt">
                  <v:stroke joinstyle="miter"/>
                  <w10:wrap type="none"/>
                  <w10:anchorlock/>
                </v:line>
              </w:pict>
            </w:r>
          </w:p>
          <w:p w:rsidR="00526A48" w:rsidRDefault="00FB421F">
            <w:pPr>
              <w:pStyle w:val="a5"/>
              <w:widowControl w:val="0"/>
              <w:suppressAutoHyphens/>
              <w:rPr>
                <w:rStyle w:val="aa"/>
              </w:rPr>
            </w:pPr>
            <w:r>
              <w:rPr>
                <w:rStyle w:val="aa"/>
              </w:rPr>
              <w:t>E.ON Energie, a.s.</w:t>
            </w:r>
            <w:r>
              <w:rPr>
                <w:rStyle w:val="a9"/>
              </w:rPr>
              <w:t>, F. A. Gerstnera 2151/6, České Budějovice 7, 370 01 České Budějovice | IČ: 26078201 | DIČ: CZ26078201 | </w:t>
            </w:r>
            <w:r>
              <w:br/>
            </w:r>
            <w:r>
              <w:rPr>
                <w:rStyle w:val="a9"/>
              </w:rPr>
              <w:t>Obchodní rejstřík u Krajského soudu v Českých Budějovicích oddíl B, vložka 1390</w:t>
            </w:r>
            <w:r>
              <w:br/>
            </w:r>
            <w:r>
              <w:rPr>
                <w:rStyle w:val="a9"/>
              </w:rPr>
              <w:t>Číslo účtu/kód banky: 10014-1703621/0100</w:t>
            </w:r>
            <w:r>
              <w:br/>
            </w:r>
            <w:r>
              <w:rPr>
                <w:rStyle w:val="a9"/>
              </w:rPr>
              <w:t xml:space="preserve">Zastoupený na základě plné moci společností </w:t>
            </w:r>
            <w:r>
              <w:rPr>
                <w:rStyle w:val="aa"/>
              </w:rPr>
              <w:t>E.ON Česká republika, s. r. o.</w:t>
            </w:r>
            <w:r>
              <w:rPr>
                <w:rStyle w:val="a9"/>
              </w:rPr>
              <w:t xml:space="preserve"> | IČ: 25733591 | DIČ: CZ25733591</w:t>
            </w:r>
            <w:r>
              <w:br/>
            </w:r>
            <w:r>
              <w:rPr>
                <w:rStyle w:val="a9"/>
              </w:rPr>
              <w:t xml:space="preserve">Kontakt: E.ON Zákaznická linka 800 111 250, businessline@eon.cz, www.eon.cz </w:t>
            </w:r>
          </w:p>
          <w:p w:rsidR="00526A48" w:rsidRDefault="007D52EF">
            <w:pPr>
              <w:pStyle w:val="a4"/>
              <w:widowControl w:val="0"/>
              <w:suppressAutoHyphens/>
              <w:rPr>
                <w:rStyle w:val="a9"/>
              </w:rPr>
            </w:pPr>
            <w:r w:rsidRPr="007D52EF">
              <w:rPr>
                <w:noProof/>
              </w:rPr>
            </w:r>
            <w:r w:rsidRPr="007D52EF">
              <w:rPr>
                <w:noProof/>
              </w:rPr>
              <w:pict>
                <v:line id="Přímá spojnice 1009" o:spid="_x0000_s1038" style="visibility:visible;mso-position-horizontal-relative:char;mso-position-vertical-relative:line" from="0,0" to="487.55pt,.05pt">
                  <v:stroke joinstyle="miter"/>
                  <w10:wrap type="none"/>
                  <w10:anchorlock/>
                </v:line>
              </w:pict>
            </w:r>
          </w:p>
          <w:p w:rsidR="00526A48" w:rsidRDefault="00526A48">
            <w:pPr>
              <w:pStyle w:val="a1"/>
              <w:widowControl w:val="0"/>
              <w:suppressAutoHyphens/>
              <w:rPr>
                <w:rStyle w:val="a9"/>
              </w:rPr>
            </w:pPr>
          </w:p>
        </w:tc>
      </w:tr>
      <w:tr w:rsidR="00526A48">
        <w:tc>
          <w:tcPr>
            <w:tcW w:w="9751" w:type="dxa"/>
            <w:vAlign w:val="center"/>
          </w:tcPr>
          <w:tbl>
            <w:tblPr>
              <w:tblStyle w:val="t9"/>
              <w:tblW w:w="9751" w:type="dxa"/>
              <w:tblInd w:w="0" w:type="dxa"/>
              <w:tblLayout w:type="fixed"/>
              <w:tblLook w:val="04A0"/>
            </w:tblPr>
            <w:tblGrid>
              <w:gridCol w:w="4876"/>
              <w:gridCol w:w="4875"/>
            </w:tblGrid>
            <w:tr w:rsidR="00526A48">
              <w:tc>
                <w:tcPr>
                  <w:tcW w:w="4876" w:type="dxa"/>
                </w:tcPr>
                <w:p w:rsidR="00526A48" w:rsidRDefault="00FB421F">
                  <w:pPr>
                    <w:pStyle w:val="a1"/>
                    <w:widowControl w:val="0"/>
                    <w:suppressAutoHyphens/>
                    <w:rPr>
                      <w:rStyle w:val="ae"/>
                    </w:rPr>
                  </w:pPr>
                  <w:r>
                    <w:rPr>
                      <w:rStyle w:val="ae"/>
                    </w:rPr>
                    <w:t>Zákazník</w:t>
                  </w:r>
                </w:p>
              </w:tc>
              <w:tc>
                <w:tcPr>
                  <w:tcW w:w="4876" w:type="dxa"/>
                </w:tcPr>
                <w:p w:rsidR="00526A48" w:rsidRDefault="00FB421F">
                  <w:pPr>
                    <w:pStyle w:val="a1"/>
                    <w:widowControl w:val="0"/>
                    <w:suppressAutoHyphens/>
                    <w:rPr>
                      <w:rStyle w:val="a9"/>
                    </w:rPr>
                  </w:pPr>
                  <w:r>
                    <w:rPr>
                      <w:rStyle w:val="a9"/>
                    </w:rPr>
                    <w:t xml:space="preserve">Kategorie: </w:t>
                  </w:r>
                  <w:r>
                    <w:rPr>
                      <w:rStyle w:val="aa"/>
                    </w:rPr>
                    <w:t>Podnikatel - právnická osoba</w:t>
                  </w:r>
                </w:p>
              </w:tc>
            </w:tr>
          </w:tbl>
          <w:p w:rsidR="00526A48" w:rsidRDefault="007D52EF">
            <w:pPr>
              <w:pStyle w:val="a4"/>
              <w:widowControl w:val="0"/>
              <w:suppressAutoHyphens/>
              <w:rPr>
                <w:rStyle w:val="a9"/>
              </w:rPr>
            </w:pPr>
            <w:r w:rsidRPr="007D52EF">
              <w:rPr>
                <w:noProof/>
              </w:rPr>
            </w:r>
            <w:r w:rsidRPr="007D52EF">
              <w:rPr>
                <w:noProof/>
              </w:rPr>
              <w:pict>
                <v:line id="Přímá spojnice 1010" o:spid="_x0000_s1037" style="visibility:visible;mso-position-horizontal-relative:char;mso-position-vertical-relative:line" from="0,0" to="487.55pt,.05pt">
                  <v:stroke joinstyle="miter"/>
                  <w10:wrap type="none"/>
                  <w10:anchorlock/>
                </v:line>
              </w:pict>
            </w:r>
          </w:p>
          <w:p w:rsidR="00526A48" w:rsidRDefault="00FB421F">
            <w:pPr>
              <w:pStyle w:val="a5"/>
              <w:widowControl w:val="0"/>
              <w:suppressAutoHyphens/>
              <w:rPr>
                <w:rStyle w:val="a9"/>
              </w:rPr>
            </w:pPr>
            <w:r>
              <w:rPr>
                <w:rStyle w:val="a9"/>
              </w:rPr>
              <w:t xml:space="preserve">Název firmy: </w:t>
            </w:r>
            <w:r>
              <w:rPr>
                <w:rStyle w:val="aa"/>
              </w:rPr>
              <w:t>Služby Boskovice</w:t>
            </w:r>
            <w:r w:rsidR="00527263">
              <w:rPr>
                <w:rStyle w:val="aa"/>
              </w:rPr>
              <w:t xml:space="preserve">, </w:t>
            </w:r>
            <w:r>
              <w:rPr>
                <w:rStyle w:val="aa"/>
              </w:rPr>
              <w:t xml:space="preserve">s.r.o. </w:t>
            </w:r>
          </w:p>
          <w:tbl>
            <w:tblPr>
              <w:tblStyle w:val="t9"/>
              <w:tblW w:w="9751" w:type="dxa"/>
              <w:tblInd w:w="0" w:type="dxa"/>
              <w:tblLayout w:type="fixed"/>
              <w:tblLook w:val="04A0"/>
            </w:tblPr>
            <w:tblGrid>
              <w:gridCol w:w="4876"/>
              <w:gridCol w:w="4875"/>
            </w:tblGrid>
            <w:tr w:rsidR="00526A48">
              <w:tc>
                <w:tcPr>
                  <w:tcW w:w="4876" w:type="dxa"/>
                </w:tcPr>
                <w:p w:rsidR="00526A48" w:rsidRDefault="00FB421F">
                  <w:pPr>
                    <w:pStyle w:val="a1"/>
                    <w:widowControl w:val="0"/>
                    <w:suppressAutoHyphens/>
                    <w:rPr>
                      <w:rStyle w:val="a9"/>
                    </w:rPr>
                  </w:pPr>
                  <w:r>
                    <w:rPr>
                      <w:rStyle w:val="a9"/>
                    </w:rPr>
                    <w:t xml:space="preserve">IČ: </w:t>
                  </w:r>
                  <w:r>
                    <w:rPr>
                      <w:rStyle w:val="aa"/>
                    </w:rPr>
                    <w:t>26944855</w:t>
                  </w:r>
                </w:p>
              </w:tc>
              <w:tc>
                <w:tcPr>
                  <w:tcW w:w="4876" w:type="dxa"/>
                </w:tcPr>
                <w:p w:rsidR="00526A48" w:rsidRDefault="00FB421F">
                  <w:pPr>
                    <w:pStyle w:val="a1"/>
                    <w:widowControl w:val="0"/>
                    <w:suppressAutoHyphens/>
                    <w:rPr>
                      <w:rStyle w:val="a9"/>
                    </w:rPr>
                  </w:pPr>
                  <w:r>
                    <w:rPr>
                      <w:rStyle w:val="a9"/>
                    </w:rPr>
                    <w:t xml:space="preserve">DIČ: </w:t>
                  </w:r>
                  <w:r>
                    <w:rPr>
                      <w:rStyle w:val="aa"/>
                    </w:rPr>
                    <w:t>CZ26944855</w:t>
                  </w:r>
                </w:p>
              </w:tc>
            </w:tr>
          </w:tbl>
          <w:p w:rsidR="00526A48" w:rsidRDefault="00FB421F">
            <w:pPr>
              <w:pStyle w:val="a1"/>
              <w:widowControl w:val="0"/>
              <w:suppressAutoHyphens/>
              <w:rPr>
                <w:rStyle w:val="a9"/>
              </w:rPr>
            </w:pPr>
            <w:r>
              <w:rPr>
                <w:rStyle w:val="a9"/>
              </w:rPr>
              <w:t xml:space="preserve">Společnost je zapsána v OR uvedeném u KS/ v jiné evidenci: </w:t>
            </w:r>
            <w:r>
              <w:rPr>
                <w:rStyle w:val="aa"/>
              </w:rPr>
              <w:t>Obchodní rejstřík u Krajského soudu v Brně oddíl C, vložka 47100</w:t>
            </w:r>
          </w:p>
          <w:p w:rsidR="00526A48" w:rsidRDefault="00FB421F">
            <w:pPr>
              <w:pStyle w:val="a1"/>
              <w:widowControl w:val="0"/>
              <w:suppressAutoHyphens/>
              <w:rPr>
                <w:rStyle w:val="a9"/>
              </w:rPr>
            </w:pPr>
            <w:r>
              <w:rPr>
                <w:rStyle w:val="a9"/>
              </w:rPr>
              <w:t xml:space="preserve">Adresa sídla firmy: </w:t>
            </w:r>
            <w:r>
              <w:rPr>
                <w:rStyle w:val="aa"/>
              </w:rPr>
              <w:t>U Lázní 2063/3, 680 01 Boskovice</w:t>
            </w:r>
          </w:p>
          <w:p w:rsidR="00526A48" w:rsidRDefault="00FB421F">
            <w:pPr>
              <w:pStyle w:val="a1"/>
              <w:widowControl w:val="0"/>
              <w:suppressAutoHyphens/>
              <w:rPr>
                <w:rStyle w:val="a9"/>
              </w:rPr>
            </w:pPr>
            <w:r>
              <w:rPr>
                <w:rStyle w:val="a9"/>
              </w:rPr>
              <w:t xml:space="preserve">Adresa pro doručování: </w:t>
            </w:r>
            <w:r>
              <w:rPr>
                <w:rStyle w:val="aa"/>
              </w:rPr>
              <w:t>U Lázní 2063/3, 680 01 Boskovice</w:t>
            </w:r>
          </w:p>
          <w:tbl>
            <w:tblPr>
              <w:tblStyle w:val="t9"/>
              <w:tblW w:w="9751" w:type="dxa"/>
              <w:tblInd w:w="0" w:type="dxa"/>
              <w:tblLayout w:type="fixed"/>
              <w:tblLook w:val="04A0"/>
            </w:tblPr>
            <w:tblGrid>
              <w:gridCol w:w="4876"/>
              <w:gridCol w:w="4875"/>
            </w:tblGrid>
            <w:tr w:rsidR="00526A48">
              <w:tc>
                <w:tcPr>
                  <w:tcW w:w="4876" w:type="dxa"/>
                </w:tcPr>
                <w:p w:rsidR="00526A48" w:rsidRDefault="00FB421F">
                  <w:pPr>
                    <w:pStyle w:val="a1"/>
                    <w:widowControl w:val="0"/>
                    <w:suppressAutoHyphens/>
                    <w:rPr>
                      <w:rStyle w:val="a9"/>
                    </w:rPr>
                  </w:pPr>
                  <w:r>
                    <w:rPr>
                      <w:rStyle w:val="a9"/>
                    </w:rPr>
                    <w:t xml:space="preserve">E-mail: </w:t>
                  </w:r>
                  <w:r>
                    <w:rPr>
                      <w:rStyle w:val="aa"/>
                    </w:rPr>
                    <w:t>strya.sb@boskovice.cz</w:t>
                  </w:r>
                </w:p>
              </w:tc>
              <w:tc>
                <w:tcPr>
                  <w:tcW w:w="4876" w:type="dxa"/>
                </w:tcPr>
                <w:p w:rsidR="00526A48" w:rsidRDefault="00FB421F">
                  <w:pPr>
                    <w:pStyle w:val="a1"/>
                    <w:widowControl w:val="0"/>
                    <w:suppressAutoHyphens/>
                    <w:rPr>
                      <w:rStyle w:val="a9"/>
                    </w:rPr>
                  </w:pPr>
                  <w:r>
                    <w:rPr>
                      <w:rStyle w:val="a9"/>
                    </w:rPr>
                    <w:t xml:space="preserve">Telefon: </w:t>
                  </w:r>
                  <w:r>
                    <w:rPr>
                      <w:rStyle w:val="aa"/>
                    </w:rPr>
                    <w:t>606 902 523</w:t>
                  </w:r>
                </w:p>
              </w:tc>
            </w:tr>
          </w:tbl>
          <w:p w:rsidR="00526A48" w:rsidRDefault="007D52EF">
            <w:pPr>
              <w:pStyle w:val="a4"/>
              <w:widowControl w:val="0"/>
              <w:suppressAutoHyphens/>
              <w:rPr>
                <w:rStyle w:val="a9"/>
              </w:rPr>
            </w:pPr>
            <w:r w:rsidRPr="007D52EF">
              <w:rPr>
                <w:noProof/>
              </w:rPr>
            </w:r>
            <w:r w:rsidRPr="007D52EF">
              <w:rPr>
                <w:noProof/>
              </w:rPr>
              <w:pict>
                <v:line id="Přímá spojnice 1011" o:spid="_x0000_s1036" style="visibility:visible;mso-position-horizontal-relative:char;mso-position-vertical-relative:line" from="0,0" to="487.55pt,.05pt">
                  <v:stroke joinstyle="miter"/>
                  <w10:wrap type="none"/>
                  <w10:anchorlock/>
                </v:line>
              </w:pict>
            </w:r>
          </w:p>
          <w:p w:rsidR="00526A48" w:rsidRDefault="00526A48">
            <w:pPr>
              <w:pStyle w:val="a1"/>
              <w:widowControl w:val="0"/>
              <w:suppressAutoHyphens/>
              <w:rPr>
                <w:rStyle w:val="a9"/>
              </w:rPr>
            </w:pPr>
          </w:p>
        </w:tc>
      </w:tr>
      <w:tr w:rsidR="00526A48">
        <w:tc>
          <w:tcPr>
            <w:tcW w:w="9751" w:type="dxa"/>
            <w:vAlign w:val="center"/>
          </w:tcPr>
          <w:p w:rsidR="00526A48" w:rsidRDefault="00FB421F">
            <w:pPr>
              <w:pStyle w:val="a1"/>
              <w:widowControl w:val="0"/>
              <w:suppressAutoHyphens/>
              <w:rPr>
                <w:rStyle w:val="af"/>
              </w:rPr>
            </w:pPr>
            <w:r>
              <w:rPr>
                <w:rStyle w:val="af"/>
              </w:rPr>
              <w:t>Předmět a obsah Smlouvy</w:t>
            </w:r>
            <w:r>
              <w:br/>
            </w:r>
            <w:r>
              <w:rPr>
                <w:rStyle w:val="a9"/>
              </w:rPr>
              <w:t>Závazek Dodavatele dodávat Zákazníkovi plyn v maximální úrovni (pásmu) odběru do 630 MWh/rok a zajistit na vlastní jméno, na vlastní účet a v potřebném rozsahu související služby v plynárenství a závazek Zákazníka zaplatit Dodavateli cenu za dodaný plyn a cenu za související služby v plynárenství.</w:t>
            </w:r>
            <w:r>
              <w:br/>
            </w:r>
            <w:r>
              <w:rPr>
                <w:rStyle w:val="a9"/>
              </w:rPr>
              <w:t xml:space="preserve">  </w:t>
            </w:r>
          </w:p>
        </w:tc>
      </w:tr>
      <w:tr w:rsidR="00526A48">
        <w:tc>
          <w:tcPr>
            <w:tcW w:w="9751" w:type="dxa"/>
            <w:vAlign w:val="center"/>
          </w:tcPr>
          <w:p w:rsidR="00526A48" w:rsidRDefault="00FB421F">
            <w:pPr>
              <w:pStyle w:val="a1"/>
              <w:widowControl w:val="0"/>
              <w:suppressAutoHyphens/>
              <w:rPr>
                <w:rStyle w:val="ae"/>
              </w:rPr>
            </w:pPr>
            <w:r>
              <w:rPr>
                <w:rStyle w:val="ae"/>
              </w:rPr>
              <w:t>Odběrné místo</w:t>
            </w:r>
          </w:p>
          <w:p w:rsidR="00526A48" w:rsidRDefault="007D52EF">
            <w:pPr>
              <w:pStyle w:val="a4"/>
              <w:widowControl w:val="0"/>
              <w:suppressAutoHyphens/>
              <w:rPr>
                <w:rStyle w:val="a9"/>
              </w:rPr>
            </w:pPr>
            <w:r w:rsidRPr="007D52EF">
              <w:rPr>
                <w:noProof/>
              </w:rPr>
            </w:r>
            <w:r w:rsidRPr="007D52EF">
              <w:rPr>
                <w:noProof/>
              </w:rPr>
              <w:pict>
                <v:line id="Přímá spojnice 1012" o:spid="_x0000_s1035" style="visibility:visible;mso-position-horizontal-relative:char;mso-position-vertical-relative:line" from="0,0" to="487.55pt,.05pt">
                  <v:stroke joinstyle="miter"/>
                  <w10:wrap type="none"/>
                  <w10:anchorlock/>
                </v:line>
              </w:pict>
            </w:r>
          </w:p>
          <w:p w:rsidR="00526A48" w:rsidRDefault="00FB421F">
            <w:pPr>
              <w:pStyle w:val="a5"/>
              <w:widowControl w:val="0"/>
              <w:suppressAutoHyphens/>
              <w:rPr>
                <w:rStyle w:val="a9"/>
              </w:rPr>
            </w:pPr>
            <w:r>
              <w:rPr>
                <w:rStyle w:val="a9"/>
              </w:rPr>
              <w:t xml:space="preserve">Adresa odběrného místa: </w:t>
            </w:r>
            <w:r>
              <w:rPr>
                <w:rStyle w:val="aa"/>
              </w:rPr>
              <w:t>Boskovice, 680 01 Boskovice</w:t>
            </w:r>
            <w:r>
              <w:br/>
            </w:r>
            <w:r>
              <w:rPr>
                <w:rStyle w:val="a9"/>
              </w:rPr>
              <w:t xml:space="preserve">Kód EIC: </w:t>
            </w:r>
            <w:r>
              <w:rPr>
                <w:rStyle w:val="aa"/>
              </w:rPr>
              <w:t>27ZG600Z00340738</w:t>
            </w:r>
            <w:r>
              <w:br/>
            </w:r>
            <w:r>
              <w:rPr>
                <w:rStyle w:val="a9"/>
              </w:rPr>
              <w:t xml:space="preserve">Předpokládaná roční spotřeba: </w:t>
            </w:r>
            <w:r>
              <w:rPr>
                <w:rStyle w:val="aa"/>
              </w:rPr>
              <w:t>585 MWh</w:t>
            </w:r>
          </w:p>
          <w:p w:rsidR="00526A48" w:rsidRDefault="007D52EF">
            <w:pPr>
              <w:pStyle w:val="a4"/>
              <w:widowControl w:val="0"/>
              <w:suppressAutoHyphens/>
              <w:rPr>
                <w:rStyle w:val="a9"/>
              </w:rPr>
            </w:pPr>
            <w:r w:rsidRPr="007D52EF">
              <w:rPr>
                <w:noProof/>
              </w:rPr>
            </w:r>
            <w:r w:rsidRPr="007D52EF">
              <w:rPr>
                <w:noProof/>
              </w:rPr>
              <w:pict>
                <v:line id="Přímá spojnice 1013" o:spid="_x0000_s1034" style="visibility:visible;mso-position-horizontal-relative:char;mso-position-vertical-relative:line" from="0,0" to="487.55pt,.05pt">
                  <v:stroke joinstyle="miter"/>
                  <w10:wrap type="none"/>
                  <w10:anchorlock/>
                </v:line>
              </w:pict>
            </w:r>
          </w:p>
          <w:p w:rsidR="00526A48" w:rsidRDefault="00526A48">
            <w:pPr>
              <w:pStyle w:val="a1"/>
              <w:widowControl w:val="0"/>
              <w:suppressAutoHyphens/>
              <w:rPr>
                <w:rStyle w:val="a9"/>
              </w:rPr>
            </w:pPr>
          </w:p>
        </w:tc>
      </w:tr>
      <w:tr w:rsidR="00526A48">
        <w:tc>
          <w:tcPr>
            <w:tcW w:w="9751" w:type="dxa"/>
            <w:vAlign w:val="center"/>
          </w:tcPr>
          <w:p w:rsidR="00526A48" w:rsidRDefault="00FB421F">
            <w:pPr>
              <w:pStyle w:val="a1"/>
              <w:widowControl w:val="0"/>
              <w:suppressAutoHyphens/>
              <w:rPr>
                <w:rStyle w:val="ae"/>
              </w:rPr>
            </w:pPr>
            <w:r>
              <w:rPr>
                <w:rStyle w:val="ae"/>
              </w:rPr>
              <w:t>Doba platnosti a účinnosti Smlouvy</w:t>
            </w:r>
            <w:r>
              <w:br/>
            </w:r>
            <w:r>
              <w:rPr>
                <w:rStyle w:val="a9"/>
              </w:rPr>
              <w:t>Tato Smlouva je platná ode dne podpisu oběma smluvními stranami a účinná zahájením dodávky dle této smlouvy, nejdříve však 01.01.2021. Smlouva je uzavřena na dobu určitou do 31.12.2021.</w:t>
            </w:r>
            <w:r>
              <w:br/>
            </w:r>
            <w:r>
              <w:rPr>
                <w:rStyle w:val="a9"/>
              </w:rPr>
              <w:t> </w:t>
            </w:r>
          </w:p>
        </w:tc>
      </w:tr>
      <w:tr w:rsidR="00526A48">
        <w:tc>
          <w:tcPr>
            <w:tcW w:w="9751" w:type="dxa"/>
            <w:vAlign w:val="center"/>
          </w:tcPr>
          <w:p w:rsidR="00526A48" w:rsidRDefault="00FB421F">
            <w:pPr>
              <w:pStyle w:val="a1"/>
              <w:widowControl w:val="0"/>
              <w:suppressAutoHyphens/>
              <w:rPr>
                <w:rStyle w:val="ae"/>
              </w:rPr>
            </w:pPr>
            <w:r>
              <w:rPr>
                <w:rStyle w:val="ae"/>
              </w:rPr>
              <w:t>Produktová řada a cena</w:t>
            </w:r>
            <w:r>
              <w:br/>
            </w:r>
            <w:r>
              <w:rPr>
                <w:rStyle w:val="a9"/>
              </w:rPr>
              <w:t xml:space="preserve">Produktová řada: </w:t>
            </w:r>
            <w:r>
              <w:rPr>
                <w:rStyle w:val="aa"/>
              </w:rPr>
              <w:t>Pro období od 01.01.2021 do 31.12.2021 se sjednává produktová řada SimpleGas a platí individuální cena za dodávku plynu.</w:t>
            </w:r>
            <w:r>
              <w:br/>
            </w:r>
            <w:r>
              <w:rPr>
                <w:rStyle w:val="aa"/>
              </w:rPr>
              <w:t>Pro období od 01.01.2021 do 31.12.2021 platí individuální cena za dodávku plynu ve výši 416 CZK/MWh a 0 CZK za stálý měsíční plat a 0 CZK na 1000 m3 za denní rezervovanou kapacitu..</w:t>
            </w:r>
            <w:r>
              <w:br/>
            </w:r>
            <w:r>
              <w:rPr>
                <w:rStyle w:val="a9"/>
              </w:rPr>
              <w:t> </w:t>
            </w:r>
          </w:p>
        </w:tc>
      </w:tr>
      <w:tr w:rsidR="00526A48">
        <w:tc>
          <w:tcPr>
            <w:tcW w:w="9751" w:type="dxa"/>
            <w:vAlign w:val="center"/>
          </w:tcPr>
          <w:p w:rsidR="00526A48" w:rsidRDefault="00FB421F">
            <w:pPr>
              <w:pStyle w:val="a1"/>
              <w:widowControl w:val="0"/>
              <w:suppressAutoHyphens/>
              <w:rPr>
                <w:rStyle w:val="ae"/>
              </w:rPr>
            </w:pPr>
            <w:r>
              <w:rPr>
                <w:rStyle w:val="ae"/>
              </w:rPr>
              <w:t>Platební podmínky (Způsob úhrady)</w:t>
            </w:r>
          </w:p>
          <w:p w:rsidR="00526A48" w:rsidRDefault="007D52EF">
            <w:pPr>
              <w:pStyle w:val="a4"/>
              <w:widowControl w:val="0"/>
              <w:suppressAutoHyphens/>
              <w:rPr>
                <w:rStyle w:val="a9"/>
              </w:rPr>
            </w:pPr>
            <w:r w:rsidRPr="007D52EF">
              <w:rPr>
                <w:noProof/>
              </w:rPr>
            </w:r>
            <w:r w:rsidRPr="007D52EF">
              <w:rPr>
                <w:noProof/>
              </w:rPr>
              <w:pict>
                <v:line id="Přímá spojnice 1014" o:spid="_x0000_s1033" style="visibility:visible;mso-position-horizontal-relative:char;mso-position-vertical-relative:line" from="0,0" to="487.55pt,.05pt">
                  <v:stroke joinstyle="miter"/>
                  <w10:wrap type="none"/>
                  <w10:anchorlock/>
                </v:line>
              </w:pict>
            </w:r>
          </w:p>
          <w:tbl>
            <w:tblPr>
              <w:tblStyle w:val="t9"/>
              <w:tblW w:w="9751" w:type="dxa"/>
              <w:tblInd w:w="0" w:type="dxa"/>
              <w:tblLayout w:type="fixed"/>
              <w:tblLook w:val="04A0"/>
            </w:tblPr>
            <w:tblGrid>
              <w:gridCol w:w="4876"/>
              <w:gridCol w:w="4875"/>
            </w:tblGrid>
            <w:tr w:rsidR="00526A48">
              <w:tc>
                <w:tcPr>
                  <w:tcW w:w="4876" w:type="dxa"/>
                  <w:tcMar>
                    <w:top w:w="20" w:type="dxa"/>
                    <w:left w:w="20" w:type="dxa"/>
                    <w:bottom w:w="20" w:type="dxa"/>
                    <w:right w:w="20" w:type="dxa"/>
                  </w:tcMar>
                </w:tcPr>
                <w:p w:rsidR="00526A48" w:rsidRDefault="00FB421F">
                  <w:pPr>
                    <w:pStyle w:val="a1"/>
                    <w:widowControl w:val="0"/>
                    <w:suppressAutoHyphens/>
                    <w:rPr>
                      <w:rStyle w:val="a9"/>
                    </w:rPr>
                  </w:pPr>
                  <w:r>
                    <w:rPr>
                      <w:rStyle w:val="a9"/>
                    </w:rPr>
                    <w:t xml:space="preserve">Výše zálohy do nejbližšího zúčtování: </w:t>
                  </w:r>
                  <w:r>
                    <w:rPr>
                      <w:rStyle w:val="aa"/>
                    </w:rPr>
                    <w:t>bez záloh</w:t>
                  </w:r>
                </w:p>
              </w:tc>
              <w:tc>
                <w:tcPr>
                  <w:tcW w:w="4876" w:type="dxa"/>
                  <w:tcMar>
                    <w:top w:w="20" w:type="dxa"/>
                    <w:left w:w="20" w:type="dxa"/>
                    <w:bottom w:w="20" w:type="dxa"/>
                    <w:right w:w="20" w:type="dxa"/>
                  </w:tcMar>
                </w:tcPr>
                <w:p w:rsidR="00526A48" w:rsidRDefault="00FB421F">
                  <w:pPr>
                    <w:pStyle w:val="a1"/>
                    <w:widowControl w:val="0"/>
                    <w:suppressAutoHyphens/>
                    <w:rPr>
                      <w:rStyle w:val="a9"/>
                    </w:rPr>
                  </w:pPr>
                  <w:r>
                    <w:rPr>
                      <w:rStyle w:val="a9"/>
                    </w:rPr>
                    <w:t xml:space="preserve">Zálohové období (cyklus záloh): </w:t>
                  </w:r>
                  <w:r>
                    <w:rPr>
                      <w:rStyle w:val="aa"/>
                    </w:rPr>
                    <w:t>bez záloh</w:t>
                  </w:r>
                </w:p>
              </w:tc>
            </w:tr>
            <w:tr w:rsidR="00526A48">
              <w:tc>
                <w:tcPr>
                  <w:tcW w:w="4876" w:type="dxa"/>
                  <w:tcMar>
                    <w:top w:w="20" w:type="dxa"/>
                    <w:left w:w="20" w:type="dxa"/>
                    <w:bottom w:w="20" w:type="dxa"/>
                    <w:right w:w="20" w:type="dxa"/>
                  </w:tcMar>
                </w:tcPr>
                <w:p w:rsidR="00526A48" w:rsidRDefault="00FB421F">
                  <w:pPr>
                    <w:pStyle w:val="a1"/>
                    <w:widowControl w:val="0"/>
                    <w:suppressAutoHyphens/>
                    <w:rPr>
                      <w:rStyle w:val="a9"/>
                    </w:rPr>
                  </w:pPr>
                  <w:r>
                    <w:rPr>
                      <w:rStyle w:val="a9"/>
                    </w:rPr>
                    <w:lastRenderedPageBreak/>
                    <w:t xml:space="preserve">Způsob úhrady faktury: </w:t>
                  </w:r>
                  <w:r>
                    <w:rPr>
                      <w:rStyle w:val="aa"/>
                    </w:rPr>
                    <w:t>převod z účtu</w:t>
                  </w:r>
                </w:p>
              </w:tc>
              <w:tc>
                <w:tcPr>
                  <w:tcW w:w="4876" w:type="dxa"/>
                  <w:tcMar>
                    <w:top w:w="20" w:type="dxa"/>
                    <w:left w:w="20" w:type="dxa"/>
                    <w:bottom w:w="20" w:type="dxa"/>
                    <w:right w:w="20" w:type="dxa"/>
                  </w:tcMar>
                </w:tcPr>
                <w:p w:rsidR="00526A48" w:rsidRDefault="00FB421F">
                  <w:pPr>
                    <w:pStyle w:val="a1"/>
                    <w:widowControl w:val="0"/>
                    <w:suppressAutoHyphens/>
                    <w:rPr>
                      <w:rStyle w:val="a9"/>
                    </w:rPr>
                  </w:pPr>
                  <w:r>
                    <w:rPr>
                      <w:rStyle w:val="a9"/>
                    </w:rPr>
                    <w:t xml:space="preserve">Způsob úhrady záloh: </w:t>
                  </w:r>
                  <w:r>
                    <w:rPr>
                      <w:rStyle w:val="aa"/>
                    </w:rPr>
                    <w:t>bez záloh</w:t>
                  </w:r>
                </w:p>
              </w:tc>
            </w:tr>
            <w:tr w:rsidR="00526A48">
              <w:tc>
                <w:tcPr>
                  <w:tcW w:w="4876" w:type="dxa"/>
                  <w:tcMar>
                    <w:top w:w="20" w:type="dxa"/>
                    <w:left w:w="20" w:type="dxa"/>
                    <w:bottom w:w="20" w:type="dxa"/>
                    <w:right w:w="20" w:type="dxa"/>
                  </w:tcMar>
                </w:tcPr>
                <w:p w:rsidR="00526A48" w:rsidRDefault="00FB421F">
                  <w:pPr>
                    <w:pStyle w:val="a1"/>
                    <w:widowControl w:val="0"/>
                    <w:suppressAutoHyphens/>
                    <w:rPr>
                      <w:rStyle w:val="a9"/>
                    </w:rPr>
                  </w:pPr>
                  <w:r>
                    <w:rPr>
                      <w:rStyle w:val="a9"/>
                    </w:rPr>
                    <w:t xml:space="preserve">Číslo účtu/kód banky Zákazníka: </w:t>
                  </w:r>
                  <w:r>
                    <w:rPr>
                      <w:rStyle w:val="aa"/>
                    </w:rPr>
                    <w:t>000035-2095650207/0100</w:t>
                  </w:r>
                </w:p>
              </w:tc>
              <w:tc>
                <w:tcPr>
                  <w:tcW w:w="4876" w:type="dxa"/>
                  <w:tcMar>
                    <w:top w:w="20" w:type="dxa"/>
                    <w:left w:w="20" w:type="dxa"/>
                    <w:bottom w:w="20" w:type="dxa"/>
                    <w:right w:w="20" w:type="dxa"/>
                  </w:tcMar>
                </w:tcPr>
                <w:p w:rsidR="00526A48" w:rsidRDefault="00FB421F">
                  <w:pPr>
                    <w:pStyle w:val="a1"/>
                    <w:widowControl w:val="0"/>
                    <w:suppressAutoHyphens/>
                    <w:rPr>
                      <w:rStyle w:val="a9"/>
                    </w:rPr>
                  </w:pPr>
                  <w:r>
                    <w:rPr>
                      <w:rStyle w:val="a9"/>
                    </w:rPr>
                    <w:t xml:space="preserve">Variabilní symbol: </w:t>
                  </w:r>
                  <w:r>
                    <w:rPr>
                      <w:rStyle w:val="aa"/>
                    </w:rPr>
                    <w:t>6400101824</w:t>
                  </w:r>
                </w:p>
              </w:tc>
            </w:tr>
            <w:tr w:rsidR="00526A48">
              <w:tc>
                <w:tcPr>
                  <w:tcW w:w="9751" w:type="dxa"/>
                  <w:gridSpan w:val="2"/>
                  <w:tcMar>
                    <w:top w:w="20" w:type="dxa"/>
                    <w:left w:w="20" w:type="dxa"/>
                    <w:bottom w:w="20" w:type="dxa"/>
                    <w:right w:w="20" w:type="dxa"/>
                  </w:tcMar>
                </w:tcPr>
                <w:p w:rsidR="00526A48" w:rsidRDefault="00FB421F">
                  <w:pPr>
                    <w:pStyle w:val="a1"/>
                    <w:widowControl w:val="0"/>
                    <w:suppressAutoHyphens/>
                    <w:rPr>
                      <w:rStyle w:val="a9"/>
                    </w:rPr>
                  </w:pPr>
                  <w:r>
                    <w:rPr>
                      <w:rStyle w:val="a9"/>
                    </w:rPr>
                    <w:t xml:space="preserve">Způsob zasílání faktur: </w:t>
                  </w:r>
                  <w:r>
                    <w:rPr>
                      <w:rStyle w:val="aa"/>
                    </w:rPr>
                    <w:t xml:space="preserve">elektronická faktura v PDF na email klicova.sb@boskovice.cz </w:t>
                  </w:r>
                </w:p>
              </w:tc>
            </w:tr>
          </w:tbl>
          <w:p w:rsidR="00526A48" w:rsidRDefault="007D52EF">
            <w:pPr>
              <w:pStyle w:val="a4"/>
              <w:widowControl w:val="0"/>
              <w:suppressAutoHyphens/>
              <w:rPr>
                <w:rStyle w:val="a9"/>
              </w:rPr>
            </w:pPr>
            <w:r w:rsidRPr="007D52EF">
              <w:rPr>
                <w:noProof/>
              </w:rPr>
            </w:r>
            <w:r w:rsidRPr="007D52EF">
              <w:rPr>
                <w:noProof/>
              </w:rPr>
              <w:pict>
                <v:line id="Přímá spojnice 1015" o:spid="_x0000_s1032" style="visibility:visible;mso-position-horizontal-relative:char;mso-position-vertical-relative:line" from="0,0" to="487.55pt,.05pt">
                  <v:stroke joinstyle="miter"/>
                  <w10:wrap type="none"/>
                  <w10:anchorlock/>
                </v:line>
              </w:pict>
            </w:r>
          </w:p>
          <w:p w:rsidR="00526A48" w:rsidRDefault="00526A48">
            <w:pPr>
              <w:pStyle w:val="a1"/>
              <w:widowControl w:val="0"/>
              <w:suppressAutoHyphens/>
              <w:rPr>
                <w:rStyle w:val="a9"/>
              </w:rPr>
            </w:pPr>
          </w:p>
        </w:tc>
      </w:tr>
      <w:tr w:rsidR="00526A48">
        <w:tc>
          <w:tcPr>
            <w:tcW w:w="9751" w:type="dxa"/>
            <w:vAlign w:val="center"/>
          </w:tcPr>
          <w:p w:rsidR="000E1D59" w:rsidRDefault="000E1D59">
            <w:pPr>
              <w:pStyle w:val="a1"/>
              <w:widowControl w:val="0"/>
              <w:suppressAutoHyphens/>
              <w:rPr>
                <w:rStyle w:val="ae"/>
              </w:rPr>
            </w:pPr>
          </w:p>
          <w:p w:rsidR="000E1D59" w:rsidRDefault="000E1D59">
            <w:pPr>
              <w:pStyle w:val="a1"/>
              <w:widowControl w:val="0"/>
              <w:suppressAutoHyphens/>
              <w:rPr>
                <w:rStyle w:val="ae"/>
              </w:rPr>
            </w:pPr>
          </w:p>
          <w:p w:rsidR="00526A48" w:rsidRDefault="00FB421F">
            <w:pPr>
              <w:pStyle w:val="a1"/>
              <w:widowControl w:val="0"/>
              <w:suppressAutoHyphens/>
              <w:rPr>
                <w:rStyle w:val="ae"/>
              </w:rPr>
            </w:pPr>
            <w:r>
              <w:rPr>
                <w:rStyle w:val="ae"/>
              </w:rPr>
              <w:t>Zvláštní ujednání</w:t>
            </w:r>
            <w:r>
              <w:br/>
            </w:r>
            <w:r>
              <w:rPr>
                <w:rStyle w:val="a9"/>
              </w:rPr>
              <w:t xml:space="preserve">Změna dodavatele. </w:t>
            </w:r>
          </w:p>
        </w:tc>
      </w:tr>
      <w:tr w:rsidR="00526A48">
        <w:tc>
          <w:tcPr>
            <w:tcW w:w="9751" w:type="dxa"/>
            <w:vAlign w:val="center"/>
          </w:tcPr>
          <w:p w:rsidR="00526A48" w:rsidRDefault="00FB421F">
            <w:pPr>
              <w:pStyle w:val="a1"/>
              <w:widowControl w:val="0"/>
              <w:suppressAutoHyphens/>
              <w:rPr>
                <w:rStyle w:val="a9"/>
              </w:rPr>
            </w:pPr>
            <w:r>
              <w:br/>
            </w:r>
            <w:r>
              <w:rPr>
                <w:rStyle w:val="ae"/>
              </w:rPr>
              <w:t>Podmínky sdružených služeb dodávky plynu</w:t>
            </w:r>
          </w:p>
          <w:tbl>
            <w:tblPr>
              <w:tblStyle w:val="t9"/>
              <w:tblW w:w="9751" w:type="dxa"/>
              <w:tblInd w:w="0" w:type="dxa"/>
              <w:tblLayout w:type="fixed"/>
              <w:tblLook w:val="04A0"/>
            </w:tblPr>
            <w:tblGrid>
              <w:gridCol w:w="300"/>
              <w:gridCol w:w="9451"/>
            </w:tblGrid>
            <w:tr w:rsidR="00526A48">
              <w:tc>
                <w:tcPr>
                  <w:tcW w:w="300" w:type="dxa"/>
                </w:tcPr>
                <w:p w:rsidR="00526A48" w:rsidRDefault="00FB421F">
                  <w:pPr>
                    <w:pStyle w:val="a1"/>
                    <w:widowControl w:val="0"/>
                    <w:suppressAutoHyphens/>
                    <w:rPr>
                      <w:rStyle w:val="a9"/>
                    </w:rPr>
                  </w:pPr>
                  <w:r>
                    <w:rPr>
                      <w:rStyle w:val="a9"/>
                    </w:rPr>
                    <w:t>-</w:t>
                  </w:r>
                </w:p>
              </w:tc>
              <w:tc>
                <w:tcPr>
                  <w:tcW w:w="9451" w:type="dxa"/>
                </w:tcPr>
                <w:p w:rsidR="00526A48" w:rsidRDefault="00FB421F">
                  <w:pPr>
                    <w:pStyle w:val="a1"/>
                    <w:widowControl w:val="0"/>
                    <w:suppressAutoHyphens/>
                    <w:rPr>
                      <w:rStyle w:val="a9"/>
                    </w:rPr>
                  </w:pPr>
                  <w:r>
                    <w:rPr>
                      <w:rStyle w:val="a9"/>
                    </w:rPr>
                    <w:t>Smluvní vztahy se dále řídí Obchodními podmínkami dodávky plynu pro domácnosti a maloodběratele v platném a účinném znění (dále jen "OP"), které jsou součástí této Smlouvy.</w:t>
                  </w:r>
                </w:p>
              </w:tc>
            </w:tr>
            <w:tr w:rsidR="00526A48">
              <w:tc>
                <w:tcPr>
                  <w:tcW w:w="300" w:type="dxa"/>
                </w:tcPr>
                <w:p w:rsidR="00526A48" w:rsidRDefault="00FB421F">
                  <w:pPr>
                    <w:pStyle w:val="a1"/>
                    <w:widowControl w:val="0"/>
                    <w:suppressAutoHyphens/>
                    <w:rPr>
                      <w:rStyle w:val="a9"/>
                    </w:rPr>
                  </w:pPr>
                  <w:r>
                    <w:rPr>
                      <w:rStyle w:val="a9"/>
                    </w:rPr>
                    <w:t>-</w:t>
                  </w:r>
                </w:p>
              </w:tc>
              <w:tc>
                <w:tcPr>
                  <w:tcW w:w="9451" w:type="dxa"/>
                </w:tcPr>
                <w:p w:rsidR="00526A48" w:rsidRDefault="00FB421F">
                  <w:pPr>
                    <w:pStyle w:val="a1"/>
                    <w:widowControl w:val="0"/>
                    <w:suppressAutoHyphens/>
                    <w:rPr>
                      <w:rStyle w:val="a9"/>
                    </w:rPr>
                  </w:pPr>
                  <w:r>
                    <w:rPr>
                      <w:rStyle w:val="a9"/>
                    </w:rPr>
                    <w:t xml:space="preserve">OP účinné od 1. 1. 2016 jsou po celou dobu trvání Smlouvy neměnné. </w:t>
                  </w:r>
                </w:p>
              </w:tc>
            </w:tr>
            <w:tr w:rsidR="00526A48">
              <w:tc>
                <w:tcPr>
                  <w:tcW w:w="300" w:type="dxa"/>
                </w:tcPr>
                <w:p w:rsidR="00526A48" w:rsidRDefault="00FB421F">
                  <w:pPr>
                    <w:pStyle w:val="a1"/>
                    <w:widowControl w:val="0"/>
                    <w:suppressAutoHyphens/>
                    <w:rPr>
                      <w:rStyle w:val="a9"/>
                    </w:rPr>
                  </w:pPr>
                  <w:r>
                    <w:rPr>
                      <w:rStyle w:val="a9"/>
                    </w:rPr>
                    <w:t>-</w:t>
                  </w:r>
                </w:p>
              </w:tc>
              <w:tc>
                <w:tcPr>
                  <w:tcW w:w="9451" w:type="dxa"/>
                </w:tcPr>
                <w:p w:rsidR="00526A48" w:rsidRDefault="00FB421F">
                  <w:pPr>
                    <w:pStyle w:val="a1"/>
                    <w:widowControl w:val="0"/>
                    <w:suppressAutoHyphens/>
                    <w:rPr>
                      <w:rStyle w:val="a9"/>
                    </w:rPr>
                  </w:pPr>
                  <w:r>
                    <w:rPr>
                      <w:rStyle w:val="a9"/>
                    </w:rPr>
                    <w:t>V případě, že Zákazník neplní platební povinnosti a Dodavatel mu prokazatelně zašle písemnou upomínku, je oprávněn  v této souvislosti Zákazníkovi  vyúčtovat smluvní pokutu ve výši 200 Kč. Zákazník se zavazuje uhradit Dodavateli tuto smluvní pokutu.</w:t>
                  </w:r>
                </w:p>
              </w:tc>
            </w:tr>
            <w:tr w:rsidR="00526A48">
              <w:tc>
                <w:tcPr>
                  <w:tcW w:w="300" w:type="dxa"/>
                </w:tcPr>
                <w:p w:rsidR="00526A48" w:rsidRDefault="00FB421F">
                  <w:pPr>
                    <w:pStyle w:val="a1"/>
                    <w:widowControl w:val="0"/>
                    <w:suppressAutoHyphens/>
                    <w:rPr>
                      <w:rStyle w:val="a9"/>
                    </w:rPr>
                  </w:pPr>
                  <w:r>
                    <w:rPr>
                      <w:rStyle w:val="a9"/>
                    </w:rPr>
                    <w:t>-</w:t>
                  </w:r>
                </w:p>
              </w:tc>
              <w:tc>
                <w:tcPr>
                  <w:tcW w:w="9451" w:type="dxa"/>
                </w:tcPr>
                <w:p w:rsidR="00526A48" w:rsidRDefault="00FB421F">
                  <w:pPr>
                    <w:pStyle w:val="a1"/>
                    <w:widowControl w:val="0"/>
                    <w:suppressAutoHyphens/>
                    <w:rPr>
                      <w:rStyle w:val="a9"/>
                    </w:rPr>
                  </w:pPr>
                  <w:r>
                    <w:rPr>
                      <w:rStyle w:val="a9"/>
                    </w:rPr>
                    <w:t>V případě, že Zákazník poruší povinnost dle odst. 2.2 nebo 2.3 OP, zavazuje se zaplatit Dodavateli smluvní pokutu ve výši</w:t>
                  </w:r>
                  <w:r>
                    <w:br/>
                  </w:r>
                  <w:r>
                    <w:rPr>
                      <w:rStyle w:val="a9"/>
                    </w:rPr>
                    <w:t>40 000 Kč.</w:t>
                  </w:r>
                </w:p>
              </w:tc>
            </w:tr>
            <w:tr w:rsidR="00526A48">
              <w:tc>
                <w:tcPr>
                  <w:tcW w:w="300" w:type="dxa"/>
                </w:tcPr>
                <w:p w:rsidR="00526A48" w:rsidRDefault="00FB421F">
                  <w:pPr>
                    <w:pStyle w:val="a1"/>
                    <w:widowControl w:val="0"/>
                    <w:suppressAutoHyphens/>
                    <w:rPr>
                      <w:rStyle w:val="a9"/>
                    </w:rPr>
                  </w:pPr>
                  <w:r>
                    <w:rPr>
                      <w:rStyle w:val="a9"/>
                    </w:rPr>
                    <w:t>-</w:t>
                  </w:r>
                </w:p>
              </w:tc>
              <w:tc>
                <w:tcPr>
                  <w:tcW w:w="9451" w:type="dxa"/>
                </w:tcPr>
                <w:p w:rsidR="00526A48" w:rsidRDefault="00FB421F">
                  <w:pPr>
                    <w:pStyle w:val="a1"/>
                    <w:widowControl w:val="0"/>
                    <w:suppressAutoHyphens/>
                    <w:rPr>
                      <w:rStyle w:val="a9"/>
                    </w:rPr>
                  </w:pPr>
                  <w:r>
                    <w:rPr>
                      <w:rStyle w:val="a9"/>
                    </w:rPr>
                    <w:t>V případě, že při změně dodavatele dojde k situaci uvedené v § 74 odst. 2) zákona č. 458/2000 Sb., v platném znění,  tj. probíhá odběr plynu  v odběrném místě Zákazníka po dobu kratší než 10 pracovních dní bez smluvního subjektu zúčtování evidovaného  pro odběrné místo Zákazníka, smluvní strany se dohodly, že se považuje za zahájení dodávky plynu den,  od kterého nese Dodavatel odpovědnost za odchylku v odběrném  místě Zákazníka, pokud právní předpisy nestanoví jinak.</w:t>
                  </w:r>
                </w:p>
              </w:tc>
            </w:tr>
          </w:tbl>
          <w:p w:rsidR="00526A48" w:rsidRDefault="00FB421F">
            <w:pPr>
              <w:pStyle w:val="a1"/>
              <w:widowControl w:val="0"/>
              <w:suppressAutoHyphens/>
              <w:rPr>
                <w:rStyle w:val="a9"/>
              </w:rPr>
            </w:pPr>
            <w:r>
              <w:rPr>
                <w:rStyle w:val="a9"/>
              </w:rPr>
              <w:t> </w:t>
            </w:r>
          </w:p>
        </w:tc>
      </w:tr>
      <w:tr w:rsidR="00526A48">
        <w:tc>
          <w:tcPr>
            <w:tcW w:w="9751" w:type="dxa"/>
            <w:vAlign w:val="center"/>
          </w:tcPr>
          <w:p w:rsidR="00526A48" w:rsidRDefault="00FB421F">
            <w:pPr>
              <w:pStyle w:val="a1"/>
              <w:widowControl w:val="0"/>
              <w:suppressAutoHyphens/>
              <w:rPr>
                <w:rStyle w:val="ae"/>
              </w:rPr>
            </w:pPr>
            <w:r>
              <w:rPr>
                <w:rStyle w:val="ae"/>
              </w:rPr>
              <w:t>Závěrečná ustanovení</w:t>
            </w:r>
            <w:r>
              <w:br/>
            </w:r>
            <w:r>
              <w:rPr>
                <w:rStyle w:val="a9"/>
              </w:rPr>
              <w:t>Osoba oprávněná jednat za Zákazníka bere na vědomí, že její identifikační a kontaktní údaje bude Dodavatel zpracovávat na základě oprávněného  zájmu pro účely přípravy, uzavření a plnění Smlouvy se zákazníkem, ochrany právních nároků a provozních potřeb. Proti takovému zpracování má  tato osoba právo kdykoliv podat námitku. Osoba oprávněná jednat za Zákazníka právnickou osobu a Zákazník podnikající fyzická osoba se zavazuje  informovat kontaktní osoby o zpracování jejich osobních údajů. Bližší informace o zpracování osobních údajů jednotlivých osob, včetně způsobu  podání námitky, jsou uvedeny na webové stránce www.eon.cz, v sekci Ochrana osobních údajů, v části týkající se jednotlivých produktů.</w:t>
            </w:r>
            <w:r>
              <w:br/>
            </w:r>
            <w:r>
              <w:rPr>
                <w:rStyle w:val="a9"/>
              </w:rPr>
              <w:t>Zákazník podpisem této Smlouvy uděluje souhlas, aby Dodavatel uzavřel s Distributorem Smlouvu, jejímž předmětem bude zajištění služby distribuční  soustavy do výše uvedeného odběrného místa.</w:t>
            </w:r>
            <w:r>
              <w:br/>
            </w:r>
            <w:r>
              <w:rPr>
                <w:rStyle w:val="a9"/>
              </w:rPr>
              <w:t>Smluvní strany se dohodly, že Smlouvu lze uzavřít pouze v listinné podobě. Zákazník prohlašuje, že se s obsahem a významem Smlouvy a OP seznámil v dostatečném předstihu a rozumí jeho obsahu.</w:t>
            </w:r>
            <w:r>
              <w:br/>
            </w:r>
            <w:r>
              <w:rPr>
                <w:rStyle w:val="a9"/>
              </w:rPr>
              <w:t xml:space="preserve">Ujednáním smluvních pokut není dotčen nárok Dodavatele na náhradu majetkové újmy. </w:t>
            </w:r>
          </w:p>
        </w:tc>
      </w:tr>
      <w:tr w:rsidR="00526A48">
        <w:tc>
          <w:tcPr>
            <w:tcW w:w="9751" w:type="dxa"/>
            <w:vAlign w:val="center"/>
          </w:tcPr>
          <w:tbl>
            <w:tblPr>
              <w:tblStyle w:val="t9"/>
              <w:tblW w:w="9751" w:type="dxa"/>
              <w:jc w:val="center"/>
              <w:tblInd w:w="0" w:type="dxa"/>
              <w:tblLayout w:type="fixed"/>
              <w:tblLook w:val="04A0"/>
            </w:tblPr>
            <w:tblGrid>
              <w:gridCol w:w="60"/>
              <w:gridCol w:w="309"/>
              <w:gridCol w:w="9013"/>
              <w:gridCol w:w="309"/>
              <w:gridCol w:w="60"/>
            </w:tblGrid>
            <w:tr w:rsidR="00526A48">
              <w:trPr>
                <w:trHeight w:val="35"/>
                <w:jc w:val="center"/>
              </w:trPr>
              <w:tc>
                <w:tcPr>
                  <w:tcW w:w="23" w:type="dxa"/>
                  <w:tcMar>
                    <w:top w:w="20" w:type="dxa"/>
                    <w:left w:w="20" w:type="dxa"/>
                    <w:bottom w:w="20" w:type="dxa"/>
                    <w:right w:w="20" w:type="dxa"/>
                  </w:tcMar>
                  <w:vAlign w:val="center"/>
                </w:tcPr>
                <w:p w:rsidR="00526A48" w:rsidRDefault="00526A48">
                  <w:pPr>
                    <w:pStyle w:val="a2"/>
                    <w:widowControl w:val="0"/>
                    <w:suppressAutoHyphens/>
                    <w:rPr>
                      <w:rStyle w:val="a9"/>
                    </w:rPr>
                  </w:pPr>
                </w:p>
              </w:tc>
              <w:tc>
                <w:tcPr>
                  <w:tcW w:w="311" w:type="dxa"/>
                  <w:tcBorders>
                    <w:left w:val="single" w:sz="9" w:space="0" w:color="000000"/>
                    <w:bottom w:val="single" w:sz="9" w:space="0" w:color="000000"/>
                  </w:tcBorders>
                  <w:tcMar>
                    <w:top w:w="20" w:type="dxa"/>
                    <w:left w:w="20" w:type="dxa"/>
                    <w:bottom w:w="20" w:type="dxa"/>
                    <w:right w:w="20" w:type="dxa"/>
                  </w:tcMar>
                  <w:vAlign w:val="center"/>
                </w:tcPr>
                <w:p w:rsidR="00526A48" w:rsidRDefault="00526A48">
                  <w:pPr>
                    <w:pStyle w:val="a2"/>
                    <w:widowControl w:val="0"/>
                    <w:suppressAutoHyphens/>
                    <w:rPr>
                      <w:rStyle w:val="a9"/>
                    </w:rPr>
                  </w:pPr>
                </w:p>
              </w:tc>
              <w:tc>
                <w:tcPr>
                  <w:tcW w:w="9076" w:type="dxa"/>
                  <w:tcMar>
                    <w:top w:w="20" w:type="dxa"/>
                    <w:left w:w="20" w:type="dxa"/>
                    <w:bottom w:w="20" w:type="dxa"/>
                    <w:right w:w="20" w:type="dxa"/>
                  </w:tcMar>
                  <w:vAlign w:val="center"/>
                </w:tcPr>
                <w:p w:rsidR="00526A48" w:rsidRDefault="00526A48">
                  <w:pPr>
                    <w:pStyle w:val="a2"/>
                    <w:widowControl w:val="0"/>
                    <w:suppressAutoHyphens/>
                    <w:rPr>
                      <w:rStyle w:val="a9"/>
                    </w:rPr>
                  </w:pPr>
                </w:p>
              </w:tc>
              <w:tc>
                <w:tcPr>
                  <w:tcW w:w="311" w:type="dxa"/>
                  <w:tcBorders>
                    <w:bottom w:val="single" w:sz="9" w:space="0" w:color="000000"/>
                    <w:right w:val="single" w:sz="9" w:space="0" w:color="000000"/>
                  </w:tcBorders>
                  <w:tcMar>
                    <w:top w:w="20" w:type="dxa"/>
                    <w:left w:w="20" w:type="dxa"/>
                    <w:bottom w:w="20" w:type="dxa"/>
                    <w:right w:w="20" w:type="dxa"/>
                  </w:tcMar>
                  <w:vAlign w:val="center"/>
                </w:tcPr>
                <w:p w:rsidR="00526A48" w:rsidRDefault="00526A48">
                  <w:pPr>
                    <w:pStyle w:val="a2"/>
                    <w:widowControl w:val="0"/>
                    <w:suppressAutoHyphens/>
                    <w:rPr>
                      <w:rStyle w:val="a9"/>
                    </w:rPr>
                  </w:pPr>
                </w:p>
              </w:tc>
              <w:tc>
                <w:tcPr>
                  <w:tcW w:w="30" w:type="dxa"/>
                  <w:tcMar>
                    <w:top w:w="20" w:type="dxa"/>
                    <w:left w:w="20" w:type="dxa"/>
                    <w:bottom w:w="20" w:type="dxa"/>
                    <w:right w:w="20" w:type="dxa"/>
                  </w:tcMar>
                  <w:vAlign w:val="center"/>
                </w:tcPr>
                <w:p w:rsidR="00526A48" w:rsidRDefault="00526A48">
                  <w:pPr>
                    <w:pStyle w:val="a2"/>
                    <w:widowControl w:val="0"/>
                    <w:suppressAutoHyphens/>
                    <w:rPr>
                      <w:rStyle w:val="a9"/>
                    </w:rPr>
                  </w:pPr>
                </w:p>
              </w:tc>
            </w:tr>
            <w:tr w:rsidR="00526A48">
              <w:trPr>
                <w:trHeight w:val="35"/>
                <w:jc w:val="center"/>
              </w:trPr>
              <w:tc>
                <w:tcPr>
                  <w:tcW w:w="23" w:type="dxa"/>
                  <w:tcMar>
                    <w:top w:w="20" w:type="dxa"/>
                    <w:left w:w="20" w:type="dxa"/>
                    <w:bottom w:w="20" w:type="dxa"/>
                    <w:right w:w="20" w:type="dxa"/>
                  </w:tcMar>
                  <w:vAlign w:val="center"/>
                </w:tcPr>
                <w:p w:rsidR="00526A48" w:rsidRDefault="00526A48">
                  <w:pPr>
                    <w:pStyle w:val="a2"/>
                    <w:widowControl w:val="0"/>
                    <w:suppressAutoHyphens/>
                    <w:rPr>
                      <w:rStyle w:val="a9"/>
                    </w:rPr>
                  </w:pPr>
                </w:p>
              </w:tc>
              <w:tc>
                <w:tcPr>
                  <w:tcW w:w="311" w:type="dxa"/>
                  <w:tcBorders>
                    <w:left w:val="single" w:sz="9" w:space="0" w:color="000000"/>
                  </w:tcBorders>
                  <w:tcMar>
                    <w:top w:w="20" w:type="dxa"/>
                    <w:left w:w="20" w:type="dxa"/>
                    <w:bottom w:w="20" w:type="dxa"/>
                    <w:right w:w="20" w:type="dxa"/>
                  </w:tcMar>
                  <w:vAlign w:val="center"/>
                </w:tcPr>
                <w:p w:rsidR="00526A48" w:rsidRDefault="00526A48">
                  <w:pPr>
                    <w:pStyle w:val="a2"/>
                    <w:widowControl w:val="0"/>
                    <w:suppressAutoHyphens/>
                    <w:rPr>
                      <w:rStyle w:val="a9"/>
                    </w:rPr>
                  </w:pPr>
                </w:p>
              </w:tc>
              <w:tc>
                <w:tcPr>
                  <w:tcW w:w="9076" w:type="dxa"/>
                  <w:tcMar>
                    <w:top w:w="20" w:type="dxa"/>
                    <w:left w:w="20" w:type="dxa"/>
                    <w:bottom w:w="20" w:type="dxa"/>
                    <w:right w:w="20" w:type="dxa"/>
                  </w:tcMar>
                  <w:vAlign w:val="center"/>
                </w:tcPr>
                <w:p w:rsidR="00526A48" w:rsidRDefault="00526A48">
                  <w:pPr>
                    <w:pStyle w:val="a2"/>
                    <w:widowControl w:val="0"/>
                    <w:suppressAutoHyphens/>
                    <w:rPr>
                      <w:rStyle w:val="a9"/>
                    </w:rPr>
                  </w:pPr>
                </w:p>
              </w:tc>
              <w:tc>
                <w:tcPr>
                  <w:tcW w:w="311" w:type="dxa"/>
                  <w:tcBorders>
                    <w:right w:val="single" w:sz="9" w:space="0" w:color="000000"/>
                  </w:tcBorders>
                  <w:tcMar>
                    <w:top w:w="20" w:type="dxa"/>
                    <w:left w:w="20" w:type="dxa"/>
                    <w:bottom w:w="20" w:type="dxa"/>
                    <w:right w:w="20" w:type="dxa"/>
                  </w:tcMar>
                  <w:vAlign w:val="center"/>
                </w:tcPr>
                <w:p w:rsidR="00526A48" w:rsidRDefault="00526A48">
                  <w:pPr>
                    <w:pStyle w:val="a2"/>
                    <w:widowControl w:val="0"/>
                    <w:suppressAutoHyphens/>
                    <w:rPr>
                      <w:rStyle w:val="a9"/>
                    </w:rPr>
                  </w:pPr>
                </w:p>
              </w:tc>
              <w:tc>
                <w:tcPr>
                  <w:tcW w:w="30" w:type="dxa"/>
                  <w:tcMar>
                    <w:top w:w="20" w:type="dxa"/>
                    <w:left w:w="20" w:type="dxa"/>
                    <w:bottom w:w="20" w:type="dxa"/>
                    <w:right w:w="20" w:type="dxa"/>
                  </w:tcMar>
                  <w:vAlign w:val="center"/>
                </w:tcPr>
                <w:p w:rsidR="00526A48" w:rsidRDefault="00526A48">
                  <w:pPr>
                    <w:pStyle w:val="a2"/>
                    <w:widowControl w:val="0"/>
                    <w:suppressAutoHyphens/>
                    <w:rPr>
                      <w:rStyle w:val="a9"/>
                    </w:rPr>
                  </w:pPr>
                </w:p>
              </w:tc>
            </w:tr>
          </w:tbl>
          <w:p w:rsidR="00526A48" w:rsidRDefault="00526A48">
            <w:pPr>
              <w:pStyle w:val="a1"/>
              <w:widowControl w:val="0"/>
              <w:suppressAutoHyphens/>
              <w:rPr>
                <w:rStyle w:val="a9"/>
              </w:rPr>
            </w:pPr>
          </w:p>
          <w:tbl>
            <w:tblPr>
              <w:tblStyle w:val="t1d"/>
              <w:tblW w:w="9600" w:type="dxa"/>
              <w:tblInd w:w="0" w:type="dxa"/>
              <w:tblLayout w:type="fixed"/>
              <w:tblLook w:val="04A0"/>
            </w:tblPr>
            <w:tblGrid>
              <w:gridCol w:w="1387"/>
              <w:gridCol w:w="1411"/>
              <w:gridCol w:w="1802"/>
              <w:gridCol w:w="400"/>
              <w:gridCol w:w="1387"/>
              <w:gridCol w:w="1411"/>
              <w:gridCol w:w="1802"/>
            </w:tblGrid>
            <w:tr w:rsidR="00526A48">
              <w:tc>
                <w:tcPr>
                  <w:tcW w:w="4600" w:type="dxa"/>
                  <w:gridSpan w:val="3"/>
                  <w:tcMar>
                    <w:top w:w="20" w:type="dxa"/>
                    <w:left w:w="20" w:type="dxa"/>
                    <w:bottom w:w="20" w:type="dxa"/>
                    <w:right w:w="20" w:type="dxa"/>
                  </w:tcMar>
                  <w:vAlign w:val="center"/>
                </w:tcPr>
                <w:p w:rsidR="00526A48" w:rsidRDefault="00FB421F">
                  <w:pPr>
                    <w:pStyle w:val="a1"/>
                    <w:widowControl w:val="0"/>
                    <w:suppressAutoHyphens/>
                    <w:rPr>
                      <w:rStyle w:val="af"/>
                    </w:rPr>
                  </w:pPr>
                  <w:r>
                    <w:rPr>
                      <w:rStyle w:val="af"/>
                    </w:rPr>
                    <w:t>Za E.ON Energie, a.s.</w:t>
                  </w:r>
                </w:p>
                <w:p w:rsidR="00526A48" w:rsidRDefault="007D52EF">
                  <w:pPr>
                    <w:pStyle w:val="a5"/>
                    <w:widowControl w:val="0"/>
                    <w:suppressAutoHyphens/>
                    <w:rPr>
                      <w:rStyle w:val="a9"/>
                    </w:rPr>
                  </w:pPr>
                  <w:r w:rsidRPr="007D52EF">
                    <w:rPr>
                      <w:noProof/>
                    </w:rPr>
                  </w:r>
                  <w:r w:rsidRPr="007D52EF">
                    <w:rPr>
                      <w:noProof/>
                    </w:rPr>
                    <w:pict>
                      <v:line id="Přímá spojnice 1018" o:spid="_x0000_s1031" style="visibility:visible;mso-position-horizontal-relative:char;mso-position-vertical-relative:line" from="0,0" to="225pt,.05pt">
                        <v:stroke joinstyle="miter"/>
                        <w10:wrap type="none"/>
                        <w10:anchorlock/>
                      </v:line>
                    </w:pict>
                  </w:r>
                </w:p>
              </w:tc>
              <w:tc>
                <w:tcPr>
                  <w:tcW w:w="400" w:type="dxa"/>
                  <w:tcMar>
                    <w:top w:w="20" w:type="dxa"/>
                    <w:left w:w="20" w:type="dxa"/>
                    <w:bottom w:w="20" w:type="dxa"/>
                    <w:right w:w="20" w:type="dxa"/>
                  </w:tcMar>
                  <w:vAlign w:val="center"/>
                </w:tcPr>
                <w:p w:rsidR="00526A48" w:rsidRDefault="00FB421F">
                  <w:pPr>
                    <w:pStyle w:val="a1"/>
                    <w:widowControl w:val="0"/>
                    <w:suppressAutoHyphens/>
                    <w:rPr>
                      <w:rStyle w:val="a9"/>
                    </w:rPr>
                  </w:pPr>
                  <w:r>
                    <w:rPr>
                      <w:rStyle w:val="a9"/>
                    </w:rPr>
                    <w:t> </w:t>
                  </w:r>
                </w:p>
              </w:tc>
              <w:tc>
                <w:tcPr>
                  <w:tcW w:w="4600" w:type="dxa"/>
                  <w:gridSpan w:val="3"/>
                  <w:tcMar>
                    <w:top w:w="20" w:type="dxa"/>
                    <w:left w:w="20" w:type="dxa"/>
                    <w:bottom w:w="20" w:type="dxa"/>
                    <w:right w:w="20" w:type="dxa"/>
                  </w:tcMar>
                  <w:vAlign w:val="center"/>
                </w:tcPr>
                <w:p w:rsidR="00526A48" w:rsidRPr="000E1D59" w:rsidRDefault="00FB421F">
                  <w:pPr>
                    <w:pStyle w:val="a1"/>
                    <w:widowControl w:val="0"/>
                    <w:suppressAutoHyphens/>
                    <w:rPr>
                      <w:rStyle w:val="af"/>
                    </w:rPr>
                  </w:pPr>
                  <w:r>
                    <w:rPr>
                      <w:rStyle w:val="af"/>
                    </w:rPr>
                    <w:t xml:space="preserve">Za </w:t>
                  </w:r>
                  <w:r w:rsidR="000E1D59" w:rsidRPr="000E1D59">
                    <w:rPr>
                      <w:rStyle w:val="aa"/>
                      <w:color w:val="FF0000"/>
                    </w:rPr>
                    <w:t>Služby Boskovice,s.r.o.</w:t>
                  </w:r>
                </w:p>
                <w:p w:rsidR="00526A48" w:rsidRDefault="007D52EF">
                  <w:pPr>
                    <w:pStyle w:val="a5"/>
                    <w:widowControl w:val="0"/>
                    <w:suppressAutoHyphens/>
                    <w:rPr>
                      <w:rStyle w:val="a9"/>
                    </w:rPr>
                  </w:pPr>
                  <w:r w:rsidRPr="007D52EF">
                    <w:rPr>
                      <w:noProof/>
                    </w:rPr>
                  </w:r>
                  <w:r w:rsidRPr="007D52EF">
                    <w:rPr>
                      <w:noProof/>
                    </w:rPr>
                    <w:pict>
                      <v:line id="Přímá spojnice 1019" o:spid="_x0000_s1030" style="visibility:visible;mso-position-horizontal-relative:char;mso-position-vertical-relative:line" from="0,0" to="225pt,.05pt">
                        <v:stroke joinstyle="miter"/>
                        <w10:wrap type="none"/>
                        <w10:anchorlock/>
                      </v:line>
                    </w:pict>
                  </w:r>
                </w:p>
              </w:tc>
            </w:tr>
            <w:tr w:rsidR="00526A48">
              <w:tc>
                <w:tcPr>
                  <w:tcW w:w="2800" w:type="dxa"/>
                  <w:gridSpan w:val="2"/>
                  <w:tcMar>
                    <w:top w:w="20" w:type="dxa"/>
                    <w:left w:w="20" w:type="dxa"/>
                    <w:bottom w:w="20" w:type="dxa"/>
                    <w:right w:w="20" w:type="dxa"/>
                  </w:tcMar>
                  <w:vAlign w:val="center"/>
                </w:tcPr>
                <w:p w:rsidR="00526A48" w:rsidRDefault="00FB421F">
                  <w:pPr>
                    <w:pStyle w:val="a1"/>
                    <w:widowControl w:val="0"/>
                    <w:suppressAutoHyphens/>
                    <w:rPr>
                      <w:rStyle w:val="a9"/>
                    </w:rPr>
                  </w:pPr>
                  <w:r>
                    <w:rPr>
                      <w:rStyle w:val="a9"/>
                    </w:rPr>
                    <w:t>Místo:</w:t>
                  </w:r>
                  <w:r w:rsidR="000E1D59">
                    <w:rPr>
                      <w:rStyle w:val="a9"/>
                    </w:rPr>
                    <w:t xml:space="preserve"> Brno</w:t>
                  </w:r>
                </w:p>
              </w:tc>
              <w:tc>
                <w:tcPr>
                  <w:tcW w:w="1800" w:type="dxa"/>
                  <w:tcMar>
                    <w:top w:w="20" w:type="dxa"/>
                    <w:left w:w="20" w:type="dxa"/>
                    <w:bottom w:w="20" w:type="dxa"/>
                    <w:right w:w="20" w:type="dxa"/>
                  </w:tcMar>
                </w:tcPr>
                <w:p w:rsidR="00526A48" w:rsidRDefault="00FB421F">
                  <w:pPr>
                    <w:pStyle w:val="a1"/>
                    <w:widowControl w:val="0"/>
                    <w:suppressAutoHyphens/>
                    <w:rPr>
                      <w:rStyle w:val="a9"/>
                    </w:rPr>
                  </w:pPr>
                  <w:r>
                    <w:rPr>
                      <w:rStyle w:val="a9"/>
                    </w:rPr>
                    <w:t>Dne:</w:t>
                  </w:r>
                  <w:r w:rsidR="000E1D59">
                    <w:rPr>
                      <w:rStyle w:val="a9"/>
                    </w:rPr>
                    <w:t xml:space="preserve"> 05.03.2020</w:t>
                  </w:r>
                </w:p>
              </w:tc>
              <w:tc>
                <w:tcPr>
                  <w:tcW w:w="400" w:type="dxa"/>
                  <w:tcMar>
                    <w:top w:w="20" w:type="dxa"/>
                    <w:left w:w="20" w:type="dxa"/>
                    <w:bottom w:w="20" w:type="dxa"/>
                    <w:right w:w="20" w:type="dxa"/>
                  </w:tcMar>
                  <w:vAlign w:val="center"/>
                </w:tcPr>
                <w:p w:rsidR="00526A48" w:rsidRDefault="00FB421F">
                  <w:pPr>
                    <w:pStyle w:val="a1"/>
                    <w:widowControl w:val="0"/>
                    <w:suppressAutoHyphens/>
                    <w:rPr>
                      <w:rStyle w:val="a9"/>
                    </w:rPr>
                  </w:pPr>
                  <w:r>
                    <w:rPr>
                      <w:rStyle w:val="a9"/>
                    </w:rPr>
                    <w:t> </w:t>
                  </w:r>
                </w:p>
              </w:tc>
              <w:tc>
                <w:tcPr>
                  <w:tcW w:w="2800" w:type="dxa"/>
                  <w:gridSpan w:val="2"/>
                  <w:tcMar>
                    <w:top w:w="20" w:type="dxa"/>
                    <w:left w:w="20" w:type="dxa"/>
                    <w:bottom w:w="20" w:type="dxa"/>
                    <w:right w:w="20" w:type="dxa"/>
                  </w:tcMar>
                  <w:vAlign w:val="center"/>
                </w:tcPr>
                <w:p w:rsidR="00526A48" w:rsidRDefault="00FB421F">
                  <w:pPr>
                    <w:pStyle w:val="a1"/>
                    <w:widowControl w:val="0"/>
                    <w:suppressAutoHyphens/>
                    <w:rPr>
                      <w:rStyle w:val="a9"/>
                    </w:rPr>
                  </w:pPr>
                  <w:r>
                    <w:rPr>
                      <w:rStyle w:val="a9"/>
                    </w:rPr>
                    <w:t>Místo:</w:t>
                  </w:r>
                  <w:r w:rsidR="000E1D59">
                    <w:rPr>
                      <w:rStyle w:val="a9"/>
                    </w:rPr>
                    <w:t xml:space="preserve"> Boskovice</w:t>
                  </w:r>
                </w:p>
              </w:tc>
              <w:tc>
                <w:tcPr>
                  <w:tcW w:w="1800" w:type="dxa"/>
                  <w:tcMar>
                    <w:top w:w="20" w:type="dxa"/>
                    <w:left w:w="20" w:type="dxa"/>
                    <w:bottom w:w="20" w:type="dxa"/>
                    <w:right w:w="20" w:type="dxa"/>
                  </w:tcMar>
                </w:tcPr>
                <w:p w:rsidR="00526A48" w:rsidRDefault="00FB421F">
                  <w:pPr>
                    <w:pStyle w:val="a1"/>
                    <w:widowControl w:val="0"/>
                    <w:suppressAutoHyphens/>
                    <w:rPr>
                      <w:rStyle w:val="a9"/>
                    </w:rPr>
                  </w:pPr>
                  <w:r>
                    <w:rPr>
                      <w:rStyle w:val="a9"/>
                    </w:rPr>
                    <w:t>Dne:</w:t>
                  </w:r>
                  <w:r w:rsidR="006F3BFE">
                    <w:rPr>
                      <w:rStyle w:val="a9"/>
                    </w:rPr>
                    <w:t>24.3.2020</w:t>
                  </w:r>
                </w:p>
              </w:tc>
            </w:tr>
            <w:tr w:rsidR="00526A48">
              <w:tc>
                <w:tcPr>
                  <w:tcW w:w="4600" w:type="dxa"/>
                  <w:gridSpan w:val="3"/>
                  <w:tcMar>
                    <w:top w:w="20" w:type="dxa"/>
                    <w:left w:w="20" w:type="dxa"/>
                    <w:bottom w:w="20" w:type="dxa"/>
                    <w:right w:w="20" w:type="dxa"/>
                  </w:tcMar>
                  <w:vAlign w:val="center"/>
                </w:tcPr>
                <w:p w:rsidR="00526A48" w:rsidRDefault="00FB421F">
                  <w:pPr>
                    <w:pStyle w:val="a1"/>
                    <w:widowControl w:val="0"/>
                    <w:suppressAutoHyphens/>
                    <w:rPr>
                      <w:rStyle w:val="a9"/>
                    </w:rPr>
                  </w:pPr>
                  <w:r>
                    <w:rPr>
                      <w:rStyle w:val="a9"/>
                    </w:rPr>
                    <w:t>Jméno a příjmení:</w:t>
                  </w:r>
                  <w:r w:rsidR="000E1D59">
                    <w:rPr>
                      <w:rStyle w:val="a9"/>
                    </w:rPr>
                    <w:t xml:space="preserve"> Ing. Jakub Bednařík</w:t>
                  </w:r>
                </w:p>
              </w:tc>
              <w:tc>
                <w:tcPr>
                  <w:tcW w:w="400" w:type="dxa"/>
                  <w:tcMar>
                    <w:top w:w="20" w:type="dxa"/>
                    <w:left w:w="20" w:type="dxa"/>
                    <w:bottom w:w="20" w:type="dxa"/>
                    <w:right w:w="20" w:type="dxa"/>
                  </w:tcMar>
                  <w:vAlign w:val="center"/>
                </w:tcPr>
                <w:p w:rsidR="00526A48" w:rsidRDefault="00FB421F">
                  <w:pPr>
                    <w:pStyle w:val="a1"/>
                    <w:widowControl w:val="0"/>
                    <w:suppressAutoHyphens/>
                    <w:rPr>
                      <w:rStyle w:val="a9"/>
                    </w:rPr>
                  </w:pPr>
                  <w:r>
                    <w:rPr>
                      <w:rStyle w:val="a9"/>
                    </w:rPr>
                    <w:t> </w:t>
                  </w:r>
                </w:p>
              </w:tc>
              <w:tc>
                <w:tcPr>
                  <w:tcW w:w="4600" w:type="dxa"/>
                  <w:gridSpan w:val="3"/>
                  <w:tcMar>
                    <w:top w:w="20" w:type="dxa"/>
                    <w:left w:w="20" w:type="dxa"/>
                    <w:bottom w:w="20" w:type="dxa"/>
                    <w:right w:w="20" w:type="dxa"/>
                  </w:tcMar>
                  <w:vAlign w:val="center"/>
                </w:tcPr>
                <w:p w:rsidR="00526A48" w:rsidRPr="00DA1E22" w:rsidRDefault="00FB421F">
                  <w:pPr>
                    <w:pStyle w:val="a1"/>
                    <w:widowControl w:val="0"/>
                    <w:suppressAutoHyphens/>
                    <w:rPr>
                      <w:rStyle w:val="a9"/>
                      <w:color w:val="auto"/>
                    </w:rPr>
                  </w:pPr>
                  <w:r w:rsidRPr="000F71FA">
                    <w:rPr>
                      <w:rStyle w:val="a9"/>
                      <w:color w:val="auto"/>
                    </w:rPr>
                    <w:t>Jméno a příjmení:</w:t>
                  </w:r>
                  <w:r w:rsidR="000F71FA" w:rsidRPr="00DA1E22">
                    <w:rPr>
                      <w:rStyle w:val="a9"/>
                      <w:color w:val="auto"/>
                    </w:rPr>
                    <w:t xml:space="preserve"> Mgr. Milan Strya</w:t>
                  </w:r>
                </w:p>
              </w:tc>
            </w:tr>
            <w:tr w:rsidR="00526A48">
              <w:tc>
                <w:tcPr>
                  <w:tcW w:w="4600" w:type="dxa"/>
                  <w:gridSpan w:val="3"/>
                  <w:tcMar>
                    <w:top w:w="20" w:type="dxa"/>
                    <w:left w:w="20" w:type="dxa"/>
                    <w:bottom w:w="20" w:type="dxa"/>
                    <w:right w:w="20" w:type="dxa"/>
                  </w:tcMar>
                  <w:vAlign w:val="center"/>
                </w:tcPr>
                <w:p w:rsidR="00526A48" w:rsidRDefault="00FB421F">
                  <w:pPr>
                    <w:pStyle w:val="a1"/>
                    <w:widowControl w:val="0"/>
                    <w:suppressAutoHyphens/>
                    <w:rPr>
                      <w:rStyle w:val="a9"/>
                    </w:rPr>
                  </w:pPr>
                  <w:r>
                    <w:rPr>
                      <w:rStyle w:val="a9"/>
                    </w:rPr>
                    <w:t>Funkce:</w:t>
                  </w:r>
                  <w:r w:rsidR="000E1D59">
                    <w:rPr>
                      <w:rStyle w:val="a9"/>
                    </w:rPr>
                    <w:t xml:space="preserve"> Key Account Manager</w:t>
                  </w:r>
                </w:p>
              </w:tc>
              <w:tc>
                <w:tcPr>
                  <w:tcW w:w="400" w:type="dxa"/>
                  <w:tcMar>
                    <w:top w:w="20" w:type="dxa"/>
                    <w:left w:w="20" w:type="dxa"/>
                    <w:bottom w:w="20" w:type="dxa"/>
                    <w:right w:w="20" w:type="dxa"/>
                  </w:tcMar>
                  <w:vAlign w:val="center"/>
                </w:tcPr>
                <w:p w:rsidR="00526A48" w:rsidRDefault="00FB421F">
                  <w:pPr>
                    <w:pStyle w:val="a1"/>
                    <w:widowControl w:val="0"/>
                    <w:suppressAutoHyphens/>
                    <w:rPr>
                      <w:rStyle w:val="a9"/>
                    </w:rPr>
                  </w:pPr>
                  <w:r>
                    <w:rPr>
                      <w:rStyle w:val="a9"/>
                    </w:rPr>
                    <w:t> </w:t>
                  </w:r>
                </w:p>
              </w:tc>
              <w:tc>
                <w:tcPr>
                  <w:tcW w:w="4600" w:type="dxa"/>
                  <w:gridSpan w:val="3"/>
                  <w:tcMar>
                    <w:top w:w="20" w:type="dxa"/>
                    <w:left w:w="20" w:type="dxa"/>
                    <w:bottom w:w="20" w:type="dxa"/>
                    <w:right w:w="20" w:type="dxa"/>
                  </w:tcMar>
                  <w:vAlign w:val="center"/>
                </w:tcPr>
                <w:p w:rsidR="00526A48" w:rsidRPr="00DA1E22" w:rsidRDefault="00FB421F">
                  <w:pPr>
                    <w:pStyle w:val="a1"/>
                    <w:widowControl w:val="0"/>
                    <w:suppressAutoHyphens/>
                    <w:rPr>
                      <w:rStyle w:val="a9"/>
                      <w:color w:val="auto"/>
                    </w:rPr>
                  </w:pPr>
                  <w:r w:rsidRPr="000F71FA">
                    <w:rPr>
                      <w:rStyle w:val="a9"/>
                      <w:color w:val="auto"/>
                    </w:rPr>
                    <w:t>Funkce:</w:t>
                  </w:r>
                  <w:r w:rsidR="000F71FA" w:rsidRPr="00DA1E22">
                    <w:rPr>
                      <w:rStyle w:val="a9"/>
                      <w:color w:val="auto"/>
                    </w:rPr>
                    <w:t xml:space="preserve"> jednatel</w:t>
                  </w:r>
                </w:p>
              </w:tc>
            </w:tr>
            <w:tr w:rsidR="00526A48">
              <w:tc>
                <w:tcPr>
                  <w:tcW w:w="4600" w:type="dxa"/>
                  <w:gridSpan w:val="3"/>
                  <w:tcMar>
                    <w:top w:w="20" w:type="dxa"/>
                    <w:left w:w="20" w:type="dxa"/>
                    <w:bottom w:w="20" w:type="dxa"/>
                    <w:right w:w="20" w:type="dxa"/>
                  </w:tcMar>
                </w:tcPr>
                <w:p w:rsidR="00526A48" w:rsidRDefault="007D52EF">
                  <w:pPr>
                    <w:pStyle w:val="a1"/>
                    <w:widowControl w:val="0"/>
                    <w:suppressAutoHyphens/>
                    <w:rPr>
                      <w:rStyle w:val="a9"/>
                    </w:rPr>
                  </w:pPr>
                  <w:r w:rsidRPr="007D52EF">
                    <w:rPr>
                      <w:noProof/>
                    </w:rPr>
                  </w:r>
                  <w:r w:rsidRPr="007D52EF">
                    <w:rPr>
                      <w:noProof/>
                    </w:rPr>
                    <w:pict>
                      <v:line id="Přímá spojnice 1020" o:spid="_x0000_s1029" style="visibility:visible;mso-position-horizontal-relative:char;mso-position-vertical-relative:line" from="0,0" to="225pt,.05pt">
                        <v:stroke joinstyle="miter"/>
                        <w10:wrap type="none"/>
                        <w10:anchorlock/>
                      </v:line>
                    </w:pict>
                  </w:r>
                </w:p>
              </w:tc>
              <w:tc>
                <w:tcPr>
                  <w:tcW w:w="400" w:type="dxa"/>
                  <w:tcMar>
                    <w:top w:w="20" w:type="dxa"/>
                    <w:left w:w="20" w:type="dxa"/>
                    <w:bottom w:w="20" w:type="dxa"/>
                    <w:right w:w="20" w:type="dxa"/>
                  </w:tcMar>
                  <w:vAlign w:val="center"/>
                </w:tcPr>
                <w:p w:rsidR="00526A48" w:rsidRDefault="00FB421F">
                  <w:pPr>
                    <w:pStyle w:val="a1"/>
                    <w:widowControl w:val="0"/>
                    <w:suppressAutoHyphens/>
                    <w:rPr>
                      <w:rStyle w:val="a9"/>
                    </w:rPr>
                  </w:pPr>
                  <w:r>
                    <w:rPr>
                      <w:rStyle w:val="a9"/>
                    </w:rPr>
                    <w:t> </w:t>
                  </w:r>
                </w:p>
              </w:tc>
              <w:tc>
                <w:tcPr>
                  <w:tcW w:w="4600" w:type="dxa"/>
                  <w:gridSpan w:val="3"/>
                  <w:tcMar>
                    <w:top w:w="20" w:type="dxa"/>
                    <w:left w:w="20" w:type="dxa"/>
                    <w:bottom w:w="20" w:type="dxa"/>
                    <w:right w:w="20" w:type="dxa"/>
                  </w:tcMar>
                </w:tcPr>
                <w:p w:rsidR="00526A48" w:rsidRDefault="007D52EF">
                  <w:pPr>
                    <w:pStyle w:val="a1"/>
                    <w:widowControl w:val="0"/>
                    <w:suppressAutoHyphens/>
                    <w:rPr>
                      <w:rStyle w:val="a9"/>
                    </w:rPr>
                  </w:pPr>
                  <w:r w:rsidRPr="007D52EF">
                    <w:rPr>
                      <w:noProof/>
                    </w:rPr>
                  </w:r>
                  <w:r w:rsidRPr="007D52EF">
                    <w:rPr>
                      <w:noProof/>
                    </w:rPr>
                    <w:pict>
                      <v:line id="Přímá spojnice 1021" o:spid="_x0000_s1028" style="visibility:visible;mso-position-horizontal-relative:char;mso-position-vertical-relative:line" from="0,0" to="225pt,.05pt">
                        <v:stroke joinstyle="miter"/>
                        <w10:wrap type="none"/>
                        <w10:anchorlock/>
                      </v:line>
                    </w:pict>
                  </w:r>
                </w:p>
              </w:tc>
            </w:tr>
            <w:tr w:rsidR="00526A48">
              <w:tc>
                <w:tcPr>
                  <w:tcW w:w="1388" w:type="dxa"/>
                  <w:tcMar>
                    <w:top w:w="20" w:type="dxa"/>
                    <w:left w:w="20" w:type="dxa"/>
                    <w:bottom w:w="20" w:type="dxa"/>
                    <w:right w:w="20" w:type="dxa"/>
                  </w:tcMar>
                  <w:vAlign w:val="center"/>
                </w:tcPr>
                <w:p w:rsidR="00526A48" w:rsidRDefault="00FB421F">
                  <w:pPr>
                    <w:pStyle w:val="a1"/>
                    <w:widowControl w:val="0"/>
                    <w:suppressAutoHyphens/>
                    <w:rPr>
                      <w:rStyle w:val="a9"/>
                    </w:rPr>
                  </w:pPr>
                  <w:r>
                    <w:rPr>
                      <w:rStyle w:val="a9"/>
                    </w:rPr>
                    <w:t>Podpis:</w:t>
                  </w:r>
                </w:p>
              </w:tc>
              <w:tc>
                <w:tcPr>
                  <w:tcW w:w="3215" w:type="dxa"/>
                  <w:gridSpan w:val="2"/>
                  <w:tcMar>
                    <w:top w:w="20" w:type="dxa"/>
                    <w:left w:w="20" w:type="dxa"/>
                    <w:bottom w:w="20" w:type="dxa"/>
                    <w:right w:w="20" w:type="dxa"/>
                  </w:tcMar>
                  <w:vAlign w:val="center"/>
                </w:tcPr>
                <w:p w:rsidR="00526A48" w:rsidRDefault="00FB421F">
                  <w:pPr>
                    <w:pStyle w:val="a1"/>
                    <w:widowControl w:val="0"/>
                    <w:suppressAutoHyphens/>
                    <w:rPr>
                      <w:rStyle w:val="a9"/>
                    </w:rPr>
                  </w:pPr>
                  <w:r>
                    <w:rPr>
                      <w:rStyle w:val="a9"/>
                    </w:rPr>
                    <w:t> </w:t>
                  </w:r>
                </w:p>
              </w:tc>
              <w:tc>
                <w:tcPr>
                  <w:tcW w:w="393" w:type="dxa"/>
                  <w:tcMar>
                    <w:top w:w="20" w:type="dxa"/>
                    <w:left w:w="20" w:type="dxa"/>
                    <w:bottom w:w="20" w:type="dxa"/>
                    <w:right w:w="20" w:type="dxa"/>
                  </w:tcMar>
                  <w:vAlign w:val="center"/>
                </w:tcPr>
                <w:p w:rsidR="00526A48" w:rsidRDefault="00FB421F">
                  <w:pPr>
                    <w:pStyle w:val="a1"/>
                    <w:widowControl w:val="0"/>
                    <w:suppressAutoHyphens/>
                    <w:rPr>
                      <w:rStyle w:val="a9"/>
                    </w:rPr>
                  </w:pPr>
                  <w:r>
                    <w:rPr>
                      <w:rStyle w:val="a9"/>
                    </w:rPr>
                    <w:t> </w:t>
                  </w:r>
                </w:p>
              </w:tc>
              <w:tc>
                <w:tcPr>
                  <w:tcW w:w="1388" w:type="dxa"/>
                  <w:tcMar>
                    <w:top w:w="20" w:type="dxa"/>
                    <w:left w:w="20" w:type="dxa"/>
                    <w:bottom w:w="20" w:type="dxa"/>
                    <w:right w:w="20" w:type="dxa"/>
                  </w:tcMar>
                  <w:vAlign w:val="center"/>
                </w:tcPr>
                <w:p w:rsidR="00526A48" w:rsidRDefault="00FB421F">
                  <w:pPr>
                    <w:pStyle w:val="a1"/>
                    <w:widowControl w:val="0"/>
                    <w:suppressAutoHyphens/>
                    <w:rPr>
                      <w:rStyle w:val="a9"/>
                    </w:rPr>
                  </w:pPr>
                  <w:r>
                    <w:rPr>
                      <w:rStyle w:val="a9"/>
                    </w:rPr>
                    <w:t>Podpis:</w:t>
                  </w:r>
                </w:p>
              </w:tc>
              <w:tc>
                <w:tcPr>
                  <w:tcW w:w="3215" w:type="dxa"/>
                  <w:gridSpan w:val="2"/>
                  <w:tcMar>
                    <w:top w:w="20" w:type="dxa"/>
                    <w:left w:w="20" w:type="dxa"/>
                    <w:bottom w:w="20" w:type="dxa"/>
                    <w:right w:w="20" w:type="dxa"/>
                  </w:tcMar>
                  <w:vAlign w:val="center"/>
                </w:tcPr>
                <w:p w:rsidR="00526A48" w:rsidRDefault="00FB421F">
                  <w:pPr>
                    <w:pStyle w:val="a1"/>
                    <w:widowControl w:val="0"/>
                    <w:suppressAutoHyphens/>
                    <w:rPr>
                      <w:rStyle w:val="a9"/>
                    </w:rPr>
                  </w:pPr>
                  <w:r>
                    <w:rPr>
                      <w:rStyle w:val="a9"/>
                    </w:rPr>
                    <w:t> </w:t>
                  </w:r>
                </w:p>
              </w:tc>
            </w:tr>
            <w:tr w:rsidR="00526A48">
              <w:tc>
                <w:tcPr>
                  <w:tcW w:w="4600" w:type="dxa"/>
                  <w:gridSpan w:val="3"/>
                  <w:tcMar>
                    <w:top w:w="20" w:type="dxa"/>
                    <w:left w:w="20" w:type="dxa"/>
                    <w:bottom w:w="20" w:type="dxa"/>
                    <w:right w:w="20" w:type="dxa"/>
                  </w:tcMar>
                  <w:vAlign w:val="center"/>
                </w:tcPr>
                <w:p w:rsidR="00526A48" w:rsidRDefault="007D52EF">
                  <w:pPr>
                    <w:pStyle w:val="a1"/>
                    <w:widowControl w:val="0"/>
                    <w:suppressAutoHyphens/>
                    <w:rPr>
                      <w:rStyle w:val="a9"/>
                    </w:rPr>
                  </w:pPr>
                  <w:r w:rsidRPr="007D52EF">
                    <w:rPr>
                      <w:noProof/>
                    </w:rPr>
                  </w:r>
                  <w:r w:rsidRPr="007D52EF">
                    <w:rPr>
                      <w:noProof/>
                    </w:rPr>
                    <w:pict>
                      <v:line id="Přímá spojnice 1022" o:spid="_x0000_s1027" style="visibility:visible;mso-position-horizontal-relative:char;mso-position-vertical-relative:line" from="0,0" to="225pt,.05pt" strokecolor="red">
                        <v:stroke joinstyle="miter"/>
                        <w10:wrap type="none"/>
                        <w10:anchorlock/>
                      </v:line>
                    </w:pict>
                  </w:r>
                </w:p>
              </w:tc>
              <w:tc>
                <w:tcPr>
                  <w:tcW w:w="400" w:type="dxa"/>
                  <w:tcMar>
                    <w:top w:w="20" w:type="dxa"/>
                    <w:left w:w="20" w:type="dxa"/>
                    <w:bottom w:w="20" w:type="dxa"/>
                    <w:right w:w="20" w:type="dxa"/>
                  </w:tcMar>
                  <w:vAlign w:val="center"/>
                </w:tcPr>
                <w:p w:rsidR="00526A48" w:rsidRDefault="00FB421F">
                  <w:pPr>
                    <w:pStyle w:val="a1"/>
                    <w:widowControl w:val="0"/>
                    <w:suppressAutoHyphens/>
                    <w:rPr>
                      <w:rStyle w:val="a9"/>
                    </w:rPr>
                  </w:pPr>
                  <w:r>
                    <w:rPr>
                      <w:rStyle w:val="a9"/>
                    </w:rPr>
                    <w:t> </w:t>
                  </w:r>
                </w:p>
              </w:tc>
              <w:tc>
                <w:tcPr>
                  <w:tcW w:w="4600" w:type="dxa"/>
                  <w:gridSpan w:val="3"/>
                  <w:tcMar>
                    <w:top w:w="20" w:type="dxa"/>
                    <w:left w:w="20" w:type="dxa"/>
                    <w:bottom w:w="20" w:type="dxa"/>
                    <w:right w:w="20" w:type="dxa"/>
                  </w:tcMar>
                  <w:vAlign w:val="center"/>
                </w:tcPr>
                <w:p w:rsidR="00526A48" w:rsidRDefault="007D52EF">
                  <w:pPr>
                    <w:pStyle w:val="a1"/>
                    <w:widowControl w:val="0"/>
                    <w:suppressAutoHyphens/>
                    <w:rPr>
                      <w:rStyle w:val="a9"/>
                    </w:rPr>
                  </w:pPr>
                  <w:r w:rsidRPr="007D52EF">
                    <w:rPr>
                      <w:noProof/>
                    </w:rPr>
                  </w:r>
                  <w:r w:rsidRPr="007D52EF">
                    <w:rPr>
                      <w:noProof/>
                    </w:rPr>
                    <w:pict>
                      <v:line id="Přímá spojnice 1023" o:spid="_x0000_s1026" style="visibility:visible;mso-position-horizontal-relative:char;mso-position-vertical-relative:line" from="0,0" to="225pt,.05pt" strokecolor="red">
                        <v:stroke joinstyle="miter"/>
                        <w10:wrap type="none"/>
                        <w10:anchorlock/>
                      </v:line>
                    </w:pict>
                  </w:r>
                </w:p>
              </w:tc>
            </w:tr>
          </w:tbl>
          <w:p w:rsidR="00526A48" w:rsidRDefault="00526A48">
            <w:pPr>
              <w:pStyle w:val="a1"/>
              <w:widowControl w:val="0"/>
            </w:pPr>
          </w:p>
        </w:tc>
      </w:tr>
      <w:tr w:rsidR="00526A48">
        <w:trPr>
          <w:cantSplit/>
          <w:trHeight w:val="216"/>
        </w:trPr>
        <w:tc>
          <w:tcPr>
            <w:tcW w:w="9751" w:type="dxa"/>
            <w:vAlign w:val="center"/>
          </w:tcPr>
          <w:p w:rsidR="00526A48" w:rsidRDefault="00526A48">
            <w:pPr>
              <w:pStyle w:val="a0"/>
              <w:widowControl w:val="0"/>
              <w:suppressAutoHyphens/>
              <w:rPr>
                <w:rStyle w:val="a7"/>
              </w:rPr>
            </w:pPr>
          </w:p>
        </w:tc>
      </w:tr>
    </w:tbl>
    <w:p w:rsidR="00526A48" w:rsidRDefault="00FB421F">
      <w:r>
        <w:br w:type="page"/>
      </w:r>
    </w:p>
    <w:tbl>
      <w:tblPr>
        <w:tblStyle w:val="t3"/>
        <w:tblW w:w="9751" w:type="dxa"/>
        <w:tblInd w:w="0" w:type="dxa"/>
        <w:tblLayout w:type="fixed"/>
        <w:tblLook w:val="04A0"/>
      </w:tblPr>
      <w:tblGrid>
        <w:gridCol w:w="9751"/>
      </w:tblGrid>
      <w:tr w:rsidR="00526A48">
        <w:trPr>
          <w:cantSplit/>
          <w:trHeight w:val="216"/>
        </w:trPr>
        <w:tc>
          <w:tcPr>
            <w:tcW w:w="9751" w:type="dxa"/>
            <w:vAlign w:val="center"/>
          </w:tcPr>
          <w:tbl>
            <w:tblPr>
              <w:tblStyle w:val="t9"/>
              <w:tblW w:w="9751" w:type="dxa"/>
              <w:tblInd w:w="0" w:type="dxa"/>
              <w:tblLayout w:type="fixed"/>
              <w:tblLook w:val="04A0"/>
            </w:tblPr>
            <w:tblGrid>
              <w:gridCol w:w="4876"/>
              <w:gridCol w:w="4875"/>
            </w:tblGrid>
            <w:tr w:rsidR="00526A48">
              <w:tc>
                <w:tcPr>
                  <w:tcW w:w="4876" w:type="dxa"/>
                </w:tcPr>
                <w:p w:rsidR="00526A48" w:rsidRDefault="00FB421F">
                  <w:pPr>
                    <w:pStyle w:val="a1"/>
                    <w:widowControl w:val="0"/>
                    <w:suppressAutoHyphens/>
                    <w:rPr>
                      <w:rStyle w:val="ab"/>
                    </w:rPr>
                  </w:pPr>
                  <w:r>
                    <w:rPr>
                      <w:noProof/>
                    </w:rPr>
                    <w:lastRenderedPageBreak/>
                    <w:drawing>
                      <wp:inline distT="0" distB="0" distL="0" distR="0">
                        <wp:extent cx="485775" cy="657225"/>
                        <wp:effectExtent l="0" t="0" r="0" b="0"/>
                        <wp:docPr id="1024" name="media/i0.png"/>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7" cstate="print"/>
                                <a:stretch>
                                  <a:fillRect/>
                                </a:stretch>
                              </pic:blipFill>
                              <pic:spPr>
                                <a:xfrm>
                                  <a:off x="0" y="0"/>
                                  <a:ext cx="485775" cy="657225"/>
                                </a:xfrm>
                                <a:prstGeom prst="rect">
                                  <a:avLst/>
                                </a:prstGeom>
                              </pic:spPr>
                            </pic:pic>
                          </a:graphicData>
                        </a:graphic>
                      </wp:inline>
                    </w:drawing>
                  </w:r>
                </w:p>
              </w:tc>
              <w:tc>
                <w:tcPr>
                  <w:tcW w:w="4876" w:type="dxa"/>
                </w:tcPr>
                <w:p w:rsidR="00526A48" w:rsidRDefault="00FB421F">
                  <w:pPr>
                    <w:pStyle w:val="a3"/>
                    <w:widowControl w:val="0"/>
                    <w:suppressAutoHyphens/>
                    <w:rPr>
                      <w:rStyle w:val="ab"/>
                    </w:rPr>
                  </w:pPr>
                  <w:r>
                    <w:rPr>
                      <w:noProof/>
                    </w:rPr>
                    <w:drawing>
                      <wp:inline distT="0" distB="0" distL="0" distR="0">
                        <wp:extent cx="1619250" cy="595586"/>
                        <wp:effectExtent l="0" t="0" r="0" b="0"/>
                        <wp:docPr id="1026" name="media/i1.gif"/>
                        <wp:cNvGraphicFramePr/>
                        <a:graphic xmlns:a="http://schemas.openxmlformats.org/drawingml/2006/main">
                          <a:graphicData uri="http://schemas.openxmlformats.org/drawingml/2006/picture">
                            <pic:pic xmlns:pic="http://schemas.openxmlformats.org/drawingml/2006/picture">
                              <pic:nvPicPr>
                                <pic:cNvPr id="1027" name=""/>
                                <pic:cNvPicPr/>
                              </pic:nvPicPr>
                              <pic:blipFill>
                                <a:blip r:embed="rId8" cstate="print"/>
                                <a:stretch>
                                  <a:fillRect/>
                                </a:stretch>
                              </pic:blipFill>
                              <pic:spPr>
                                <a:xfrm>
                                  <a:off x="0" y="0"/>
                                  <a:ext cx="1619250" cy="595586"/>
                                </a:xfrm>
                                <a:prstGeom prst="rect">
                                  <a:avLst/>
                                </a:prstGeom>
                              </pic:spPr>
                            </pic:pic>
                          </a:graphicData>
                        </a:graphic>
                      </wp:inline>
                    </w:drawing>
                  </w:r>
                  <w:r>
                    <w:rPr>
                      <w:rStyle w:val="ab"/>
                    </w:rPr>
                    <w:t xml:space="preserve"> </w:t>
                  </w:r>
                </w:p>
              </w:tc>
            </w:tr>
          </w:tbl>
          <w:p w:rsidR="00526A48" w:rsidRDefault="00FB421F">
            <w:pPr>
              <w:pStyle w:val="a1"/>
              <w:widowControl w:val="0"/>
              <w:suppressAutoHyphens/>
              <w:rPr>
                <w:rStyle w:val="ac"/>
              </w:rPr>
            </w:pPr>
            <w:r>
              <w:rPr>
                <w:rStyle w:val="ac"/>
              </w:rPr>
              <w:t>Obchodní podmínky dodávky plynu pro domácnosti a maloodběratele</w:t>
            </w:r>
            <w:r>
              <w:br/>
            </w:r>
            <w:r>
              <w:rPr>
                <w:rStyle w:val="ac"/>
              </w:rPr>
              <w:t>(dále jen "OP")</w:t>
            </w:r>
          </w:p>
        </w:tc>
      </w:tr>
      <w:tr w:rsidR="00526A48">
        <w:trPr>
          <w:trHeight w:val="216"/>
        </w:trPr>
        <w:tc>
          <w:tcPr>
            <w:tcW w:w="9751" w:type="dxa"/>
            <w:vAlign w:val="center"/>
          </w:tcPr>
          <w:tbl>
            <w:tblPr>
              <w:tblStyle w:val="t9"/>
              <w:tblW w:w="9751" w:type="dxa"/>
              <w:tblInd w:w="0" w:type="dxa"/>
              <w:tblLayout w:type="fixed"/>
              <w:tblLook w:val="04A0"/>
            </w:tblPr>
            <w:tblGrid>
              <w:gridCol w:w="375"/>
              <w:gridCol w:w="9376"/>
            </w:tblGrid>
            <w:tr w:rsidR="00526A48">
              <w:tc>
                <w:tcPr>
                  <w:tcW w:w="375" w:type="dxa"/>
                </w:tcPr>
                <w:p w:rsidR="00526A48" w:rsidRDefault="00FB421F">
                  <w:pPr>
                    <w:pStyle w:val="a1"/>
                    <w:widowControl w:val="0"/>
                    <w:suppressAutoHyphens/>
                    <w:rPr>
                      <w:rStyle w:val="af1"/>
                    </w:rPr>
                  </w:pPr>
                  <w:r>
                    <w:rPr>
                      <w:rStyle w:val="af1"/>
                    </w:rPr>
                    <w:t>1.</w:t>
                  </w:r>
                </w:p>
              </w:tc>
              <w:tc>
                <w:tcPr>
                  <w:tcW w:w="9376" w:type="dxa"/>
                </w:tcPr>
                <w:p w:rsidR="00526A48" w:rsidRDefault="00FB421F">
                  <w:pPr>
                    <w:pStyle w:val="a1"/>
                    <w:widowControl w:val="0"/>
                    <w:suppressAutoHyphens/>
                    <w:rPr>
                      <w:rStyle w:val="af1"/>
                    </w:rPr>
                  </w:pPr>
                  <w:r>
                    <w:rPr>
                      <w:rStyle w:val="af1"/>
                    </w:rPr>
                    <w:t>Obecná ustanovení</w:t>
                  </w:r>
                </w:p>
              </w:tc>
            </w:tr>
            <w:tr w:rsidR="00526A48">
              <w:tc>
                <w:tcPr>
                  <w:tcW w:w="375" w:type="dxa"/>
                </w:tcPr>
                <w:p w:rsidR="00526A48" w:rsidRDefault="00FB421F">
                  <w:pPr>
                    <w:pStyle w:val="a1"/>
                    <w:widowControl w:val="0"/>
                    <w:suppressAutoHyphens/>
                    <w:rPr>
                      <w:rStyle w:val="ab"/>
                    </w:rPr>
                  </w:pPr>
                  <w:r>
                    <w:rPr>
                      <w:rStyle w:val="ab"/>
                    </w:rPr>
                    <w:t>1.1</w:t>
                  </w:r>
                </w:p>
              </w:tc>
              <w:tc>
                <w:tcPr>
                  <w:tcW w:w="9376" w:type="dxa"/>
                </w:tcPr>
                <w:p w:rsidR="00526A48" w:rsidRDefault="00FB421F">
                  <w:pPr>
                    <w:pStyle w:val="a1"/>
                    <w:widowControl w:val="0"/>
                    <w:suppressAutoHyphens/>
                    <w:rPr>
                      <w:rStyle w:val="ab"/>
                    </w:rPr>
                  </w:pPr>
                  <w:r>
                    <w:rPr>
                      <w:rStyle w:val="ab"/>
                    </w:rPr>
                    <w:t xml:space="preserve">Tyto OP upravují další práva a povinnosti založené Smlouvou o dodávce plynu nebo Smlouvou o sdružených službách dodávky plynu (dále jen "Smlouva") uzavřené mezi společností E.ON Energie, a.s., se sídlem F. A. Gerstnera 2151/6, České Budějovice 7, 370 01 České Budějovice, IČ: 26078201, zapsanou v OR vedeném u KS v Českých Budějovicích v oddíle B, vložka 1390 (dále jen "Dodavatel") a zákazníkem (dále jen "Zákazník") uvedeným ve Smlouvě. Pokud se v OP hovoří o Smlouvě, je vždy uvažována jako jeden celek společně s OP, nevylučuje-li to povaha příslušného ustanovení Smlouvy nebo OP. </w:t>
                  </w:r>
                </w:p>
              </w:tc>
            </w:tr>
            <w:tr w:rsidR="00526A48">
              <w:tc>
                <w:tcPr>
                  <w:tcW w:w="375" w:type="dxa"/>
                </w:tcPr>
                <w:p w:rsidR="00526A48" w:rsidRDefault="00FB421F">
                  <w:pPr>
                    <w:pStyle w:val="a1"/>
                    <w:widowControl w:val="0"/>
                    <w:suppressAutoHyphens/>
                    <w:rPr>
                      <w:rStyle w:val="ab"/>
                    </w:rPr>
                  </w:pPr>
                  <w:r>
                    <w:rPr>
                      <w:rStyle w:val="ab"/>
                    </w:rPr>
                    <w:t>1.2</w:t>
                  </w:r>
                </w:p>
              </w:tc>
              <w:tc>
                <w:tcPr>
                  <w:tcW w:w="9376" w:type="dxa"/>
                </w:tcPr>
                <w:p w:rsidR="00526A48" w:rsidRDefault="00FB421F">
                  <w:pPr>
                    <w:pStyle w:val="a1"/>
                    <w:widowControl w:val="0"/>
                    <w:suppressAutoHyphens/>
                    <w:rPr>
                      <w:rStyle w:val="ab"/>
                    </w:rPr>
                  </w:pPr>
                  <w:r>
                    <w:rPr>
                      <w:rStyle w:val="ab"/>
                    </w:rPr>
                    <w:t xml:space="preserve">Smluvní strany se zavazují při plnění Smlouvy postupovat v souladu s platným a účinným zněním Řádu provozovatele distribuční soustavy, ke které je odběrné plynové zařízení Zákazníka připojeno. </w:t>
                  </w:r>
                </w:p>
              </w:tc>
            </w:tr>
          </w:tbl>
          <w:p w:rsidR="00526A48" w:rsidRDefault="00526A48">
            <w:pPr>
              <w:pStyle w:val="a1"/>
              <w:widowControl w:val="0"/>
              <w:suppressAutoHyphens/>
              <w:rPr>
                <w:rStyle w:val="ab"/>
              </w:rPr>
            </w:pPr>
          </w:p>
          <w:tbl>
            <w:tblPr>
              <w:tblStyle w:val="t9"/>
              <w:tblW w:w="9751" w:type="dxa"/>
              <w:tblInd w:w="0" w:type="dxa"/>
              <w:tblLayout w:type="fixed"/>
              <w:tblLook w:val="04A0"/>
            </w:tblPr>
            <w:tblGrid>
              <w:gridCol w:w="375"/>
              <w:gridCol w:w="9376"/>
            </w:tblGrid>
            <w:tr w:rsidR="00526A48">
              <w:tc>
                <w:tcPr>
                  <w:tcW w:w="375" w:type="dxa"/>
                </w:tcPr>
                <w:p w:rsidR="00526A48" w:rsidRDefault="00FB421F">
                  <w:pPr>
                    <w:pStyle w:val="a1"/>
                    <w:widowControl w:val="0"/>
                    <w:suppressAutoHyphens/>
                    <w:rPr>
                      <w:rStyle w:val="af1"/>
                    </w:rPr>
                  </w:pPr>
                  <w:r>
                    <w:rPr>
                      <w:rStyle w:val="af1"/>
                    </w:rPr>
                    <w:t>2.</w:t>
                  </w:r>
                </w:p>
              </w:tc>
              <w:tc>
                <w:tcPr>
                  <w:tcW w:w="9376" w:type="dxa"/>
                </w:tcPr>
                <w:p w:rsidR="00526A48" w:rsidRDefault="00FB421F">
                  <w:pPr>
                    <w:pStyle w:val="a1"/>
                    <w:widowControl w:val="0"/>
                    <w:suppressAutoHyphens/>
                    <w:rPr>
                      <w:rStyle w:val="af1"/>
                    </w:rPr>
                  </w:pPr>
                  <w:r>
                    <w:rPr>
                      <w:rStyle w:val="af1"/>
                    </w:rPr>
                    <w:t>Práva a povinnosti smluvních stran</w:t>
                  </w:r>
                </w:p>
              </w:tc>
            </w:tr>
            <w:tr w:rsidR="00526A48">
              <w:tc>
                <w:tcPr>
                  <w:tcW w:w="375" w:type="dxa"/>
                </w:tcPr>
                <w:p w:rsidR="00526A48" w:rsidRDefault="00FB421F">
                  <w:pPr>
                    <w:pStyle w:val="a1"/>
                    <w:widowControl w:val="0"/>
                    <w:suppressAutoHyphens/>
                    <w:rPr>
                      <w:rStyle w:val="ab"/>
                    </w:rPr>
                  </w:pPr>
                  <w:r>
                    <w:rPr>
                      <w:rStyle w:val="ab"/>
                    </w:rPr>
                    <w:t>2.1</w:t>
                  </w:r>
                </w:p>
              </w:tc>
              <w:tc>
                <w:tcPr>
                  <w:tcW w:w="9376" w:type="dxa"/>
                </w:tcPr>
                <w:p w:rsidR="00526A48" w:rsidRDefault="00FB421F">
                  <w:pPr>
                    <w:pStyle w:val="a1"/>
                    <w:widowControl w:val="0"/>
                    <w:suppressAutoHyphens/>
                    <w:rPr>
                      <w:rStyle w:val="ab"/>
                    </w:rPr>
                  </w:pPr>
                  <w:r>
                    <w:rPr>
                      <w:rStyle w:val="ab"/>
                    </w:rPr>
                    <w:t xml:space="preserve">Dodavatel se zavazuje zahájit dodávku plynu neprodleně po provedení všech úkonů nezbytných k zahájení dodávky, pokud Zákazník splnil všechny podmínky pro její zahájení. </w:t>
                  </w:r>
                </w:p>
              </w:tc>
            </w:tr>
            <w:tr w:rsidR="00526A48">
              <w:tc>
                <w:tcPr>
                  <w:tcW w:w="375" w:type="dxa"/>
                </w:tcPr>
                <w:p w:rsidR="00526A48" w:rsidRDefault="00FB421F">
                  <w:pPr>
                    <w:pStyle w:val="a1"/>
                    <w:widowControl w:val="0"/>
                    <w:suppressAutoHyphens/>
                    <w:rPr>
                      <w:rStyle w:val="ab"/>
                    </w:rPr>
                  </w:pPr>
                  <w:r>
                    <w:rPr>
                      <w:rStyle w:val="ab"/>
                    </w:rPr>
                    <w:t>2.2</w:t>
                  </w:r>
                </w:p>
              </w:tc>
              <w:tc>
                <w:tcPr>
                  <w:tcW w:w="9376" w:type="dxa"/>
                </w:tcPr>
                <w:p w:rsidR="00526A48" w:rsidRDefault="00FB421F">
                  <w:pPr>
                    <w:pStyle w:val="a1"/>
                    <w:widowControl w:val="0"/>
                    <w:suppressAutoHyphens/>
                    <w:rPr>
                      <w:rStyle w:val="ab"/>
                    </w:rPr>
                  </w:pPr>
                  <w:r>
                    <w:rPr>
                      <w:rStyle w:val="ab"/>
                    </w:rPr>
                    <w:t xml:space="preserve">Zákazník se zavazuje s ohledem na převzetí (přechod) odpovědnosti za odchylku Dodavatelem, v období od zahájení dodávky do skončení platnosti Smlouvy, odebírat plyn pouze od Dodavatele. </w:t>
                  </w:r>
                </w:p>
              </w:tc>
            </w:tr>
            <w:tr w:rsidR="00526A48">
              <w:tc>
                <w:tcPr>
                  <w:tcW w:w="375" w:type="dxa"/>
                </w:tcPr>
                <w:p w:rsidR="00526A48" w:rsidRDefault="00FB421F">
                  <w:pPr>
                    <w:pStyle w:val="a1"/>
                    <w:widowControl w:val="0"/>
                    <w:suppressAutoHyphens/>
                    <w:rPr>
                      <w:rStyle w:val="ab"/>
                    </w:rPr>
                  </w:pPr>
                  <w:r>
                    <w:rPr>
                      <w:rStyle w:val="ab"/>
                    </w:rPr>
                    <w:t>2.3</w:t>
                  </w:r>
                </w:p>
              </w:tc>
              <w:tc>
                <w:tcPr>
                  <w:tcW w:w="9376" w:type="dxa"/>
                </w:tcPr>
                <w:p w:rsidR="00526A48" w:rsidRDefault="00FB421F">
                  <w:pPr>
                    <w:pStyle w:val="a1"/>
                    <w:widowControl w:val="0"/>
                    <w:suppressAutoHyphens/>
                    <w:rPr>
                      <w:rStyle w:val="ab"/>
                    </w:rPr>
                  </w:pPr>
                  <w:r>
                    <w:rPr>
                      <w:rStyle w:val="ab"/>
                    </w:rPr>
                    <w:t xml:space="preserve">Zákazník se zavazuje - kromě oprávnění vyplývajících z právních předpisů týkajících se ochrany spotřebitele - neprovádět žádné právní a jiné úkony nebo jednání, které by bránily Dodavateli provést změnu dodavatele k předpokládanému termínu zahájení dodávky, uvedenému ve Smlouvě. </w:t>
                  </w:r>
                </w:p>
              </w:tc>
            </w:tr>
            <w:tr w:rsidR="00526A48">
              <w:tc>
                <w:tcPr>
                  <w:tcW w:w="375" w:type="dxa"/>
                </w:tcPr>
                <w:p w:rsidR="00526A48" w:rsidRDefault="00FB421F">
                  <w:pPr>
                    <w:pStyle w:val="a1"/>
                    <w:widowControl w:val="0"/>
                    <w:suppressAutoHyphens/>
                    <w:rPr>
                      <w:rStyle w:val="ab"/>
                    </w:rPr>
                  </w:pPr>
                  <w:r>
                    <w:rPr>
                      <w:rStyle w:val="ab"/>
                    </w:rPr>
                    <w:t>2.4</w:t>
                  </w:r>
                </w:p>
              </w:tc>
              <w:tc>
                <w:tcPr>
                  <w:tcW w:w="9376" w:type="dxa"/>
                </w:tcPr>
                <w:p w:rsidR="00526A48" w:rsidRDefault="00FB421F">
                  <w:pPr>
                    <w:pStyle w:val="a1"/>
                    <w:widowControl w:val="0"/>
                    <w:suppressAutoHyphens/>
                    <w:rPr>
                      <w:rStyle w:val="ab"/>
                    </w:rPr>
                  </w:pPr>
                  <w:r>
                    <w:rPr>
                      <w:rStyle w:val="ab"/>
                    </w:rPr>
                    <w:t xml:space="preserve">Jestliže Zákazník požaduje dodávku plynu osvobozeného od daně ze zemního plynu,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ze zemního plynu. Jestliže Zákazník hodlá nabýt plyn osvobozený od daně v případech, kdy jej lze takto nabýt pouze na základě povolení k nabytí plynu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 </w:t>
                  </w:r>
                </w:p>
              </w:tc>
            </w:tr>
          </w:tbl>
          <w:p w:rsidR="00526A48" w:rsidRDefault="00526A48">
            <w:pPr>
              <w:pStyle w:val="a1"/>
              <w:widowControl w:val="0"/>
              <w:suppressAutoHyphens/>
              <w:rPr>
                <w:rStyle w:val="ab"/>
              </w:rPr>
            </w:pPr>
          </w:p>
          <w:tbl>
            <w:tblPr>
              <w:tblStyle w:val="t9"/>
              <w:tblW w:w="9751" w:type="dxa"/>
              <w:tblInd w:w="0" w:type="dxa"/>
              <w:tblLayout w:type="fixed"/>
              <w:tblLook w:val="04A0"/>
            </w:tblPr>
            <w:tblGrid>
              <w:gridCol w:w="375"/>
              <w:gridCol w:w="9376"/>
            </w:tblGrid>
            <w:tr w:rsidR="00526A48">
              <w:tc>
                <w:tcPr>
                  <w:tcW w:w="375" w:type="dxa"/>
                </w:tcPr>
                <w:p w:rsidR="00526A48" w:rsidRDefault="00FB421F">
                  <w:pPr>
                    <w:pStyle w:val="a1"/>
                    <w:widowControl w:val="0"/>
                    <w:suppressAutoHyphens/>
                    <w:rPr>
                      <w:rStyle w:val="af1"/>
                    </w:rPr>
                  </w:pPr>
                  <w:r>
                    <w:rPr>
                      <w:rStyle w:val="af1"/>
                    </w:rPr>
                    <w:t>3.</w:t>
                  </w:r>
                </w:p>
              </w:tc>
              <w:tc>
                <w:tcPr>
                  <w:tcW w:w="9376" w:type="dxa"/>
                </w:tcPr>
                <w:p w:rsidR="00526A48" w:rsidRDefault="00FB421F">
                  <w:pPr>
                    <w:pStyle w:val="a1"/>
                    <w:widowControl w:val="0"/>
                    <w:suppressAutoHyphens/>
                    <w:rPr>
                      <w:rStyle w:val="af1"/>
                    </w:rPr>
                  </w:pPr>
                  <w:r>
                    <w:rPr>
                      <w:rStyle w:val="af1"/>
                    </w:rPr>
                    <w:t>Měření a provádění odečtů</w:t>
                  </w:r>
                </w:p>
              </w:tc>
            </w:tr>
            <w:tr w:rsidR="00526A48">
              <w:tc>
                <w:tcPr>
                  <w:tcW w:w="375" w:type="dxa"/>
                </w:tcPr>
                <w:p w:rsidR="00526A48" w:rsidRDefault="00FB421F">
                  <w:pPr>
                    <w:pStyle w:val="a1"/>
                    <w:widowControl w:val="0"/>
                    <w:suppressAutoHyphens/>
                    <w:rPr>
                      <w:rStyle w:val="ab"/>
                    </w:rPr>
                  </w:pPr>
                  <w:r>
                    <w:rPr>
                      <w:rStyle w:val="ab"/>
                    </w:rPr>
                    <w:t>3.1</w:t>
                  </w:r>
                </w:p>
              </w:tc>
              <w:tc>
                <w:tcPr>
                  <w:tcW w:w="9376" w:type="dxa"/>
                </w:tcPr>
                <w:p w:rsidR="00526A48" w:rsidRDefault="00FB421F">
                  <w:pPr>
                    <w:pStyle w:val="a1"/>
                    <w:widowControl w:val="0"/>
                    <w:suppressAutoHyphens/>
                    <w:rPr>
                      <w:rStyle w:val="ab"/>
                    </w:rPr>
                  </w:pPr>
                  <w:r>
                    <w:rPr>
                      <w:rStyle w:val="ab"/>
                    </w:rPr>
                    <w:t xml:space="preserve">Pro určení výše odběru plynu se použijí údaje poskytnuté provozovatelem distribuční soustavy (dále jen "PDS"). V případě, že tyto údaje nejsou k dispozici, množství odebraného plynu určí Dodavatel způsobem stanoveným právními předpisy. Měření odběru plynu je prováděno měřicím zařízením ve vlastnictví PDS, který zodpovídá za správnost naměřených údajů. V případě pochybností o správnosti měření bude vždy za správný považován ten údaj, který potvrdí PDS. </w:t>
                  </w:r>
                </w:p>
              </w:tc>
            </w:tr>
            <w:tr w:rsidR="00526A48">
              <w:tc>
                <w:tcPr>
                  <w:tcW w:w="375" w:type="dxa"/>
                </w:tcPr>
                <w:p w:rsidR="00526A48" w:rsidRDefault="00FB421F">
                  <w:pPr>
                    <w:pStyle w:val="a1"/>
                    <w:widowControl w:val="0"/>
                    <w:suppressAutoHyphens/>
                    <w:rPr>
                      <w:rStyle w:val="ab"/>
                    </w:rPr>
                  </w:pPr>
                  <w:r>
                    <w:rPr>
                      <w:rStyle w:val="ab"/>
                    </w:rPr>
                    <w:t>3.2</w:t>
                  </w:r>
                </w:p>
              </w:tc>
              <w:tc>
                <w:tcPr>
                  <w:tcW w:w="9376" w:type="dxa"/>
                </w:tcPr>
                <w:p w:rsidR="00526A48" w:rsidRDefault="00FB421F">
                  <w:pPr>
                    <w:pStyle w:val="a1"/>
                    <w:widowControl w:val="0"/>
                    <w:suppressAutoHyphens/>
                    <w:rPr>
                      <w:rStyle w:val="ab"/>
                    </w:rPr>
                  </w:pPr>
                  <w:r>
                    <w:rPr>
                      <w:rStyle w:val="ab"/>
                    </w:rPr>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souvislosti s porušením povinností Zákazníka, uvedené v tomto odstavci. </w:t>
                  </w:r>
                </w:p>
              </w:tc>
            </w:tr>
          </w:tbl>
          <w:p w:rsidR="00526A48" w:rsidRDefault="00526A48">
            <w:pPr>
              <w:pStyle w:val="a1"/>
              <w:widowControl w:val="0"/>
              <w:suppressAutoHyphens/>
              <w:rPr>
                <w:rStyle w:val="ab"/>
              </w:rPr>
            </w:pPr>
          </w:p>
          <w:tbl>
            <w:tblPr>
              <w:tblStyle w:val="t9"/>
              <w:tblW w:w="9751" w:type="dxa"/>
              <w:tblInd w:w="0" w:type="dxa"/>
              <w:tblLayout w:type="fixed"/>
              <w:tblLook w:val="04A0"/>
            </w:tblPr>
            <w:tblGrid>
              <w:gridCol w:w="375"/>
              <w:gridCol w:w="9376"/>
            </w:tblGrid>
            <w:tr w:rsidR="00526A48">
              <w:tc>
                <w:tcPr>
                  <w:tcW w:w="375" w:type="dxa"/>
                </w:tcPr>
                <w:p w:rsidR="00526A48" w:rsidRDefault="00FB421F">
                  <w:pPr>
                    <w:pStyle w:val="a1"/>
                    <w:widowControl w:val="0"/>
                    <w:suppressAutoHyphens/>
                    <w:rPr>
                      <w:rStyle w:val="af1"/>
                    </w:rPr>
                  </w:pPr>
                  <w:r>
                    <w:rPr>
                      <w:rStyle w:val="af1"/>
                    </w:rPr>
                    <w:t>4.</w:t>
                  </w:r>
                </w:p>
              </w:tc>
              <w:tc>
                <w:tcPr>
                  <w:tcW w:w="9376" w:type="dxa"/>
                </w:tcPr>
                <w:p w:rsidR="00526A48" w:rsidRDefault="00FB421F">
                  <w:pPr>
                    <w:pStyle w:val="a1"/>
                    <w:widowControl w:val="0"/>
                    <w:suppressAutoHyphens/>
                    <w:rPr>
                      <w:rStyle w:val="af1"/>
                    </w:rPr>
                  </w:pPr>
                  <w:r>
                    <w:rPr>
                      <w:rStyle w:val="af1"/>
                    </w:rPr>
                    <w:t>Ceny, způsob a místo plnění</w:t>
                  </w:r>
                </w:p>
              </w:tc>
            </w:tr>
            <w:tr w:rsidR="00526A48">
              <w:tc>
                <w:tcPr>
                  <w:tcW w:w="375" w:type="dxa"/>
                </w:tcPr>
                <w:p w:rsidR="00526A48" w:rsidRDefault="00FB421F">
                  <w:pPr>
                    <w:pStyle w:val="a1"/>
                    <w:widowControl w:val="0"/>
                    <w:suppressAutoHyphens/>
                    <w:rPr>
                      <w:rStyle w:val="ab"/>
                    </w:rPr>
                  </w:pPr>
                  <w:r>
                    <w:rPr>
                      <w:rStyle w:val="ab"/>
                    </w:rPr>
                    <w:t>4.1</w:t>
                  </w:r>
                </w:p>
              </w:tc>
              <w:tc>
                <w:tcPr>
                  <w:tcW w:w="9376" w:type="dxa"/>
                </w:tcPr>
                <w:p w:rsidR="00526A48" w:rsidRDefault="00FB421F">
                  <w:pPr>
                    <w:pStyle w:val="a1"/>
                    <w:widowControl w:val="0"/>
                    <w:suppressAutoHyphens/>
                    <w:rPr>
                      <w:rStyle w:val="ab"/>
                    </w:rPr>
                  </w:pPr>
                  <w:r>
                    <w:rPr>
                      <w:rStyle w:val="ab"/>
                    </w:rPr>
                    <w:t xml:space="preserve">Zákazník se zavazuje zaplatit Dodavateli za poskytovaná plnění cenu za dodávku plynu stanovenou Smlouvou a dále cenu za související služby v plynárenství, uplatňovanou v souladu s cenovou regulací, a rovněž všechny daně a ostatní platby stanovené příslušnými právními předpisy, zejména daň ze zemního plynu a daň z přidané hodnoty (dále jen "Celková cena"). </w:t>
                  </w:r>
                </w:p>
              </w:tc>
            </w:tr>
            <w:tr w:rsidR="00526A48">
              <w:tc>
                <w:tcPr>
                  <w:tcW w:w="375" w:type="dxa"/>
                </w:tcPr>
                <w:p w:rsidR="00526A48" w:rsidRDefault="00FB421F">
                  <w:pPr>
                    <w:pStyle w:val="a1"/>
                    <w:widowControl w:val="0"/>
                    <w:suppressAutoHyphens/>
                    <w:rPr>
                      <w:rStyle w:val="ab"/>
                    </w:rPr>
                  </w:pPr>
                  <w:r>
                    <w:rPr>
                      <w:rStyle w:val="ab"/>
                    </w:rPr>
                    <w:t>4.2</w:t>
                  </w:r>
                </w:p>
              </w:tc>
              <w:tc>
                <w:tcPr>
                  <w:tcW w:w="9376" w:type="dxa"/>
                </w:tcPr>
                <w:p w:rsidR="00526A48" w:rsidRDefault="00FB421F">
                  <w:pPr>
                    <w:pStyle w:val="a1"/>
                    <w:widowControl w:val="0"/>
                    <w:suppressAutoHyphens/>
                    <w:rPr>
                      <w:rStyle w:val="ab"/>
                    </w:rPr>
                  </w:pPr>
                  <w:r>
                    <w:rPr>
                      <w:rStyle w:val="ab"/>
                    </w:rPr>
                    <w:t xml:space="preserve">Zákazník se zavazuje platit Dodavateli za každé fakturační období Celkovou cenu formou záloh, a to způsobem uvedeným ve Smlouvě. Výše záloh 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stanovené Dodavatelem, která nesmí být kratší než 10 dní od oznámení této lhůty Zákazníkovi. </w:t>
                  </w:r>
                </w:p>
              </w:tc>
            </w:tr>
            <w:tr w:rsidR="00526A48">
              <w:tc>
                <w:tcPr>
                  <w:tcW w:w="375" w:type="dxa"/>
                </w:tcPr>
                <w:p w:rsidR="00526A48" w:rsidRDefault="00FB421F">
                  <w:pPr>
                    <w:pStyle w:val="a1"/>
                    <w:widowControl w:val="0"/>
                    <w:suppressAutoHyphens/>
                    <w:rPr>
                      <w:rStyle w:val="ab"/>
                    </w:rPr>
                  </w:pPr>
                  <w:r>
                    <w:rPr>
                      <w:rStyle w:val="ab"/>
                    </w:rPr>
                    <w:t>4.3</w:t>
                  </w:r>
                </w:p>
              </w:tc>
              <w:tc>
                <w:tcPr>
                  <w:tcW w:w="9376" w:type="dxa"/>
                </w:tcPr>
                <w:p w:rsidR="00526A48" w:rsidRDefault="00FB421F">
                  <w:pPr>
                    <w:pStyle w:val="a1"/>
                    <w:widowControl w:val="0"/>
                    <w:suppressAutoHyphens/>
                    <w:rPr>
                      <w:rStyle w:val="ab"/>
                    </w:rPr>
                  </w:pPr>
                  <w:r>
                    <w:rPr>
                      <w:rStyle w:val="ab"/>
                    </w:rPr>
                    <w:t>Fakturační období je každé období, za které je provedeno Dodavatelem vyúčtování Celkové ceny a vystaven příslušný doklad (dále jen "faktura").</w:t>
                  </w:r>
                  <w:r>
                    <w:br/>
                  </w:r>
                  <w:r>
                    <w:rPr>
                      <w:rStyle w:val="ab"/>
                    </w:rPr>
                    <w:t xml:space="preserve">První fakturační období začíná zahájením dodávky. Délka fakturačního období je předpokládána 12 měsíců a jeho skutečnou délku určuje Dodavatel, a to zejména s ohledem na odečty spotřeby plynu prováděné PDS. </w:t>
                  </w:r>
                </w:p>
              </w:tc>
            </w:tr>
            <w:tr w:rsidR="00526A48">
              <w:tc>
                <w:tcPr>
                  <w:tcW w:w="375" w:type="dxa"/>
                </w:tcPr>
                <w:p w:rsidR="00526A48" w:rsidRDefault="00FB421F">
                  <w:pPr>
                    <w:pStyle w:val="a1"/>
                    <w:widowControl w:val="0"/>
                    <w:suppressAutoHyphens/>
                    <w:rPr>
                      <w:rStyle w:val="ab"/>
                    </w:rPr>
                  </w:pPr>
                  <w:r>
                    <w:rPr>
                      <w:rStyle w:val="ab"/>
                    </w:rPr>
                    <w:t>4.4</w:t>
                  </w:r>
                </w:p>
              </w:tc>
              <w:tc>
                <w:tcPr>
                  <w:tcW w:w="9376" w:type="dxa"/>
                </w:tcPr>
                <w:p w:rsidR="00526A48" w:rsidRDefault="00FB421F">
                  <w:pPr>
                    <w:pStyle w:val="a1"/>
                    <w:widowControl w:val="0"/>
                    <w:suppressAutoHyphens/>
                    <w:rPr>
                      <w:rStyle w:val="ab"/>
                    </w:rPr>
                  </w:pPr>
                  <w:r>
                    <w:rPr>
                      <w:rStyle w:val="ab"/>
                    </w:rPr>
                    <w:t xml:space="preserve">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(např. faktura, předpis záloh, upomínka), na jehož základě je tato částka účtována. </w:t>
                  </w:r>
                </w:p>
              </w:tc>
            </w:tr>
            <w:tr w:rsidR="00526A48">
              <w:tc>
                <w:tcPr>
                  <w:tcW w:w="375" w:type="dxa"/>
                </w:tcPr>
                <w:p w:rsidR="00526A48" w:rsidRDefault="00FB421F">
                  <w:pPr>
                    <w:pStyle w:val="a1"/>
                    <w:widowControl w:val="0"/>
                    <w:suppressAutoHyphens/>
                    <w:rPr>
                      <w:rStyle w:val="ab"/>
                    </w:rPr>
                  </w:pPr>
                  <w:r>
                    <w:rPr>
                      <w:rStyle w:val="ab"/>
                    </w:rPr>
                    <w:t>4.5</w:t>
                  </w:r>
                </w:p>
              </w:tc>
              <w:tc>
                <w:tcPr>
                  <w:tcW w:w="9376" w:type="dxa"/>
                </w:tcPr>
                <w:p w:rsidR="00526A48" w:rsidRDefault="00FB421F">
                  <w:pPr>
                    <w:pStyle w:val="a1"/>
                    <w:widowControl w:val="0"/>
                    <w:suppressAutoHyphens/>
                    <w:rPr>
                      <w:rStyle w:val="ab"/>
                    </w:rPr>
                  </w:pPr>
                  <w:r>
                    <w:rPr>
                      <w:rStyle w:val="ab"/>
                    </w:rPr>
                    <w:t xml:space="preserve">Veškeré peněžité závazky Dodavatele, hrazené v bezhotovostní formě (prostřednictvím poskytovatele platebních služeb), jsou považovány 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 </w:t>
                  </w:r>
                </w:p>
              </w:tc>
            </w:tr>
            <w:tr w:rsidR="00526A48">
              <w:tc>
                <w:tcPr>
                  <w:tcW w:w="375" w:type="dxa"/>
                </w:tcPr>
                <w:p w:rsidR="00526A48" w:rsidRDefault="00FB421F">
                  <w:pPr>
                    <w:pStyle w:val="a1"/>
                    <w:widowControl w:val="0"/>
                    <w:suppressAutoHyphens/>
                    <w:rPr>
                      <w:rStyle w:val="ab"/>
                    </w:rPr>
                  </w:pPr>
                  <w:r>
                    <w:rPr>
                      <w:rStyle w:val="ab"/>
                    </w:rPr>
                    <w:t>4.6</w:t>
                  </w:r>
                </w:p>
              </w:tc>
              <w:tc>
                <w:tcPr>
                  <w:tcW w:w="9376" w:type="dxa"/>
                </w:tcPr>
                <w:p w:rsidR="00526A48" w:rsidRDefault="00FB421F">
                  <w:pPr>
                    <w:pStyle w:val="a1"/>
                    <w:widowControl w:val="0"/>
                    <w:suppressAutoHyphens/>
                    <w:rPr>
                      <w:rStyle w:val="ab"/>
                    </w:rPr>
                  </w:pPr>
                  <w:r>
                    <w:rPr>
                      <w:rStyle w:val="ab"/>
                    </w:rPr>
                    <w:t xml:space="preserve">Pokud Zákazník poukáže platbu s nesprávným variabilním symbolem nebo ji poukáže na nesprávný bankovní účet Dodavatele, je Dodavatel oprávněn mu platbu vrátit jako neidentifikovatelnou a účtovat mu úrok z prodlení za opožděné placení od data splatnosti až do obdržení správně poukázané a označené platby. </w:t>
                  </w:r>
                </w:p>
              </w:tc>
            </w:tr>
            <w:tr w:rsidR="00526A48">
              <w:tc>
                <w:tcPr>
                  <w:tcW w:w="375" w:type="dxa"/>
                </w:tcPr>
                <w:p w:rsidR="00526A48" w:rsidRDefault="00FB421F">
                  <w:pPr>
                    <w:pStyle w:val="a1"/>
                    <w:widowControl w:val="0"/>
                    <w:suppressAutoHyphens/>
                    <w:rPr>
                      <w:rStyle w:val="ab"/>
                    </w:rPr>
                  </w:pPr>
                  <w:r>
                    <w:rPr>
                      <w:rStyle w:val="ab"/>
                    </w:rPr>
                    <w:t>4.7</w:t>
                  </w:r>
                </w:p>
              </w:tc>
              <w:tc>
                <w:tcPr>
                  <w:tcW w:w="9376" w:type="dxa"/>
                </w:tcPr>
                <w:p w:rsidR="00526A48" w:rsidRDefault="00FB421F">
                  <w:pPr>
                    <w:pStyle w:val="a1"/>
                    <w:widowControl w:val="0"/>
                    <w:suppressAutoHyphens/>
                    <w:rPr>
                      <w:rStyle w:val="ab"/>
                    </w:rPr>
                  </w:pPr>
                  <w:r>
                    <w:rPr>
                      <w:rStyle w:val="ab"/>
                    </w:rPr>
                    <w:t xml:space="preserve">V případě, že je na základě vyúčtování Celkové ceny zjištěn doplatek, Zákazník jej uhradí na základě faktury ve lhůtě uvedené ve faktuře. V případě, že je na základě vyúčtování Celkové ceny zjištěn přeplatek, bude tento přeplatek vrácen Dodavatelem na základě faktury vystavené Dodavatelem, a to způsobem a ve lhůtě uvedenými ve faktuře. </w:t>
                  </w:r>
                </w:p>
              </w:tc>
            </w:tr>
            <w:tr w:rsidR="00526A48">
              <w:tc>
                <w:tcPr>
                  <w:tcW w:w="375" w:type="dxa"/>
                </w:tcPr>
                <w:p w:rsidR="00526A48" w:rsidRDefault="00FB421F">
                  <w:pPr>
                    <w:pStyle w:val="a1"/>
                    <w:widowControl w:val="0"/>
                    <w:suppressAutoHyphens/>
                    <w:rPr>
                      <w:rStyle w:val="ab"/>
                    </w:rPr>
                  </w:pPr>
                  <w:r>
                    <w:rPr>
                      <w:rStyle w:val="ab"/>
                    </w:rPr>
                    <w:t>4.8</w:t>
                  </w:r>
                </w:p>
              </w:tc>
              <w:tc>
                <w:tcPr>
                  <w:tcW w:w="9376" w:type="dxa"/>
                </w:tcPr>
                <w:p w:rsidR="00526A48" w:rsidRDefault="00FB421F">
                  <w:pPr>
                    <w:pStyle w:val="a1"/>
                    <w:widowControl w:val="0"/>
                    <w:suppressAutoHyphens/>
                    <w:rPr>
                      <w:rStyle w:val="ab"/>
                    </w:rPr>
                  </w:pPr>
                  <w:r>
                    <w:rPr>
                      <w:rStyle w:val="ab"/>
                    </w:rPr>
                    <w:t xml:space="preserve">Má-li Zákazník sjednáno zasílání faktur v elektronické podobě, vyhrazuje si Dodavatel v odůvodněných případech právo zasílat </w:t>
                  </w:r>
                  <w:r>
                    <w:rPr>
                      <w:rStyle w:val="ab"/>
                    </w:rPr>
                    <w:lastRenderedPageBreak/>
                    <w:t xml:space="preserve">faktury Zákazníkovi v listinné podobě. </w:t>
                  </w:r>
                </w:p>
              </w:tc>
            </w:tr>
            <w:tr w:rsidR="00526A48">
              <w:tc>
                <w:tcPr>
                  <w:tcW w:w="375" w:type="dxa"/>
                </w:tcPr>
                <w:p w:rsidR="00526A48" w:rsidRDefault="00FB421F">
                  <w:pPr>
                    <w:pStyle w:val="a1"/>
                    <w:widowControl w:val="0"/>
                    <w:suppressAutoHyphens/>
                    <w:rPr>
                      <w:rStyle w:val="ab"/>
                    </w:rPr>
                  </w:pPr>
                  <w:r>
                    <w:rPr>
                      <w:rStyle w:val="ab"/>
                    </w:rPr>
                    <w:lastRenderedPageBreak/>
                    <w:t>4.9</w:t>
                  </w:r>
                </w:p>
              </w:tc>
              <w:tc>
                <w:tcPr>
                  <w:tcW w:w="9376" w:type="dxa"/>
                </w:tcPr>
                <w:p w:rsidR="00526A48" w:rsidRDefault="00FB421F">
                  <w:pPr>
                    <w:pStyle w:val="a1"/>
                    <w:widowControl w:val="0"/>
                    <w:suppressAutoHyphens/>
                    <w:rPr>
                      <w:rStyle w:val="ab"/>
                    </w:rPr>
                  </w:pPr>
                  <w:r>
                    <w:rPr>
                      <w:rStyle w:val="ab"/>
                    </w:rPr>
                    <w:t xml:space="preserve">Zákazník má v případě zjištění chyby ve vyúčtování plateb dle Smlouvy, zejména pak při zjištění chyby ve faktuře, právo příslušnou chybu písemně reklamovat na kontaktní adrese Dodavatele, a to ve lhůtě nejpozději do 90 kalendářních dnů ode dne splatnosti předmětné platby. Reklamace nemá odkladný účinek na splatnost platby, nedohodnou-li se smluvní strany jinak. </w:t>
                  </w:r>
                </w:p>
              </w:tc>
            </w:tr>
            <w:tr w:rsidR="00526A48">
              <w:tc>
                <w:tcPr>
                  <w:tcW w:w="375" w:type="dxa"/>
                </w:tcPr>
                <w:p w:rsidR="00526A48" w:rsidRDefault="00FB421F">
                  <w:pPr>
                    <w:pStyle w:val="a1"/>
                    <w:widowControl w:val="0"/>
                    <w:suppressAutoHyphens/>
                    <w:rPr>
                      <w:rStyle w:val="ab"/>
                    </w:rPr>
                  </w:pPr>
                  <w:r>
                    <w:rPr>
                      <w:rStyle w:val="ab"/>
                    </w:rPr>
                    <w:t>4.10</w:t>
                  </w:r>
                </w:p>
              </w:tc>
              <w:tc>
                <w:tcPr>
                  <w:tcW w:w="9376" w:type="dxa"/>
                </w:tcPr>
                <w:p w:rsidR="00526A48" w:rsidRDefault="00FB421F">
                  <w:pPr>
                    <w:pStyle w:val="a1"/>
                    <w:widowControl w:val="0"/>
                    <w:suppressAutoHyphens/>
                    <w:rPr>
                      <w:rStyle w:val="ab"/>
                    </w:rPr>
                  </w:pPr>
                  <w:r>
                    <w:rPr>
                      <w:rStyle w:val="ab"/>
                    </w:rPr>
                    <w:t xml:space="preserve">V případě prodlení s plněním svých peněžitých závazků se smluvní strana, která je v prodlení, zavazuje uhradit druhé smluvní straně úrok z prodlení ve výši stanovené příslušným právním předpisem, a pokud jej nelze takto stanovit (např. předpis pozbude účinnosti), pak ve výši 0,05 % z dlužné částky za každý započatý den prodlení. </w:t>
                  </w:r>
                </w:p>
              </w:tc>
            </w:tr>
          </w:tbl>
          <w:p w:rsidR="00526A48" w:rsidRDefault="00526A48">
            <w:pPr>
              <w:pStyle w:val="a1"/>
              <w:widowControl w:val="0"/>
              <w:suppressAutoHyphens/>
              <w:rPr>
                <w:rStyle w:val="ab"/>
              </w:rPr>
            </w:pPr>
          </w:p>
          <w:tbl>
            <w:tblPr>
              <w:tblStyle w:val="t9"/>
              <w:tblW w:w="9751" w:type="dxa"/>
              <w:tblInd w:w="0" w:type="dxa"/>
              <w:tblLayout w:type="fixed"/>
              <w:tblLook w:val="04A0"/>
            </w:tblPr>
            <w:tblGrid>
              <w:gridCol w:w="375"/>
              <w:gridCol w:w="9376"/>
            </w:tblGrid>
            <w:tr w:rsidR="00526A48">
              <w:tc>
                <w:tcPr>
                  <w:tcW w:w="375" w:type="dxa"/>
                </w:tcPr>
                <w:p w:rsidR="00526A48" w:rsidRDefault="00FB421F">
                  <w:pPr>
                    <w:pStyle w:val="a1"/>
                    <w:widowControl w:val="0"/>
                    <w:suppressAutoHyphens/>
                    <w:rPr>
                      <w:rStyle w:val="af1"/>
                    </w:rPr>
                  </w:pPr>
                  <w:r>
                    <w:rPr>
                      <w:rStyle w:val="af1"/>
                    </w:rPr>
                    <w:t>5.</w:t>
                  </w:r>
                </w:p>
              </w:tc>
              <w:tc>
                <w:tcPr>
                  <w:tcW w:w="9376" w:type="dxa"/>
                </w:tcPr>
                <w:p w:rsidR="00526A48" w:rsidRDefault="00FB421F">
                  <w:pPr>
                    <w:pStyle w:val="a1"/>
                    <w:widowControl w:val="0"/>
                    <w:suppressAutoHyphens/>
                    <w:rPr>
                      <w:rStyle w:val="af1"/>
                    </w:rPr>
                  </w:pPr>
                  <w:r>
                    <w:rPr>
                      <w:rStyle w:val="af1"/>
                    </w:rPr>
                    <w:t>Změna smluvních údajů</w:t>
                  </w:r>
                </w:p>
              </w:tc>
            </w:tr>
            <w:tr w:rsidR="00526A48">
              <w:tc>
                <w:tcPr>
                  <w:tcW w:w="375" w:type="dxa"/>
                </w:tcPr>
                <w:p w:rsidR="00526A48" w:rsidRDefault="00FB421F">
                  <w:pPr>
                    <w:pStyle w:val="a1"/>
                    <w:widowControl w:val="0"/>
                    <w:suppressAutoHyphens/>
                    <w:rPr>
                      <w:rStyle w:val="ab"/>
                    </w:rPr>
                  </w:pPr>
                  <w:r>
                    <w:rPr>
                      <w:rStyle w:val="ab"/>
                    </w:rPr>
                    <w:t>5.1</w:t>
                  </w:r>
                </w:p>
              </w:tc>
              <w:tc>
                <w:tcPr>
                  <w:tcW w:w="9376" w:type="dxa"/>
                </w:tcPr>
                <w:p w:rsidR="00526A48" w:rsidRDefault="00FB421F">
                  <w:pPr>
                    <w:pStyle w:val="a1"/>
                    <w:widowControl w:val="0"/>
                    <w:suppressAutoHyphens/>
                    <w:rPr>
                      <w:rStyle w:val="ab"/>
                    </w:rPr>
                  </w:pPr>
                  <w:r>
                    <w:rPr>
                      <w:rStyle w:val="ab"/>
                    </w:rPr>
                    <w:t xml:space="preserve">Smlouva může být měněna či doplňována pouze písemnou dohodou, není-li dále stanoveno jinak. </w:t>
                  </w:r>
                </w:p>
              </w:tc>
            </w:tr>
            <w:tr w:rsidR="00526A48">
              <w:tc>
                <w:tcPr>
                  <w:tcW w:w="375" w:type="dxa"/>
                </w:tcPr>
                <w:p w:rsidR="00526A48" w:rsidRDefault="00FB421F">
                  <w:pPr>
                    <w:pStyle w:val="a1"/>
                    <w:widowControl w:val="0"/>
                    <w:suppressAutoHyphens/>
                    <w:rPr>
                      <w:rStyle w:val="ab"/>
                    </w:rPr>
                  </w:pPr>
                  <w:r>
                    <w:rPr>
                      <w:rStyle w:val="ab"/>
                    </w:rPr>
                    <w:t>5.2</w:t>
                  </w:r>
                </w:p>
              </w:tc>
              <w:tc>
                <w:tcPr>
                  <w:tcW w:w="9376" w:type="dxa"/>
                </w:tcPr>
                <w:p w:rsidR="00526A48" w:rsidRDefault="00FB421F">
                  <w:pPr>
                    <w:pStyle w:val="a1"/>
                    <w:widowControl w:val="0"/>
                    <w:suppressAutoHyphens/>
                    <w:rPr>
                      <w:rStyle w:val="ab"/>
                    </w:rPr>
                  </w:pPr>
                  <w:r>
                    <w:rPr>
                      <w:rStyle w:val="ab"/>
                    </w:rPr>
                    <w:t>Změnu výše záloh, cyklu záloh a způsobu zasílání faktur lze provést dohodou smluvních stran, vedle způsobu uvedeného v odst. 5.1, také elektronicky prostým emailem nebo nahrávaným telefonním hovorem u Dodavatele nebo prostřednictvím zákaznického portálu Dodavatele (Energie24).</w:t>
                  </w:r>
                  <w:r>
                    <w:br/>
                  </w:r>
                  <w:r>
                    <w:rPr>
                      <w:rStyle w:val="ab"/>
                    </w:rPr>
                    <w:t>Zároveň platí, že v případě přepisu (změny Zákazníka v odběrném místě) je možné Smlouvu se stávajícím Zákazníkem ukončit i telefonicky, a to za současné účasti stávajícího a nového Zákazníka u telefonické dohody.</w:t>
                  </w:r>
                  <w:r>
                    <w:br/>
                  </w:r>
                  <w:r>
                    <w:rPr>
                      <w:rStyle w:val="ab"/>
                    </w:rPr>
                    <w:t xml:space="preserve">Účinnost ukončení Smlouvy se stávajícím Zákazníkem v případě přepisu nastává okamžikem zahájení dodávky novému Zákazníkovi na základě Smlouvy uzavřené s Dodavatelem. </w:t>
                  </w:r>
                </w:p>
              </w:tc>
            </w:tr>
            <w:tr w:rsidR="00526A48">
              <w:tc>
                <w:tcPr>
                  <w:tcW w:w="375" w:type="dxa"/>
                </w:tcPr>
                <w:p w:rsidR="00526A48" w:rsidRDefault="00FB421F">
                  <w:pPr>
                    <w:pStyle w:val="a1"/>
                    <w:widowControl w:val="0"/>
                    <w:suppressAutoHyphens/>
                    <w:rPr>
                      <w:rStyle w:val="ab"/>
                    </w:rPr>
                  </w:pPr>
                  <w:r>
                    <w:rPr>
                      <w:rStyle w:val="ab"/>
                    </w:rPr>
                    <w:t>5.3</w:t>
                  </w:r>
                </w:p>
              </w:tc>
              <w:tc>
                <w:tcPr>
                  <w:tcW w:w="9376" w:type="dxa"/>
                </w:tcPr>
                <w:p w:rsidR="00526A48" w:rsidRDefault="00FB421F">
                  <w:pPr>
                    <w:pStyle w:val="a1"/>
                    <w:widowControl w:val="0"/>
                    <w:suppressAutoHyphens/>
                    <w:rPr>
                      <w:rStyle w:val="ab"/>
                    </w:rPr>
                  </w:pPr>
                  <w:r>
                    <w:rPr>
                      <w:rStyle w:val="ab"/>
                    </w:rPr>
                    <w:t>Smluvní údaje mohou být upraveny prostřednictvím zákaznického portálu Dodavatele (Energie24) nebo na základě jednostranného oznámení provedeného v písemné formě, prostým emailem nebo nahrávaným telefonním hovorem u Dodavatele, a to v případech, kdy dochází ke změně:</w:t>
                  </w:r>
                  <w:r>
                    <w:br/>
                  </w:r>
                  <w:r>
                    <w:rPr>
                      <w:rStyle w:val="ab"/>
                    </w:rPr>
                    <w:t>a) způsobu úhrady faktur nebo záloh,</w:t>
                  </w:r>
                  <w:r>
                    <w:br/>
                  </w:r>
                  <w:r>
                    <w:rPr>
                      <w:rStyle w:val="ab"/>
                    </w:rPr>
                    <w:t>b) bankovního spojení,</w:t>
                  </w:r>
                  <w:r>
                    <w:br/>
                  </w:r>
                  <w:r>
                    <w:rPr>
                      <w:rStyle w:val="ab"/>
                    </w:rPr>
                    <w:t>c) telefonního čísla, mobilního čísla, čísla faxu nebo e-mailu,</w:t>
                  </w:r>
                  <w:r>
                    <w:br/>
                  </w:r>
                  <w:r>
                    <w:rPr>
                      <w:rStyle w:val="ab"/>
                    </w:rPr>
                    <w:t>d) adresy pro doručování,</w:t>
                  </w:r>
                  <w:r>
                    <w:br/>
                  </w:r>
                  <w:r>
                    <w:rPr>
                      <w:rStyle w:val="ab"/>
                    </w:rPr>
                    <w:t>e) osoby oprávněné k zastupování Zákazníka,</w:t>
                  </w:r>
                  <w:r>
                    <w:br/>
                  </w:r>
                  <w:r>
                    <w:rPr>
                      <w:rStyle w:val="ab"/>
                    </w:rPr>
                    <w:t>f) DIČ, názvu obchodní firmy, sídla firmy nebo místa podnikání Zákazníka,</w:t>
                  </w:r>
                  <w:r>
                    <w:br/>
                  </w:r>
                  <w:r>
                    <w:rPr>
                      <w:rStyle w:val="ab"/>
                    </w:rPr>
                    <w:t>g) příjmení Zákazníka,</w:t>
                  </w:r>
                  <w:r>
                    <w:br/>
                  </w:r>
                  <w:r>
                    <w:rPr>
                      <w:rStyle w:val="ab"/>
                    </w:rPr>
                    <w:t>h) adresy odběrného místa Zákazníka.</w:t>
                  </w:r>
                  <w:r>
                    <w:br/>
                  </w:r>
                  <w:r>
                    <w:rPr>
                      <w:rStyle w:val="ab"/>
                    </w:rPr>
                    <w:t xml:space="preserve">V případě, že Dodavatel požádá Zákazníka o doložení oznamovaných skutečností dle písm. e) až h), je Zákazník povinen tyto skutečnosti Dodavateli neprodleně doložit, jinak není Dodavatel povinen změnu přijmout, případně je oprávněn přijatou změnu odmítnout. </w:t>
                  </w:r>
                </w:p>
              </w:tc>
            </w:tr>
            <w:tr w:rsidR="00526A48">
              <w:tc>
                <w:tcPr>
                  <w:tcW w:w="375" w:type="dxa"/>
                </w:tcPr>
                <w:p w:rsidR="00526A48" w:rsidRDefault="00FB421F">
                  <w:pPr>
                    <w:pStyle w:val="a1"/>
                    <w:widowControl w:val="0"/>
                    <w:suppressAutoHyphens/>
                    <w:rPr>
                      <w:rStyle w:val="ab"/>
                    </w:rPr>
                  </w:pPr>
                  <w:r>
                    <w:rPr>
                      <w:rStyle w:val="ab"/>
                    </w:rPr>
                    <w:t>5.4</w:t>
                  </w:r>
                </w:p>
              </w:tc>
              <w:tc>
                <w:tcPr>
                  <w:tcW w:w="9376" w:type="dxa"/>
                </w:tcPr>
                <w:p w:rsidR="00526A48" w:rsidRDefault="00FB421F">
                  <w:pPr>
                    <w:pStyle w:val="a1"/>
                    <w:widowControl w:val="0"/>
                    <w:suppressAutoHyphens/>
                    <w:rPr>
                      <w:rStyle w:val="ab"/>
                    </w:rPr>
                  </w:pPr>
                  <w:r>
                    <w:rPr>
                      <w:rStyle w:val="ab"/>
                    </w:rPr>
                    <w:t>V případě změny prováděné prostřednictvím nahrávaného telefonního hovoru se Zákazník prokazuje minimálně třemi identifikátory OM uvedeného ve Smlouvě (např. jméno a příjmení, EIC, adresa odběrného místa (dále jen "OM"), číslo místa spotřeby, číslo Smlouvy, zákaznické číslo atd.).</w:t>
                  </w:r>
                  <w:r>
                    <w:br/>
                  </w:r>
                  <w:r>
                    <w:rPr>
                      <w:rStyle w:val="ab"/>
                    </w:rPr>
                    <w:t xml:space="preserve">Na nahrávání telefonního hovoru bude Zákazník upozorněn. V případě změny prováděné prostřednictvím zákaznického portálu Dodavatele je Zákazník povinen se řídit podmínkami užívání tohoto zákaznického portálu. </w:t>
                  </w:r>
                </w:p>
              </w:tc>
            </w:tr>
            <w:tr w:rsidR="00526A48">
              <w:tc>
                <w:tcPr>
                  <w:tcW w:w="375" w:type="dxa"/>
                </w:tcPr>
                <w:p w:rsidR="00526A48" w:rsidRDefault="00FB421F">
                  <w:pPr>
                    <w:pStyle w:val="a1"/>
                    <w:widowControl w:val="0"/>
                    <w:suppressAutoHyphens/>
                    <w:rPr>
                      <w:rStyle w:val="ab"/>
                    </w:rPr>
                  </w:pPr>
                  <w:r>
                    <w:rPr>
                      <w:rStyle w:val="ab"/>
                    </w:rPr>
                    <w:t>5.5</w:t>
                  </w:r>
                </w:p>
              </w:tc>
              <w:tc>
                <w:tcPr>
                  <w:tcW w:w="9376" w:type="dxa"/>
                </w:tcPr>
                <w:p w:rsidR="00526A48" w:rsidRDefault="00FB421F">
                  <w:pPr>
                    <w:pStyle w:val="a1"/>
                    <w:widowControl w:val="0"/>
                    <w:suppressAutoHyphens/>
                    <w:rPr>
                      <w:rStyle w:val="ab"/>
                    </w:rPr>
                  </w:pPr>
                  <w:r>
                    <w:rPr>
                      <w:rStyle w:val="ab"/>
                    </w:rPr>
                    <w:t xml:space="preserve">Smluvní strany jsou povinny zajistit, aby jejich identifikační (komunikační) údaje odpovídaly skutečnému a použitelnému stavu. Smluvní strany nesou odpovědnost za funkčnost komunikačních kanálů, které může druhá smluvní strana v souladu se Smlouvou použít. </w:t>
                  </w:r>
                </w:p>
              </w:tc>
            </w:tr>
          </w:tbl>
          <w:p w:rsidR="00526A48" w:rsidRDefault="00526A48">
            <w:pPr>
              <w:pStyle w:val="a1"/>
              <w:widowControl w:val="0"/>
              <w:suppressAutoHyphens/>
              <w:rPr>
                <w:rStyle w:val="ab"/>
              </w:rPr>
            </w:pPr>
          </w:p>
          <w:tbl>
            <w:tblPr>
              <w:tblStyle w:val="t9"/>
              <w:tblW w:w="9751" w:type="dxa"/>
              <w:tblInd w:w="0" w:type="dxa"/>
              <w:tblLayout w:type="fixed"/>
              <w:tblLook w:val="04A0"/>
            </w:tblPr>
            <w:tblGrid>
              <w:gridCol w:w="375"/>
              <w:gridCol w:w="9376"/>
            </w:tblGrid>
            <w:tr w:rsidR="00526A48">
              <w:tc>
                <w:tcPr>
                  <w:tcW w:w="375" w:type="dxa"/>
                </w:tcPr>
                <w:p w:rsidR="00526A48" w:rsidRDefault="00FB421F">
                  <w:pPr>
                    <w:pStyle w:val="a1"/>
                    <w:widowControl w:val="0"/>
                    <w:suppressAutoHyphens/>
                    <w:rPr>
                      <w:rStyle w:val="af1"/>
                    </w:rPr>
                  </w:pPr>
                  <w:r>
                    <w:rPr>
                      <w:rStyle w:val="af1"/>
                    </w:rPr>
                    <w:t>6.</w:t>
                  </w:r>
                </w:p>
              </w:tc>
              <w:tc>
                <w:tcPr>
                  <w:tcW w:w="9376" w:type="dxa"/>
                </w:tcPr>
                <w:p w:rsidR="00526A48" w:rsidRDefault="00FB421F">
                  <w:pPr>
                    <w:pStyle w:val="a1"/>
                    <w:widowControl w:val="0"/>
                    <w:suppressAutoHyphens/>
                    <w:rPr>
                      <w:rStyle w:val="af1"/>
                    </w:rPr>
                  </w:pPr>
                  <w:r>
                    <w:rPr>
                      <w:rStyle w:val="af1"/>
                    </w:rPr>
                    <w:t>Zánik Smlouvy, přerušení, ukončení dodávky plynu</w:t>
                  </w:r>
                </w:p>
              </w:tc>
            </w:tr>
            <w:tr w:rsidR="00526A48">
              <w:tc>
                <w:tcPr>
                  <w:tcW w:w="375" w:type="dxa"/>
                </w:tcPr>
                <w:p w:rsidR="00526A48" w:rsidRDefault="00FB421F">
                  <w:pPr>
                    <w:pStyle w:val="a1"/>
                    <w:widowControl w:val="0"/>
                    <w:suppressAutoHyphens/>
                    <w:rPr>
                      <w:rStyle w:val="ab"/>
                    </w:rPr>
                  </w:pPr>
                  <w:r>
                    <w:rPr>
                      <w:rStyle w:val="ab"/>
                    </w:rPr>
                    <w:t>6.1</w:t>
                  </w:r>
                </w:p>
              </w:tc>
              <w:tc>
                <w:tcPr>
                  <w:tcW w:w="9376" w:type="dxa"/>
                </w:tcPr>
                <w:p w:rsidR="00526A48" w:rsidRDefault="00FB421F">
                  <w:pPr>
                    <w:pStyle w:val="a1"/>
                    <w:widowControl w:val="0"/>
                    <w:suppressAutoHyphens/>
                    <w:rPr>
                      <w:rStyle w:val="ab"/>
                    </w:rPr>
                  </w:pPr>
                  <w:r>
                    <w:rPr>
                      <w:rStyle w:val="ab"/>
                    </w:rPr>
                    <w:t xml:space="preserve">Je-li Smlouva uzavřena na dobu neurčitou, může ji písemně vypovědět kterákoli ze smluvních stran s výpovědní dobou 3 měsíce. Výpovědní doba začíná běžet prvním dnem kalendářního měsíce následujícího po doručení písemné výpovědi. </w:t>
                  </w:r>
                </w:p>
              </w:tc>
            </w:tr>
            <w:tr w:rsidR="00526A48">
              <w:tc>
                <w:tcPr>
                  <w:tcW w:w="375" w:type="dxa"/>
                </w:tcPr>
                <w:p w:rsidR="00526A48" w:rsidRDefault="00FB421F">
                  <w:pPr>
                    <w:pStyle w:val="a1"/>
                    <w:widowControl w:val="0"/>
                    <w:suppressAutoHyphens/>
                    <w:rPr>
                      <w:rStyle w:val="ab"/>
                    </w:rPr>
                  </w:pPr>
                  <w:r>
                    <w:rPr>
                      <w:rStyle w:val="ab"/>
                    </w:rPr>
                    <w:t>6.2</w:t>
                  </w:r>
                </w:p>
              </w:tc>
              <w:tc>
                <w:tcPr>
                  <w:tcW w:w="9376" w:type="dxa"/>
                </w:tcPr>
                <w:p w:rsidR="00526A48" w:rsidRDefault="00FB421F">
                  <w:pPr>
                    <w:pStyle w:val="a1"/>
                    <w:widowControl w:val="0"/>
                    <w:suppressAutoHyphens/>
                    <w:rPr>
                      <w:rStyle w:val="ab"/>
                    </w:rPr>
                  </w:pPr>
                  <w:r>
                    <w:rPr>
                      <w:rStyle w:val="ab"/>
                    </w:rPr>
                    <w:t xml:space="preserve">Každá ze smluvních stran je oprávněna odstoupit od Smlouvy v případě neplnění smluvních povinností druhé smluvní strany. </w:t>
                  </w:r>
                </w:p>
              </w:tc>
            </w:tr>
            <w:tr w:rsidR="00526A48">
              <w:tc>
                <w:tcPr>
                  <w:tcW w:w="375" w:type="dxa"/>
                </w:tcPr>
                <w:p w:rsidR="00526A48" w:rsidRDefault="00FB421F">
                  <w:pPr>
                    <w:pStyle w:val="a1"/>
                    <w:widowControl w:val="0"/>
                    <w:suppressAutoHyphens/>
                    <w:rPr>
                      <w:rStyle w:val="ab"/>
                    </w:rPr>
                  </w:pPr>
                  <w:r>
                    <w:rPr>
                      <w:rStyle w:val="ab"/>
                    </w:rPr>
                    <w:t>6.3</w:t>
                  </w:r>
                </w:p>
              </w:tc>
              <w:tc>
                <w:tcPr>
                  <w:tcW w:w="9376" w:type="dxa"/>
                </w:tcPr>
                <w:p w:rsidR="00526A48" w:rsidRDefault="00FB421F">
                  <w:pPr>
                    <w:pStyle w:val="a1"/>
                    <w:widowControl w:val="0"/>
                    <w:suppressAutoHyphens/>
                    <w:rPr>
                      <w:rStyle w:val="ab"/>
                    </w:rPr>
                  </w:pPr>
                  <w:r>
                    <w:rPr>
                      <w:rStyle w:val="ab"/>
                    </w:rPr>
                    <w:t xml:space="preserve">Odstoupení od Smlouvy musí být učiněno písemně a je účinné ke dni jeho doručení, pokud odstupující smluvní strana neuvede pozdější datum. </w:t>
                  </w:r>
                </w:p>
              </w:tc>
            </w:tr>
            <w:tr w:rsidR="00526A48">
              <w:tc>
                <w:tcPr>
                  <w:tcW w:w="375" w:type="dxa"/>
                </w:tcPr>
                <w:p w:rsidR="00526A48" w:rsidRDefault="00FB421F">
                  <w:pPr>
                    <w:pStyle w:val="a1"/>
                    <w:widowControl w:val="0"/>
                    <w:suppressAutoHyphens/>
                    <w:rPr>
                      <w:rStyle w:val="ab"/>
                    </w:rPr>
                  </w:pPr>
                  <w:r>
                    <w:rPr>
                      <w:rStyle w:val="ab"/>
                    </w:rPr>
                    <w:t>6.4</w:t>
                  </w:r>
                </w:p>
              </w:tc>
              <w:tc>
                <w:tcPr>
                  <w:tcW w:w="9376" w:type="dxa"/>
                </w:tcPr>
                <w:p w:rsidR="00526A48" w:rsidRDefault="00FB421F">
                  <w:pPr>
                    <w:pStyle w:val="a1"/>
                    <w:widowControl w:val="0"/>
                    <w:suppressAutoHyphens/>
                    <w:rPr>
                      <w:rStyle w:val="ab"/>
                    </w:rPr>
                  </w:pPr>
                  <w:r>
                    <w:rPr>
                      <w:rStyle w:val="ab"/>
                    </w:rPr>
                    <w:t xml:space="preserve">Smluvní strany se dohodly, že přerušením dodávky plynu z důvodu neoprávněného odběru plynu vzniká Dodavateli právo odstoupit od Smlouvy, avšak v případě, že při přerušení dodávky dojde k odebrání měřicího zařízení, Smlouva přerušením dodávky zaniká. </w:t>
                  </w:r>
                </w:p>
              </w:tc>
            </w:tr>
            <w:tr w:rsidR="00526A48">
              <w:tc>
                <w:tcPr>
                  <w:tcW w:w="375" w:type="dxa"/>
                </w:tcPr>
                <w:p w:rsidR="00526A48" w:rsidRDefault="00FB421F">
                  <w:pPr>
                    <w:pStyle w:val="a1"/>
                    <w:widowControl w:val="0"/>
                    <w:suppressAutoHyphens/>
                    <w:rPr>
                      <w:rStyle w:val="ab"/>
                    </w:rPr>
                  </w:pPr>
                  <w:r>
                    <w:rPr>
                      <w:rStyle w:val="ab"/>
                    </w:rPr>
                    <w:t>6.5</w:t>
                  </w:r>
                </w:p>
              </w:tc>
              <w:tc>
                <w:tcPr>
                  <w:tcW w:w="9376" w:type="dxa"/>
                </w:tcPr>
                <w:p w:rsidR="00526A48" w:rsidRDefault="00FB421F">
                  <w:pPr>
                    <w:pStyle w:val="a1"/>
                    <w:widowControl w:val="0"/>
                    <w:suppressAutoHyphens/>
                    <w:rPr>
                      <w:rStyle w:val="ab"/>
                    </w:rPr>
                  </w:pPr>
                  <w:r>
                    <w:rPr>
                      <w:rStyle w:val="ab"/>
                    </w:rPr>
                    <w:t xml:space="preserve">Přerušení nebo ukončení dodávky plynu provede PDS na žádost Dodavatele. Zákazník se v této souvislosti zavazuje uhradit Dodavateli veškeré náklady, které mu vznikly buď přímo nebo v souvislosti s přerušením, ukončením dodávky plynu nebo opětovným obnovením dodávky plynu do OM. </w:t>
                  </w:r>
                </w:p>
              </w:tc>
            </w:tr>
            <w:tr w:rsidR="00526A48">
              <w:tc>
                <w:tcPr>
                  <w:tcW w:w="375" w:type="dxa"/>
                </w:tcPr>
                <w:p w:rsidR="00526A48" w:rsidRDefault="00FB421F">
                  <w:pPr>
                    <w:pStyle w:val="a1"/>
                    <w:widowControl w:val="0"/>
                    <w:suppressAutoHyphens/>
                    <w:rPr>
                      <w:rStyle w:val="ab"/>
                    </w:rPr>
                  </w:pPr>
                  <w:r>
                    <w:rPr>
                      <w:rStyle w:val="ab"/>
                    </w:rPr>
                    <w:t>6.6</w:t>
                  </w:r>
                </w:p>
              </w:tc>
              <w:tc>
                <w:tcPr>
                  <w:tcW w:w="9376" w:type="dxa"/>
                </w:tcPr>
                <w:p w:rsidR="00526A48" w:rsidRDefault="00FB421F">
                  <w:pPr>
                    <w:pStyle w:val="a1"/>
                    <w:widowControl w:val="0"/>
                    <w:suppressAutoHyphens/>
                    <w:rPr>
                      <w:rStyle w:val="ab"/>
                    </w:rPr>
                  </w:pPr>
                  <w:r>
                    <w:rPr>
                      <w:rStyle w:val="ab"/>
                    </w:rPr>
                    <w:t xml:space="preserve">Ke dni zániku Smlouvy zanikají veškerá práva a povinnosti smluvních stran z této Smlouvy vyplývající, s výjimkou těch závazků obsažených v jejich ustanoveních, z jejichž povahy vyplývá, že mají trvat i nadále. </w:t>
                  </w:r>
                </w:p>
              </w:tc>
            </w:tr>
          </w:tbl>
          <w:p w:rsidR="00526A48" w:rsidRDefault="00FB421F">
            <w:pPr>
              <w:pStyle w:val="a1"/>
              <w:widowControl w:val="0"/>
              <w:suppressAutoHyphens/>
              <w:rPr>
                <w:rStyle w:val="ab"/>
              </w:rPr>
            </w:pPr>
            <w:r>
              <w:rPr>
                <w:rStyle w:val="ab"/>
              </w:rPr>
              <w:t> </w:t>
            </w:r>
          </w:p>
          <w:tbl>
            <w:tblPr>
              <w:tblStyle w:val="t9"/>
              <w:tblW w:w="9751" w:type="dxa"/>
              <w:tblInd w:w="0" w:type="dxa"/>
              <w:tblLayout w:type="fixed"/>
              <w:tblLook w:val="04A0"/>
            </w:tblPr>
            <w:tblGrid>
              <w:gridCol w:w="375"/>
              <w:gridCol w:w="9376"/>
            </w:tblGrid>
            <w:tr w:rsidR="00526A48">
              <w:tc>
                <w:tcPr>
                  <w:tcW w:w="375" w:type="dxa"/>
                </w:tcPr>
                <w:p w:rsidR="00526A48" w:rsidRDefault="00FB421F">
                  <w:pPr>
                    <w:pStyle w:val="a1"/>
                    <w:widowControl w:val="0"/>
                    <w:suppressAutoHyphens/>
                    <w:rPr>
                      <w:rStyle w:val="af1"/>
                    </w:rPr>
                  </w:pPr>
                  <w:r>
                    <w:rPr>
                      <w:rStyle w:val="af1"/>
                    </w:rPr>
                    <w:t>7.</w:t>
                  </w:r>
                </w:p>
              </w:tc>
              <w:tc>
                <w:tcPr>
                  <w:tcW w:w="9376" w:type="dxa"/>
                </w:tcPr>
                <w:p w:rsidR="00526A48" w:rsidRDefault="00FB421F">
                  <w:pPr>
                    <w:pStyle w:val="a1"/>
                    <w:widowControl w:val="0"/>
                    <w:suppressAutoHyphens/>
                    <w:rPr>
                      <w:rStyle w:val="af1"/>
                    </w:rPr>
                  </w:pPr>
                  <w:r>
                    <w:rPr>
                      <w:rStyle w:val="af1"/>
                    </w:rPr>
                    <w:t>Ustanovení přechodná a závěrečná</w:t>
                  </w:r>
                </w:p>
              </w:tc>
            </w:tr>
            <w:tr w:rsidR="00526A48">
              <w:tc>
                <w:tcPr>
                  <w:tcW w:w="375" w:type="dxa"/>
                </w:tcPr>
                <w:p w:rsidR="00526A48" w:rsidRDefault="00FB421F">
                  <w:pPr>
                    <w:pStyle w:val="a1"/>
                    <w:widowControl w:val="0"/>
                    <w:suppressAutoHyphens/>
                    <w:rPr>
                      <w:rStyle w:val="ab"/>
                    </w:rPr>
                  </w:pPr>
                  <w:r>
                    <w:rPr>
                      <w:rStyle w:val="ab"/>
                    </w:rPr>
                    <w:t>7.1</w:t>
                  </w:r>
                </w:p>
              </w:tc>
              <w:tc>
                <w:tcPr>
                  <w:tcW w:w="9376" w:type="dxa"/>
                </w:tcPr>
                <w:p w:rsidR="00526A48" w:rsidRDefault="00FB421F">
                  <w:pPr>
                    <w:pStyle w:val="a1"/>
                    <w:widowControl w:val="0"/>
                    <w:suppressAutoHyphens/>
                    <w:rPr>
                      <w:rStyle w:val="ab"/>
                    </w:rPr>
                  </w:pPr>
                  <w:r>
                    <w:rPr>
                      <w:rStyle w:val="ab"/>
                    </w:rPr>
                    <w:t xml:space="preserve">Zahájením dodávky plynu dle Smlouvy se ruší všechny dříve uzavřené smluvní vztahy, jejichž předmětem je dodávka plynu do odběrných míst uvedených ve Smlouvě uzavřené mezi stejnými smluvními stranami nebo jejich právními předchůdci. </w:t>
                  </w:r>
                </w:p>
              </w:tc>
            </w:tr>
            <w:tr w:rsidR="00526A48">
              <w:tc>
                <w:tcPr>
                  <w:tcW w:w="375" w:type="dxa"/>
                </w:tcPr>
                <w:p w:rsidR="00526A48" w:rsidRDefault="00FB421F">
                  <w:pPr>
                    <w:pStyle w:val="a1"/>
                    <w:widowControl w:val="0"/>
                    <w:suppressAutoHyphens/>
                    <w:rPr>
                      <w:rStyle w:val="ab"/>
                    </w:rPr>
                  </w:pPr>
                  <w:r>
                    <w:rPr>
                      <w:rStyle w:val="ab"/>
                    </w:rPr>
                    <w:t>7.2</w:t>
                  </w:r>
                </w:p>
              </w:tc>
              <w:tc>
                <w:tcPr>
                  <w:tcW w:w="9376" w:type="dxa"/>
                </w:tcPr>
                <w:p w:rsidR="00526A48" w:rsidRDefault="00FB421F">
                  <w:pPr>
                    <w:pStyle w:val="a1"/>
                    <w:widowControl w:val="0"/>
                    <w:suppressAutoHyphens/>
                    <w:rPr>
                      <w:rStyle w:val="ab"/>
                    </w:rPr>
                  </w:pPr>
                  <w:r>
                    <w:rPr>
                      <w:rStyle w:val="ab"/>
                    </w:rPr>
                    <w:t xml:space="preserve">V případě konání právního jednání Dodavatele včetně uzavírání, změny a ukončování Smlouvy, lze vlastnoruční podpis zástupce Dodavatele nahradit faksimilií tohoto podpisu. </w:t>
                  </w:r>
                </w:p>
              </w:tc>
            </w:tr>
            <w:tr w:rsidR="00526A48">
              <w:tc>
                <w:tcPr>
                  <w:tcW w:w="375" w:type="dxa"/>
                </w:tcPr>
                <w:p w:rsidR="00526A48" w:rsidRDefault="00FB421F">
                  <w:pPr>
                    <w:pStyle w:val="a1"/>
                    <w:widowControl w:val="0"/>
                    <w:suppressAutoHyphens/>
                    <w:rPr>
                      <w:rStyle w:val="ab"/>
                    </w:rPr>
                  </w:pPr>
                  <w:r>
                    <w:rPr>
                      <w:rStyle w:val="ab"/>
                    </w:rPr>
                    <w:t>7.3</w:t>
                  </w:r>
                </w:p>
              </w:tc>
              <w:tc>
                <w:tcPr>
                  <w:tcW w:w="9376" w:type="dxa"/>
                </w:tcPr>
                <w:p w:rsidR="00526A48" w:rsidRDefault="00FB421F">
                  <w:pPr>
                    <w:pStyle w:val="a1"/>
                    <w:widowControl w:val="0"/>
                    <w:suppressAutoHyphens/>
                    <w:rPr>
                      <w:rStyle w:val="af2"/>
                    </w:rPr>
                  </w:pPr>
                  <w:r>
                    <w:rPr>
                      <w:rStyle w:val="af2"/>
                    </w:rPr>
                    <w:t>Původní znění tohoto odstavce obsahující znění souhlasu se zpracováním osobních údajů se neuplatňuje z důvodu zajištění souladu s obecně závaznými právními předpisy v oblasti ochrany osobních údajů.</w:t>
                  </w:r>
                  <w:r>
                    <w:rPr>
                      <w:rStyle w:val="ab"/>
                    </w:rPr>
                    <w:t xml:space="preserve"> </w:t>
                  </w:r>
                </w:p>
              </w:tc>
            </w:tr>
            <w:tr w:rsidR="00526A48">
              <w:tc>
                <w:tcPr>
                  <w:tcW w:w="375" w:type="dxa"/>
                </w:tcPr>
                <w:p w:rsidR="00526A48" w:rsidRDefault="00FB421F">
                  <w:pPr>
                    <w:pStyle w:val="a1"/>
                    <w:widowControl w:val="0"/>
                    <w:suppressAutoHyphens/>
                    <w:rPr>
                      <w:rStyle w:val="ab"/>
                    </w:rPr>
                  </w:pPr>
                  <w:r>
                    <w:rPr>
                      <w:rStyle w:val="ab"/>
                    </w:rPr>
                    <w:t>7.4</w:t>
                  </w:r>
                </w:p>
              </w:tc>
              <w:tc>
                <w:tcPr>
                  <w:tcW w:w="9376" w:type="dxa"/>
                </w:tcPr>
                <w:p w:rsidR="00526A48" w:rsidRDefault="00FB421F">
                  <w:pPr>
                    <w:pStyle w:val="a1"/>
                    <w:widowControl w:val="0"/>
                    <w:suppressAutoHyphens/>
                    <w:rPr>
                      <w:rStyle w:val="ab"/>
                    </w:rPr>
                  </w:pPr>
                  <w:r>
                    <w:rPr>
                      <w:rStyle w:val="ab"/>
                    </w:rPr>
                    <w:t xml:space="preserve">Orgánem, který je oprávněn v zákonem stanovených případech rozhodovat spory mezi Zákazníkem a Dodavatelem a přijímat stížnosti Zákazníka je Energetický regulační úřad (www.eru.cz). </w:t>
                  </w:r>
                </w:p>
              </w:tc>
            </w:tr>
            <w:tr w:rsidR="00526A48">
              <w:tc>
                <w:tcPr>
                  <w:tcW w:w="375" w:type="dxa"/>
                </w:tcPr>
                <w:p w:rsidR="00526A48" w:rsidRDefault="00FB421F">
                  <w:pPr>
                    <w:pStyle w:val="a1"/>
                    <w:widowControl w:val="0"/>
                    <w:suppressAutoHyphens/>
                    <w:rPr>
                      <w:rStyle w:val="ab"/>
                    </w:rPr>
                  </w:pPr>
                  <w:r>
                    <w:rPr>
                      <w:rStyle w:val="ab"/>
                    </w:rPr>
                    <w:t>7.5</w:t>
                  </w:r>
                </w:p>
              </w:tc>
              <w:tc>
                <w:tcPr>
                  <w:tcW w:w="9376" w:type="dxa"/>
                </w:tcPr>
                <w:p w:rsidR="00526A48" w:rsidRDefault="00FB421F">
                  <w:pPr>
                    <w:pStyle w:val="a1"/>
                    <w:widowControl w:val="0"/>
                    <w:suppressAutoHyphens/>
                    <w:rPr>
                      <w:rStyle w:val="ab"/>
                    </w:rPr>
                  </w:pPr>
                  <w:r>
                    <w:rPr>
                      <w:rStyle w:val="ab"/>
                    </w:rPr>
                    <w:t xml:space="preserve">Ve smyslu ustanovení § 89a občanského soudního řádu se obě smluvní strany dohodly, že v případě řešení sporů soudní cestou bude místně příslušným soudem Okresní soud v Českých Budějovicích, popř. Krajský soud v Českých Budějovicích. Toto ustanovení platí pouze pro Zákazníky, kteří nejsou spotřebitelé. </w:t>
                  </w:r>
                </w:p>
              </w:tc>
            </w:tr>
            <w:tr w:rsidR="00526A48">
              <w:tc>
                <w:tcPr>
                  <w:tcW w:w="375" w:type="dxa"/>
                </w:tcPr>
                <w:p w:rsidR="00526A48" w:rsidRDefault="00FB421F">
                  <w:pPr>
                    <w:pStyle w:val="a1"/>
                    <w:widowControl w:val="0"/>
                    <w:suppressAutoHyphens/>
                    <w:rPr>
                      <w:rStyle w:val="ab"/>
                    </w:rPr>
                  </w:pPr>
                  <w:r>
                    <w:rPr>
                      <w:rStyle w:val="ab"/>
                    </w:rPr>
                    <w:t>7.6</w:t>
                  </w:r>
                </w:p>
              </w:tc>
              <w:tc>
                <w:tcPr>
                  <w:tcW w:w="9376" w:type="dxa"/>
                </w:tcPr>
                <w:p w:rsidR="00526A48" w:rsidRDefault="00FB421F">
                  <w:pPr>
                    <w:pStyle w:val="a1"/>
                    <w:widowControl w:val="0"/>
                    <w:suppressAutoHyphens/>
                    <w:rPr>
                      <w:rStyle w:val="ab"/>
                    </w:rPr>
                  </w:pPr>
                  <w:r>
                    <w:rPr>
                      <w:rStyle w:val="ab"/>
                    </w:rPr>
                    <w:t xml:space="preserve">V případě rozporu mezi Smlouvou a těmito OP mají přednost ustanovení uvedená ve Smlouvě. </w:t>
                  </w:r>
                </w:p>
              </w:tc>
            </w:tr>
            <w:tr w:rsidR="00526A48">
              <w:tc>
                <w:tcPr>
                  <w:tcW w:w="375" w:type="dxa"/>
                </w:tcPr>
                <w:p w:rsidR="00526A48" w:rsidRDefault="00FB421F">
                  <w:pPr>
                    <w:pStyle w:val="a1"/>
                    <w:widowControl w:val="0"/>
                    <w:suppressAutoHyphens/>
                    <w:rPr>
                      <w:rStyle w:val="ab"/>
                    </w:rPr>
                  </w:pPr>
                  <w:r>
                    <w:rPr>
                      <w:rStyle w:val="ab"/>
                    </w:rPr>
                    <w:t>7.7</w:t>
                  </w:r>
                </w:p>
              </w:tc>
              <w:tc>
                <w:tcPr>
                  <w:tcW w:w="9376" w:type="dxa"/>
                </w:tcPr>
                <w:p w:rsidR="00526A48" w:rsidRDefault="00FB421F">
                  <w:pPr>
                    <w:pStyle w:val="a1"/>
                    <w:widowControl w:val="0"/>
                    <w:suppressAutoHyphens/>
                    <w:rPr>
                      <w:rStyle w:val="ab"/>
                    </w:rPr>
                  </w:pPr>
                  <w:r>
                    <w:rPr>
                      <w:rStyle w:val="ab"/>
                    </w:rPr>
                    <w:t xml:space="preserve">Tyto OP nenahrazují obchodní podmínky, které jsou součástí smluv uzavřených do 31. 12. 2015. </w:t>
                  </w:r>
                </w:p>
              </w:tc>
            </w:tr>
            <w:tr w:rsidR="00526A48">
              <w:tc>
                <w:tcPr>
                  <w:tcW w:w="375" w:type="dxa"/>
                </w:tcPr>
                <w:p w:rsidR="00526A48" w:rsidRDefault="00FB421F">
                  <w:pPr>
                    <w:pStyle w:val="a1"/>
                    <w:widowControl w:val="0"/>
                    <w:suppressAutoHyphens/>
                    <w:rPr>
                      <w:rStyle w:val="ab"/>
                    </w:rPr>
                  </w:pPr>
                  <w:r>
                    <w:rPr>
                      <w:rStyle w:val="ab"/>
                    </w:rPr>
                    <w:t>7.8</w:t>
                  </w:r>
                </w:p>
              </w:tc>
              <w:tc>
                <w:tcPr>
                  <w:tcW w:w="9376" w:type="dxa"/>
                </w:tcPr>
                <w:p w:rsidR="00526A48" w:rsidRDefault="00FB421F">
                  <w:pPr>
                    <w:pStyle w:val="a1"/>
                    <w:widowControl w:val="0"/>
                    <w:suppressAutoHyphens/>
                    <w:rPr>
                      <w:rStyle w:val="ab"/>
                    </w:rPr>
                  </w:pPr>
                  <w:r>
                    <w:rPr>
                      <w:rStyle w:val="ab"/>
                    </w:rPr>
                    <w:t xml:space="preserve">Tyto OP nabývají účinnosti dnem 1. 1. 2016. </w:t>
                  </w:r>
                </w:p>
              </w:tc>
            </w:tr>
          </w:tbl>
          <w:p w:rsidR="00526A48" w:rsidRDefault="00526A48">
            <w:pPr>
              <w:pStyle w:val="a1"/>
              <w:widowControl w:val="0"/>
              <w:suppressAutoHyphens/>
              <w:rPr>
                <w:rStyle w:val="ab"/>
              </w:rPr>
            </w:pPr>
          </w:p>
          <w:tbl>
            <w:tblPr>
              <w:tblStyle w:val="t9"/>
              <w:tblW w:w="9751" w:type="dxa"/>
              <w:tblInd w:w="0" w:type="dxa"/>
              <w:tblLayout w:type="fixed"/>
              <w:tblLook w:val="04A0"/>
            </w:tblPr>
            <w:tblGrid>
              <w:gridCol w:w="9751"/>
            </w:tblGrid>
            <w:tr w:rsidR="00526A48">
              <w:tc>
                <w:tcPr>
                  <w:tcW w:w="9751" w:type="dxa"/>
                </w:tcPr>
                <w:p w:rsidR="00526A48" w:rsidRDefault="00FB421F">
                  <w:pPr>
                    <w:pStyle w:val="a1"/>
                    <w:widowControl w:val="0"/>
                    <w:suppressAutoHyphens/>
                    <w:rPr>
                      <w:rStyle w:val="ab"/>
                    </w:rPr>
                  </w:pPr>
                  <w:r>
                    <w:rPr>
                      <w:rStyle w:val="ab"/>
                    </w:rPr>
                    <w:lastRenderedPageBreak/>
                    <w:t>V Českých Budějovicích dne 3. 11. 2015</w:t>
                  </w:r>
                </w:p>
              </w:tc>
            </w:tr>
          </w:tbl>
          <w:p w:rsidR="00526A48" w:rsidRDefault="00526A48">
            <w:pPr>
              <w:pStyle w:val="a1"/>
              <w:widowControl w:val="0"/>
              <w:suppressAutoHyphens/>
              <w:rPr>
                <w:rStyle w:val="ab"/>
              </w:rPr>
            </w:pPr>
          </w:p>
          <w:tbl>
            <w:tblPr>
              <w:tblStyle w:val="t9"/>
              <w:tblW w:w="9751" w:type="dxa"/>
              <w:tblInd w:w="0" w:type="dxa"/>
              <w:tblLayout w:type="fixed"/>
              <w:tblLook w:val="04A0"/>
            </w:tblPr>
            <w:tblGrid>
              <w:gridCol w:w="9751"/>
            </w:tblGrid>
            <w:tr w:rsidR="00526A48">
              <w:tc>
                <w:tcPr>
                  <w:tcW w:w="9751" w:type="dxa"/>
                </w:tcPr>
                <w:p w:rsidR="00526A48" w:rsidRDefault="00FB421F">
                  <w:pPr>
                    <w:pStyle w:val="a1"/>
                    <w:widowControl w:val="0"/>
                    <w:suppressAutoHyphens/>
                    <w:rPr>
                      <w:rStyle w:val="ab"/>
                    </w:rPr>
                  </w:pPr>
                  <w:r>
                    <w:rPr>
                      <w:rStyle w:val="ab"/>
                    </w:rPr>
                    <w:t>Představenstvo E.ON Energie, a.s.</w:t>
                  </w:r>
                </w:p>
              </w:tc>
            </w:tr>
          </w:tbl>
          <w:p w:rsidR="00526A48" w:rsidRDefault="00526A48">
            <w:pPr>
              <w:pStyle w:val="a1"/>
              <w:widowControl w:val="0"/>
            </w:pPr>
          </w:p>
        </w:tc>
      </w:tr>
    </w:tbl>
    <w:p w:rsidR="00FB421F" w:rsidRDefault="00FB421F"/>
    <w:sectPr w:rsidR="00FB421F" w:rsidSect="00423FD4">
      <w:headerReference w:type="default" r:id="rId9"/>
      <w:pgSz w:w="11911" w:h="16832"/>
      <w:pgMar w:top="1260" w:right="743" w:bottom="675" w:left="1417" w:header="0"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C96" w:rsidRDefault="000C5C96">
      <w:pPr>
        <w:spacing w:after="0" w:line="240" w:lineRule="auto"/>
      </w:pPr>
      <w:r>
        <w:separator/>
      </w:r>
    </w:p>
  </w:endnote>
  <w:endnote w:type="continuationSeparator" w:id="0">
    <w:p w:rsidR="000C5C96" w:rsidRDefault="000C5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ON Brix Sans">
    <w:altName w:val="Segoe UI"/>
    <w:charset w:val="EE"/>
    <w:family w:val="swiss"/>
    <w:pitch w:val="variable"/>
    <w:sig w:usb0="A00000AF" w:usb1="5000207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C96" w:rsidRDefault="000C5C96">
      <w:pPr>
        <w:spacing w:after="0" w:line="240" w:lineRule="auto"/>
      </w:pPr>
      <w:r>
        <w:separator/>
      </w:r>
    </w:p>
  </w:footnote>
  <w:footnote w:type="continuationSeparator" w:id="0">
    <w:p w:rsidR="000C5C96" w:rsidRDefault="000C5C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A48" w:rsidRDefault="007D52EF">
    <w:pPr>
      <w:spacing w:after="0" w:line="240" w:lineRule="auto"/>
      <w:rPr>
        <w:rStyle w:val="a6"/>
        <w:rFonts w:eastAsiaTheme="minorEastAsia"/>
      </w:rPr>
    </w:pPr>
    <w:r w:rsidRPr="007D52EF">
      <w:rPr>
        <w:noProof/>
      </w:rPr>
      <w:pict>
        <v:group id="Skupina 1001" o:spid="_x0000_s4097" style="position:absolute;margin-left:7in;margin-top:818.95pt;width:56.7pt;height:17.2pt;z-index:1000;mso-wrap-distance-left:0;mso-wrap-distance-right:0;mso-position-horizontal-relative:page;mso-position-vertical-relative:page" coordsize="720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">
          <v:rect id="Obdélník 1" o:spid="_x0000_s4099" style="position:absolute;width:7200;height:21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type id="_x0000_t202" coordsize="21600,21600" o:spt="202" path="m,l,21600r21600,l21600,xe">
            <v:stroke joinstyle="miter"/>
            <v:path gradientshapeok="t" o:connecttype="rect"/>
          </v:shapetype>
          <v:shape id="Textové pole 2" o:spid="_x0000_s4098" type="#_x0000_t202" style="position:absolute;width:4571;height:2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" filled="f" stroked="f" strokeweight="0">
            <v:textbox inset="0,0,0,0">
              <w:txbxContent>
                <w:p w:rsidR="00526A48" w:rsidRDefault="007D52EF">
                  <w:pPr>
                    <w:pStyle w:val="a"/>
                    <w:widowControl w:val="0"/>
                    <w:suppressAutoHyphens/>
                    <w:rPr>
                      <w:rStyle w:val="a8"/>
                    </w:rPr>
                  </w:pPr>
                  <w:r>
                    <w:rPr>
                      <w:rStyle w:val="a8"/>
                    </w:rPr>
                    <w:fldChar w:fldCharType="begin"/>
                  </w:r>
                  <w:r w:rsidR="00FB421F">
                    <w:rPr>
                      <w:rStyle w:val="a8"/>
                    </w:rPr>
                    <w:instrText>PAGE \* Arabic \* MERGEFORMAT</w:instrText>
                  </w:r>
                  <w:r>
                    <w:rPr>
                      <w:rStyle w:val="a8"/>
                    </w:rPr>
                    <w:fldChar w:fldCharType="separate"/>
                  </w:r>
                  <w:r w:rsidR="006F3BFE">
                    <w:rPr>
                      <w:rStyle w:val="a8"/>
                      <w:noProof/>
                    </w:rPr>
                    <w:t>1</w:t>
                  </w:r>
                  <w:r>
                    <w:rPr>
                      <w:rStyle w:val="a8"/>
                    </w:rPr>
                    <w:fldChar w:fldCharType="end"/>
                  </w:r>
                  <w:r w:rsidR="00FB421F">
                    <w:rPr>
                      <w:rStyle w:val="a8"/>
                    </w:rPr>
                    <w:t xml:space="preserve"> | </w:t>
                  </w:r>
                  <w:fldSimple w:instr="NUMPAGES \* Arabic \* MERGEFORMAT">
                    <w:r w:rsidR="006F3BFE" w:rsidRPr="006F3BFE">
                      <w:rPr>
                        <w:rStyle w:val="a8"/>
                        <w:noProof/>
                      </w:rPr>
                      <w:t>5</w:t>
                    </w:r>
                  </w:fldSimple>
                </w:p>
              </w:txbxContent>
            </v:textbox>
          </v:shape>
          <w10:wrap anchorx="page" anchory="page"/>
        </v:group>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ří Vopařil">
    <w15:presenceInfo w15:providerId="None" w15:userId="Jiří Vopaři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trackedChanges" w:enforcement="0"/>
  <w:defaultTabStop w:val="708"/>
  <w:autoHyphenation/>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526A48"/>
    <w:rsid w:val="000C5C96"/>
    <w:rsid w:val="000E1D59"/>
    <w:rsid w:val="000F71FA"/>
    <w:rsid w:val="00423FD4"/>
    <w:rsid w:val="00526A48"/>
    <w:rsid w:val="00527263"/>
    <w:rsid w:val="006F3BFE"/>
    <w:rsid w:val="00761F8F"/>
    <w:rsid w:val="007D52EF"/>
    <w:rsid w:val="00D30085"/>
    <w:rsid w:val="00DA1E22"/>
    <w:rsid w:val="00F726F8"/>
    <w:rsid w:val="00FB42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3FD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rsid w:val="00423FD4"/>
    <w:pPr>
      <w:spacing w:after="0" w:line="240" w:lineRule="auto"/>
      <w:jc w:val="both"/>
    </w:pPr>
  </w:style>
  <w:style w:type="paragraph" w:customStyle="1" w:styleId="a0">
    <w:rsid w:val="00423FD4"/>
    <w:pPr>
      <w:spacing w:after="0" w:line="240" w:lineRule="auto"/>
      <w:jc w:val="both"/>
    </w:pPr>
  </w:style>
  <w:style w:type="paragraph" w:customStyle="1" w:styleId="a1">
    <w:rsid w:val="00423FD4"/>
    <w:pPr>
      <w:spacing w:after="0" w:line="240" w:lineRule="auto"/>
    </w:pPr>
  </w:style>
  <w:style w:type="paragraph" w:customStyle="1" w:styleId="a2">
    <w:rsid w:val="00423FD4"/>
    <w:pPr>
      <w:spacing w:after="0" w:line="0" w:lineRule="atLeast"/>
    </w:pPr>
  </w:style>
  <w:style w:type="paragraph" w:customStyle="1" w:styleId="a3">
    <w:rsid w:val="00423FD4"/>
    <w:pPr>
      <w:spacing w:after="0" w:line="240" w:lineRule="auto"/>
      <w:jc w:val="right"/>
    </w:pPr>
  </w:style>
  <w:style w:type="paragraph" w:customStyle="1" w:styleId="a4">
    <w:rsid w:val="00423FD4"/>
    <w:pPr>
      <w:spacing w:before="75" w:after="0" w:line="240" w:lineRule="auto"/>
      <w:jc w:val="center"/>
    </w:pPr>
  </w:style>
  <w:style w:type="paragraph" w:customStyle="1" w:styleId="a5">
    <w:rsid w:val="00423FD4"/>
    <w:pPr>
      <w:spacing w:before="75" w:after="0" w:line="240" w:lineRule="auto"/>
    </w:pPr>
  </w:style>
  <w:style w:type="character" w:customStyle="1" w:styleId="a6">
    <w:rsid w:val="00423FD4"/>
    <w:rPr>
      <w:rFonts w:ascii="Times New Roman" w:eastAsia="Times New Roman" w:hAnsi="Times New Roman" w:cs="Times New Roman"/>
      <w:color w:val="000000"/>
      <w:sz w:val="24"/>
      <w:lang w:val="en-US" w:eastAsia="en-US" w:bidi="en-US"/>
    </w:rPr>
  </w:style>
  <w:style w:type="character" w:customStyle="1" w:styleId="a7">
    <w:rsid w:val="00423FD4"/>
    <w:rPr>
      <w:rFonts w:ascii="EON Brix Sans" w:eastAsia="EON Brix Sans" w:hAnsi="EON Brix Sans" w:cs="EON Brix Sans"/>
      <w:color w:val="000000"/>
      <w:sz w:val="18"/>
      <w:lang w:val="cs-CZ" w:eastAsia="cs-CZ" w:bidi="cs-CZ"/>
    </w:rPr>
  </w:style>
  <w:style w:type="character" w:customStyle="1" w:styleId="a8">
    <w:rsid w:val="00423FD4"/>
    <w:rPr>
      <w:rFonts w:ascii="EON Brix Sans" w:eastAsia="EON Brix Sans" w:hAnsi="EON Brix Sans" w:cs="EON Brix Sans"/>
      <w:color w:val="000000"/>
      <w:sz w:val="16"/>
      <w:lang w:val="en-US" w:eastAsia="en-US" w:bidi="en-US"/>
    </w:rPr>
  </w:style>
  <w:style w:type="character" w:customStyle="1" w:styleId="a9">
    <w:rsid w:val="00423FD4"/>
    <w:rPr>
      <w:rFonts w:ascii="EON Brix Sans" w:eastAsia="EON Brix Sans" w:hAnsi="EON Brix Sans" w:cs="EON Brix Sans"/>
      <w:color w:val="000000"/>
      <w:sz w:val="18"/>
      <w:lang w:val="cs-CZ" w:eastAsia="cs-CZ" w:bidi="cs-CZ"/>
    </w:rPr>
  </w:style>
  <w:style w:type="character" w:customStyle="1" w:styleId="aa">
    <w:rsid w:val="00423FD4"/>
    <w:rPr>
      <w:rFonts w:ascii="EON Brix Sans" w:eastAsia="EON Brix Sans" w:hAnsi="EON Brix Sans" w:cs="EON Brix Sans"/>
      <w:b/>
      <w:bCs/>
      <w:color w:val="000000"/>
      <w:sz w:val="18"/>
      <w:lang w:val="cs-CZ" w:eastAsia="cs-CZ" w:bidi="cs-CZ"/>
    </w:rPr>
  </w:style>
  <w:style w:type="character" w:customStyle="1" w:styleId="ab">
    <w:rsid w:val="00423FD4"/>
    <w:rPr>
      <w:rFonts w:ascii="EON Brix Sans" w:eastAsia="EON Brix Sans" w:hAnsi="EON Brix Sans" w:cs="EON Brix Sans"/>
      <w:color w:val="000000"/>
      <w:sz w:val="16"/>
      <w:lang w:val="cs-CZ" w:eastAsia="cs-CZ" w:bidi="cs-CZ"/>
    </w:rPr>
  </w:style>
  <w:style w:type="character" w:customStyle="1" w:styleId="ac">
    <w:rsid w:val="00423FD4"/>
    <w:rPr>
      <w:rFonts w:ascii="EON Brix Sans" w:eastAsia="EON Brix Sans" w:hAnsi="EON Brix Sans" w:cs="EON Brix Sans"/>
      <w:b/>
      <w:bCs/>
      <w:color w:val="FF0000"/>
      <w:sz w:val="29"/>
      <w:lang w:val="cs-CZ" w:eastAsia="cs-CZ" w:bidi="cs-CZ"/>
    </w:rPr>
  </w:style>
  <w:style w:type="character" w:customStyle="1" w:styleId="ad">
    <w:rsid w:val="00423FD4"/>
    <w:rPr>
      <w:rFonts w:ascii="EON Brix Sans" w:eastAsia="EON Brix Sans" w:hAnsi="EON Brix Sans" w:cs="EON Brix Sans"/>
      <w:color w:val="FF0000"/>
      <w:sz w:val="29"/>
      <w:lang w:val="cs-CZ" w:eastAsia="cs-CZ" w:bidi="cs-CZ"/>
    </w:rPr>
  </w:style>
  <w:style w:type="character" w:customStyle="1" w:styleId="ae">
    <w:rsid w:val="00423FD4"/>
    <w:rPr>
      <w:rFonts w:ascii="EON Brix Sans" w:eastAsia="EON Brix Sans" w:hAnsi="EON Brix Sans" w:cs="EON Brix Sans"/>
      <w:b/>
      <w:bCs/>
      <w:color w:val="FF0000"/>
      <w:sz w:val="18"/>
      <w:lang w:val="cs-CZ" w:eastAsia="cs-CZ" w:bidi="cs-CZ"/>
    </w:rPr>
  </w:style>
  <w:style w:type="character" w:customStyle="1" w:styleId="af">
    <w:rsid w:val="00423FD4"/>
    <w:rPr>
      <w:rFonts w:ascii="EON Brix Sans" w:eastAsia="EON Brix Sans" w:hAnsi="EON Brix Sans" w:cs="EON Brix Sans"/>
      <w:b/>
      <w:bCs/>
      <w:color w:val="FF0000"/>
      <w:sz w:val="18"/>
      <w:lang w:val="cs-CZ" w:eastAsia="cs-CZ" w:bidi="cs-CZ"/>
    </w:rPr>
  </w:style>
  <w:style w:type="character" w:customStyle="1" w:styleId="af0">
    <w:rsid w:val="00423FD4"/>
    <w:rPr>
      <w:rFonts w:ascii="EON Brix Sans" w:eastAsia="EON Brix Sans" w:hAnsi="EON Brix Sans" w:cs="EON Brix Sans"/>
      <w:color w:val="000000"/>
      <w:sz w:val="3"/>
      <w:lang w:val="cs-CZ" w:eastAsia="cs-CZ" w:bidi="cs-CZ"/>
    </w:rPr>
  </w:style>
  <w:style w:type="character" w:customStyle="1" w:styleId="af1">
    <w:rsid w:val="00423FD4"/>
    <w:rPr>
      <w:rFonts w:ascii="EON Brix Sans" w:eastAsia="EON Brix Sans" w:hAnsi="EON Brix Sans" w:cs="EON Brix Sans"/>
      <w:b/>
      <w:bCs/>
      <w:color w:val="FF0000"/>
      <w:sz w:val="16"/>
      <w:lang w:val="cs-CZ" w:eastAsia="cs-CZ" w:bidi="cs-CZ"/>
    </w:rPr>
  </w:style>
  <w:style w:type="character" w:customStyle="1" w:styleId="af2">
    <w:rsid w:val="00423FD4"/>
    <w:rPr>
      <w:rFonts w:ascii="EON Brix Sans" w:eastAsia="EON Brix Sans" w:hAnsi="EON Brix Sans" w:cs="EON Brix Sans"/>
      <w:i/>
      <w:iCs/>
      <w:color w:val="000000"/>
      <w:sz w:val="16"/>
      <w:lang w:val="cs-CZ" w:eastAsia="cs-CZ" w:bidi="cs-CZ"/>
    </w:rPr>
  </w:style>
  <w:style w:type="table" w:customStyle="1" w:styleId="t3">
    <w:name w:val="t_3"/>
    <w:rsid w:val="00423FD4"/>
    <w:tblPr>
      <w:tblCellMar>
        <w:top w:w="0" w:type="dxa"/>
        <w:left w:w="0" w:type="dxa"/>
        <w:bottom w:w="0" w:type="dxa"/>
        <w:right w:w="0" w:type="dxa"/>
      </w:tblCellMar>
    </w:tblPr>
  </w:style>
  <w:style w:type="table" w:customStyle="1" w:styleId="t9">
    <w:name w:val="t_9"/>
    <w:rsid w:val="00423FD4"/>
    <w:tblPr>
      <w:tblCellMar>
        <w:top w:w="0" w:type="dxa"/>
        <w:left w:w="0" w:type="dxa"/>
        <w:bottom w:w="0" w:type="dxa"/>
        <w:right w:w="0" w:type="dxa"/>
      </w:tblCellMar>
    </w:tblPr>
  </w:style>
  <w:style w:type="table" w:customStyle="1" w:styleId="t1d">
    <w:name w:val="t_1d"/>
    <w:rsid w:val="00423FD4"/>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0E1D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1D5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2576</Words>
  <Characters>15199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Město Boskovice</Company>
  <LinksUpToDate>false</LinksUpToDate>
  <CharactersWithSpaces>17740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Rothová, Miroslava</dc:creator>
  <cp:lastModifiedBy>strya</cp:lastModifiedBy>
  <cp:revision>2</cp:revision>
  <dcterms:created xsi:type="dcterms:W3CDTF">2020-03-25T08:18:00Z</dcterms:created>
  <dcterms:modified xsi:type="dcterms:W3CDTF">2020-03-25T08:18:00Z</dcterms:modified>
</cp:coreProperties>
</file>