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7" w:rsidRDefault="00F27577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46559172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F27577" w:rsidRDefault="00F27577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F27577" w:rsidRDefault="00F27577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F27577" w:rsidRDefault="00F27577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F27577" w:rsidRDefault="00F27577"/>
    <w:p w:rsidR="00F27577" w:rsidRDefault="00F27577">
      <w:pPr>
        <w:jc w:val="center"/>
      </w:pPr>
      <w:r>
        <w:t>uzavřená níže uvedeného dne, měsíce a roku</w:t>
      </w:r>
    </w:p>
    <w:p w:rsidR="00F27577" w:rsidRDefault="00F27577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F27577" w:rsidRDefault="00F27577">
      <w:pPr>
        <w:pStyle w:val="Zkladntext3"/>
      </w:pPr>
      <w:r>
        <w:t>a § 10a a násl. zákona č. 250/2000 Sb.,</w:t>
      </w:r>
    </w:p>
    <w:p w:rsidR="00F27577" w:rsidRDefault="00F27577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F27577" w:rsidRDefault="00F27577">
      <w:pPr>
        <w:pStyle w:val="Zkladntext3"/>
        <w:rPr>
          <w:snapToGrid w:val="0"/>
        </w:rPr>
      </w:pPr>
    </w:p>
    <w:p w:rsidR="00F27577" w:rsidRDefault="00F27577">
      <w:pPr>
        <w:pStyle w:val="Zkladntext3"/>
        <w:rPr>
          <w:snapToGrid w:val="0"/>
        </w:rPr>
      </w:pPr>
    </w:p>
    <w:p w:rsidR="00F27577" w:rsidRDefault="00F27577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</w:t>
      </w:r>
      <w:r>
        <w:rPr>
          <w:b/>
          <w:snapToGrid w:val="0"/>
          <w:sz w:val="28"/>
        </w:rPr>
        <w:tab/>
        <w:t xml:space="preserve">     </w:t>
      </w:r>
      <w:r>
        <w:rPr>
          <w:b/>
          <w:snapToGrid w:val="0"/>
          <w:sz w:val="28"/>
        </w:rPr>
        <w:tab/>
        <w:t xml:space="preserve">město Strakonice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</w:t>
      </w:r>
      <w:r>
        <w:rPr>
          <w:snapToGrid w:val="0"/>
        </w:rPr>
        <w:tab/>
        <w:t xml:space="preserve">     </w:t>
      </w:r>
      <w:r>
        <w:rPr>
          <w:snapToGrid w:val="0"/>
        </w:rPr>
        <w:tab/>
        <w:t xml:space="preserve">Strakonice, Velké náměstí 2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</w:t>
      </w:r>
      <w:r>
        <w:rPr>
          <w:snapToGrid w:val="0"/>
        </w:rPr>
        <w:tab/>
        <w:t>00251810</w:t>
      </w:r>
    </w:p>
    <w:p w:rsidR="00F27577" w:rsidRDefault="00F27577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snapToGrid w:val="0"/>
        </w:rPr>
        <w:tab/>
      </w:r>
      <w:r>
        <w:rPr>
          <w:bCs/>
          <w:snapToGrid w:val="0"/>
        </w:rPr>
        <w:t>starostou Mgr. Břetislavem Hrdličkou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</w:t>
      </w:r>
      <w:r>
        <w:rPr>
          <w:snapToGrid w:val="0"/>
        </w:rPr>
        <w:tab/>
        <w:t>ČSOB, a. s., pobočka Strakonice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</w:t>
      </w:r>
      <w:r>
        <w:rPr>
          <w:snapToGrid w:val="0"/>
        </w:rPr>
        <w:tab/>
        <w:t>182050112/0300</w:t>
      </w:r>
    </w:p>
    <w:p w:rsidR="00F27577" w:rsidRDefault="00F27577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F27577" w:rsidRDefault="00F27577">
      <w:pPr>
        <w:widowControl w:val="0"/>
        <w:spacing w:before="120"/>
        <w:rPr>
          <w:snapToGrid w:val="0"/>
        </w:rPr>
      </w:pPr>
    </w:p>
    <w:p w:rsidR="00F27577" w:rsidRDefault="00F27577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</w:p>
    <w:p w:rsidR="00F27577" w:rsidRDefault="00F27577">
      <w:pPr>
        <w:widowControl w:val="0"/>
        <w:spacing w:before="120" w:line="240" w:lineRule="atLeast"/>
        <w:rPr>
          <w:snapToGrid w:val="0"/>
        </w:rPr>
      </w:pPr>
    </w:p>
    <w:p w:rsidR="00F27577" w:rsidRDefault="00F27577">
      <w:pPr>
        <w:widowControl w:val="0"/>
        <w:autoSpaceDE w:val="0"/>
        <w:autoSpaceDN w:val="0"/>
        <w:adjustRightInd w:val="0"/>
        <w:rPr>
          <w:b/>
          <w:i/>
          <w:snapToGrid w:val="0"/>
        </w:rPr>
      </w:pPr>
      <w:r>
        <w:rPr>
          <w:b/>
          <w:i/>
          <w:snapToGrid w:val="0"/>
        </w:rPr>
        <w:t>PŘÍJEMCE:</w:t>
      </w:r>
      <w:r>
        <w:rPr>
          <w:b/>
          <w:i/>
          <w:snapToGrid w:val="0"/>
        </w:rPr>
        <w:tab/>
      </w:r>
    </w:p>
    <w:p w:rsidR="00F27577" w:rsidRDefault="00F27577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i/>
          <w:snapToGrid w:val="0"/>
        </w:rPr>
        <w:tab/>
      </w:r>
      <w:r w:rsidR="00B129D5">
        <w:rPr>
          <w:i/>
          <w:snapToGrid w:val="0"/>
        </w:rPr>
        <w:tab/>
      </w:r>
      <w:r w:rsidR="00B129D5" w:rsidRPr="009A0DC1">
        <w:rPr>
          <w:b/>
          <w:snapToGrid w:val="0"/>
          <w:sz w:val="28"/>
          <w:szCs w:val="28"/>
        </w:rPr>
        <w:t xml:space="preserve">Aeroklub Strakonice, z. </w:t>
      </w:r>
      <w:proofErr w:type="gramStart"/>
      <w:r w:rsidR="00B129D5" w:rsidRPr="009A0DC1">
        <w:rPr>
          <w:b/>
          <w:snapToGrid w:val="0"/>
          <w:sz w:val="28"/>
          <w:szCs w:val="28"/>
        </w:rPr>
        <w:t>s.</w:t>
      </w:r>
      <w:proofErr w:type="gramEnd"/>
      <w:r w:rsidRPr="009A0DC1">
        <w:rPr>
          <w:b/>
          <w:snapToGrid w:val="0"/>
          <w:sz w:val="28"/>
          <w:szCs w:val="28"/>
        </w:rPr>
        <w:tab/>
      </w:r>
      <w:r w:rsidR="00F078AB">
        <w:rPr>
          <w:snapToGrid w:val="0"/>
        </w:rPr>
        <w:t xml:space="preserve">       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129D5">
        <w:rPr>
          <w:snapToGrid w:val="0"/>
        </w:rPr>
        <w:t>Strakonice, V Lipkách 96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r w:rsidR="00B129D5">
        <w:rPr>
          <w:snapToGrid w:val="0"/>
        </w:rPr>
        <w:t>00</w:t>
      </w:r>
      <w:r w:rsidR="00637EC1">
        <w:rPr>
          <w:snapToGrid w:val="0"/>
        </w:rPr>
        <w:t>4</w:t>
      </w:r>
      <w:bookmarkStart w:id="0" w:name="_GoBack"/>
      <w:bookmarkEnd w:id="0"/>
      <w:r w:rsidR="00654C83">
        <w:rPr>
          <w:snapToGrid w:val="0"/>
        </w:rPr>
        <w:t>7</w:t>
      </w:r>
      <w:r w:rsidR="00B129D5">
        <w:rPr>
          <w:snapToGrid w:val="0"/>
        </w:rPr>
        <w:t>5645</w:t>
      </w:r>
      <w:r w:rsidR="00F078AB">
        <w:rPr>
          <w:snapToGrid w:val="0"/>
        </w:rPr>
        <w:t xml:space="preserve">    </w:t>
      </w:r>
      <w:r>
        <w:rPr>
          <w:snapToGrid w:val="0"/>
        </w:rPr>
        <w:t xml:space="preserve">                                        </w:t>
      </w:r>
    </w:p>
    <w:p w:rsidR="00F27577" w:rsidRDefault="00F27577">
      <w:pPr>
        <w:widowControl w:val="0"/>
        <w:spacing w:before="120" w:line="240" w:lineRule="atLeast"/>
        <w:rPr>
          <w:iCs/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 w:rsidR="00B129D5" w:rsidRPr="00541459">
        <w:rPr>
          <w:iCs/>
          <w:snapToGrid w:val="0"/>
        </w:rPr>
        <w:t>předsedou Petrem Chládkem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</w:t>
      </w:r>
      <w:r>
        <w:rPr>
          <w:snapToGrid w:val="0"/>
        </w:rPr>
        <w:tab/>
      </w:r>
      <w:r>
        <w:rPr>
          <w:snapToGrid w:val="0"/>
        </w:rPr>
        <w:tab/>
      </w:r>
      <w:r w:rsidR="00B129D5">
        <w:rPr>
          <w:snapToGrid w:val="0"/>
        </w:rPr>
        <w:t>0680150319/0800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</w:t>
      </w:r>
    </w:p>
    <w:p w:rsidR="00F27577" w:rsidRDefault="00F27577">
      <w:pPr>
        <w:widowControl w:val="0"/>
        <w:autoSpaceDE w:val="0"/>
        <w:autoSpaceDN w:val="0"/>
        <w:adjustRightInd w:val="0"/>
        <w:spacing w:before="12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F27577" w:rsidRDefault="00F27577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F27577" w:rsidRDefault="00F27577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27577" w:rsidRDefault="00F2757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snapToGrid w:val="0"/>
          <w:sz w:val="28"/>
        </w:rPr>
        <w:t>v tomto znění: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F27577" w:rsidRDefault="00F27577">
      <w:pPr>
        <w:jc w:val="center"/>
        <w:rPr>
          <w:b/>
          <w:bCs/>
        </w:rPr>
      </w:pPr>
    </w:p>
    <w:p w:rsidR="00F27577" w:rsidRDefault="00F27577">
      <w:pPr>
        <w:pStyle w:val="Zkladntext"/>
      </w:pPr>
      <w:r>
        <w:t>1) Předmětem této smlouvy je poskytnutí dotace z rozpočtu poskytovatele příjemci pro kalendářní rok 20</w:t>
      </w:r>
      <w:r w:rsidR="009C13B4">
        <w:t>20</w:t>
      </w:r>
      <w:r>
        <w:t xml:space="preserve"> ve výši</w:t>
      </w:r>
      <w:r w:rsidR="009A0DC1">
        <w:t xml:space="preserve"> </w:t>
      </w:r>
      <w:r w:rsidR="00147537">
        <w:t>65 000</w:t>
      </w:r>
      <w:r>
        <w:t xml:space="preserve"> Kč, slovy: </w:t>
      </w:r>
      <w:proofErr w:type="spellStart"/>
      <w:r w:rsidR="00147537">
        <w:t>šedesátpěttisíc</w:t>
      </w:r>
      <w:proofErr w:type="spellEnd"/>
      <w:r>
        <w:t xml:space="preserve"> korun českých (dále jen dotace). Zdrojem krytí dotace je v plné výši rozpočet poskytovatele.</w:t>
      </w:r>
    </w:p>
    <w:p w:rsidR="00F27577" w:rsidRDefault="00F27577">
      <w:pPr>
        <w:jc w:val="both"/>
      </w:pPr>
      <w:r>
        <w:t xml:space="preserve">Poskytnutí této dotace bylo schváleno usnesením </w:t>
      </w:r>
      <w:r w:rsidR="00D67525">
        <w:t>Zastupitelstva</w:t>
      </w:r>
      <w:r>
        <w:t xml:space="preserve"> města Strakonice</w:t>
      </w:r>
      <w:r>
        <w:br/>
        <w:t xml:space="preserve">č. </w:t>
      </w:r>
      <w:r w:rsidR="004D37B6">
        <w:t>109/ZM</w:t>
      </w:r>
      <w:r w:rsidR="00F01D1E">
        <w:t>/20</w:t>
      </w:r>
      <w:r w:rsidR="00C2351E">
        <w:t>20</w:t>
      </w:r>
      <w:r w:rsidR="005E1025">
        <w:t xml:space="preserve"> dne </w:t>
      </w:r>
      <w:r w:rsidR="00C2351E">
        <w:t>26</w:t>
      </w:r>
      <w:r w:rsidR="00082CBB">
        <w:t xml:space="preserve">. </w:t>
      </w:r>
      <w:r w:rsidR="00C2351E">
        <w:t>2</w:t>
      </w:r>
      <w:r w:rsidR="00082CBB">
        <w:t>. 20</w:t>
      </w:r>
      <w:r w:rsidR="00C2351E">
        <w:t>20</w:t>
      </w:r>
      <w:r w:rsidR="005E1025">
        <w:t xml:space="preserve"> </w:t>
      </w:r>
      <w:r>
        <w:t>na základě splnění podmínek vyhlášeného Dotačního programu města Strakonice na podporu tělovýchovy, sportu a ostatních vo</w:t>
      </w:r>
      <w:r w:rsidR="00104469">
        <w:t xml:space="preserve">lnočasových aktivit </w:t>
      </w:r>
      <w:r w:rsidR="00314063">
        <w:t xml:space="preserve">dospělých </w:t>
      </w:r>
      <w:r w:rsidR="00104469">
        <w:t>pro rok 2018</w:t>
      </w:r>
      <w:r>
        <w:t>.</w:t>
      </w:r>
    </w:p>
    <w:p w:rsidR="00F27577" w:rsidRDefault="00F27577">
      <w:pPr>
        <w:jc w:val="both"/>
      </w:pPr>
    </w:p>
    <w:p w:rsidR="00F27577" w:rsidRDefault="00F27577" w:rsidP="00F078AB">
      <w:pPr>
        <w:jc w:val="both"/>
      </w:pPr>
      <w:r>
        <w:t xml:space="preserve">2) Příjemce se zavazuje použít tuto dotaci pouze k účelu uvedenému v jím podané žádosti </w:t>
      </w:r>
      <w:r>
        <w:br/>
        <w:t>o poskytnutí dotace, tj</w:t>
      </w:r>
      <w:r w:rsidR="009A0DC1">
        <w:t xml:space="preserve">. </w:t>
      </w:r>
      <w:r w:rsidR="00314063" w:rsidRPr="00314063">
        <w:rPr>
          <w:rStyle w:val="Siln"/>
          <w:b w:val="0"/>
          <w:bCs w:val="0"/>
          <w:szCs w:val="22"/>
        </w:rPr>
        <w:t>tréninkové seskoky, letecké soustředění plachtařů GLD, parašutistů PAR a pilotů motorových letadel</w:t>
      </w:r>
      <w:r w:rsidR="008A036A" w:rsidRPr="008A036A">
        <w:rPr>
          <w:rStyle w:val="Siln"/>
          <w:b w:val="0"/>
          <w:bCs w:val="0"/>
          <w:szCs w:val="22"/>
        </w:rPr>
        <w:t>.</w:t>
      </w:r>
      <w:r w:rsidRPr="008A036A">
        <w:rPr>
          <w:sz w:val="28"/>
        </w:rPr>
        <w:t xml:space="preserve"> </w:t>
      </w:r>
      <w:r>
        <w:t>Dotace nesmí být použita k jinému účelu.</w:t>
      </w:r>
    </w:p>
    <w:p w:rsidR="008C2DC9" w:rsidRDefault="008C2DC9" w:rsidP="00F078AB">
      <w:pPr>
        <w:jc w:val="both"/>
      </w:pPr>
    </w:p>
    <w:p w:rsidR="008C2DC9" w:rsidRDefault="008C2DC9" w:rsidP="0026733A">
      <w:pPr>
        <w:jc w:val="both"/>
      </w:pPr>
      <w:r>
        <w:t xml:space="preserve">3)  </w:t>
      </w:r>
      <w:r w:rsidR="0026733A">
        <w:t xml:space="preserve">Příjemce je povinen dodržet procentuální podíl vlastních peněžních prostředků na realizaci projektu ve výši minimálně 30 % z celkových uznatelných výdajů projektu, který je stanoven dle předpokladu na částku </w:t>
      </w:r>
      <w:r w:rsidR="00147537">
        <w:t>27 858</w:t>
      </w:r>
      <w:r w:rsidR="00194BDE">
        <w:t xml:space="preserve"> </w:t>
      </w:r>
      <w:r w:rsidR="0026733A">
        <w:t>Kč. Při změně celkových očekávaných výdajů se procent</w:t>
      </w:r>
      <w:r w:rsidR="00983951">
        <w:t>uál</w:t>
      </w:r>
      <w:r w:rsidR="0026733A">
        <w:t>ní podíl přepočítává.</w:t>
      </w:r>
    </w:p>
    <w:p w:rsidR="00F27577" w:rsidRDefault="00F27577">
      <w:pPr>
        <w:pStyle w:val="Zkladntext"/>
      </w:pPr>
    </w:p>
    <w:p w:rsidR="00F27577" w:rsidRDefault="00B046FB">
      <w:pPr>
        <w:pStyle w:val="Zkladntext"/>
      </w:pPr>
      <w:r>
        <w:t>4</w:t>
      </w:r>
      <w:r w:rsidR="00F27577">
        <w:t>) Peněžní prostředky dotace nesmí příjemce poskytnout jiným právnickým nebo fyzickým osobám, pokud nejde o úhrady spojené s realizací účelu, na nějž byla dotace poskytnuta.</w:t>
      </w:r>
    </w:p>
    <w:p w:rsidR="00F27577" w:rsidRDefault="00F27577">
      <w:pPr>
        <w:pStyle w:val="Zkladntext"/>
      </w:pPr>
    </w:p>
    <w:p w:rsidR="00F27577" w:rsidRDefault="00B046FB">
      <w:pPr>
        <w:pStyle w:val="Zkladntext"/>
      </w:pPr>
      <w:r>
        <w:t>5</w:t>
      </w:r>
      <w:r w:rsidR="00F27577">
        <w:t xml:space="preserve">) V případě, že je příjemce dotace plátcem daně z přidané hodnoty a u výdajů hrazených z prostředků dotace je oprávněn k odpočtu daně na vstupu podle zákona č. 235/2004 Sb., </w:t>
      </w:r>
      <w:r w:rsidR="00F27577">
        <w:br/>
        <w:t>o dani z přidané hodnoty, v </w:t>
      </w:r>
      <w:proofErr w:type="spellStart"/>
      <w:r w:rsidR="00F27577">
        <w:t>pl</w:t>
      </w:r>
      <w:proofErr w:type="spellEnd"/>
      <w:r w:rsidR="00F27577">
        <w:t>. zn., nesmí být z prostředků dotace hrazena daň z přidané hodnoty.</w:t>
      </w:r>
    </w:p>
    <w:p w:rsidR="00F27577" w:rsidRDefault="00F27577">
      <w:pPr>
        <w:jc w:val="both"/>
      </w:pPr>
    </w:p>
    <w:p w:rsidR="00F27577" w:rsidRDefault="00B046FB">
      <w:pPr>
        <w:jc w:val="both"/>
      </w:pPr>
      <w:r>
        <w:t>6</w:t>
      </w:r>
      <w:r w:rsidR="00F27577">
        <w:t xml:space="preserve">) Dotace bude příjemci vyplacena jednorázově v plné výši bezhotovostním převodem </w:t>
      </w:r>
      <w:r w:rsidR="00F27577">
        <w:br/>
        <w:t>na bankovní účet příjemce uvedený v záhlaví této smlouvy nejpozději do 14 dnů ode dne uzavření této smlouvy. Dnem poskytnutí dotace se rozumí den odepsání finančních prostředků z účtu poskytovatele.</w:t>
      </w:r>
    </w:p>
    <w:p w:rsidR="00F27577" w:rsidRDefault="00F27577">
      <w:pPr>
        <w:jc w:val="both"/>
      </w:pPr>
    </w:p>
    <w:p w:rsidR="00F27577" w:rsidRDefault="00B046FB">
      <w:pPr>
        <w:jc w:val="both"/>
      </w:pPr>
      <w:r>
        <w:t>7</w:t>
      </w:r>
      <w:r w:rsidR="00F27577">
        <w:t xml:space="preserve">) Příjemce dotaci uvedenou v čl. I této smlouvy přijímá a zavazuje se ji použít pouze </w:t>
      </w:r>
      <w:r w:rsidR="00F27577">
        <w:br/>
        <w:t>a výhradně k účelu uvedenému v čl. I odst. 2 této smlouvy a v souladu s dalšími podmínkami stanovenými v této smlouvě a příslušnými právními předpisy.</w:t>
      </w:r>
    </w:p>
    <w:p w:rsidR="00F27577" w:rsidRDefault="00F27577">
      <w:pPr>
        <w:jc w:val="both"/>
      </w:pPr>
    </w:p>
    <w:p w:rsidR="00F27577" w:rsidRDefault="00B046FB">
      <w:pPr>
        <w:jc w:val="both"/>
      </w:pPr>
      <w:r>
        <w:t>8</w:t>
      </w:r>
      <w:r w:rsidR="00F27577">
        <w:t>) Příjemce zajistí ve svém účetnictví nebo daňové evidenci, v souladu s obecně platnými předpisy, zejm. zákonem č. 563/1991 Sb., o účetnictví, v </w:t>
      </w:r>
      <w:proofErr w:type="spellStart"/>
      <w:r w:rsidR="00F27577">
        <w:t>pl</w:t>
      </w:r>
      <w:proofErr w:type="spellEnd"/>
      <w:r w:rsidR="00F27577">
        <w:t>. zn., řádné a oddělené sledování čerpání dotace. Dále se zavazuje uchovávat tuto evidenci po dobu pěti let po skončení akce.</w:t>
      </w:r>
    </w:p>
    <w:p w:rsidR="00F27577" w:rsidRDefault="00F27577">
      <w:pPr>
        <w:jc w:val="both"/>
      </w:pPr>
    </w:p>
    <w:p w:rsidR="005E1025" w:rsidRDefault="005E1025">
      <w:pPr>
        <w:jc w:val="both"/>
      </w:pPr>
    </w:p>
    <w:p w:rsidR="00F27577" w:rsidRDefault="00F27577">
      <w:pPr>
        <w:jc w:val="both"/>
      </w:pP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Časové užití dotace a doba, ve které má být dosaženo účelu dotace</w:t>
      </w:r>
    </w:p>
    <w:p w:rsidR="00F27577" w:rsidRDefault="00F27577">
      <w:pPr>
        <w:jc w:val="center"/>
        <w:rPr>
          <w:b/>
          <w:bCs/>
        </w:rPr>
      </w:pPr>
    </w:p>
    <w:p w:rsidR="00F27577" w:rsidRDefault="00F27577">
      <w:pPr>
        <w:pStyle w:val="Zkladntext"/>
        <w:rPr>
          <w:i/>
          <w:iCs/>
        </w:rPr>
      </w:pPr>
      <w:r>
        <w:t>Dotace musí být využita od 1. 1. 201</w:t>
      </w:r>
      <w:r w:rsidR="00104469">
        <w:t>8</w:t>
      </w:r>
      <w:r>
        <w:t xml:space="preserve"> do 31. 12. 201</w:t>
      </w:r>
      <w:r w:rsidR="00104469">
        <w:t>8</w:t>
      </w:r>
      <w:r>
        <w:t xml:space="preserve"> a podléhá finančnímu vypořádání s roz</w:t>
      </w:r>
      <w:r w:rsidR="00104469">
        <w:t>počtem poskytovatele za rok 20</w:t>
      </w:r>
      <w:r w:rsidR="00FD2D9D">
        <w:t>20</w:t>
      </w:r>
      <w:r>
        <w:t xml:space="preserve">. </w:t>
      </w:r>
    </w:p>
    <w:p w:rsidR="00F27577" w:rsidRDefault="00F2757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27577" w:rsidRDefault="00F27577">
      <w:pPr>
        <w:jc w:val="both"/>
      </w:pP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 xml:space="preserve"> Vypořádání a vyúčtování poskytnuté dotace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 xml:space="preserve">1) Po ukončení realizace akce vyhotoví </w:t>
      </w:r>
      <w:r w:rsidR="0012481B">
        <w:t xml:space="preserve">a předloží </w:t>
      </w:r>
      <w:r>
        <w:t>příjemce</w:t>
      </w:r>
      <w:r w:rsidR="003157CE">
        <w:t xml:space="preserve"> poskytovateli</w:t>
      </w:r>
      <w:r>
        <w:t xml:space="preserve"> závěrečnou zprávu a vyúčtování poskytnuté dotace, a to nejpozději </w:t>
      </w:r>
      <w:r w:rsidRPr="00A458DE">
        <w:t xml:space="preserve">do </w:t>
      </w:r>
      <w:r w:rsidR="00551334" w:rsidRPr="00A458DE">
        <w:t>30</w:t>
      </w:r>
      <w:r w:rsidRPr="00A458DE">
        <w:t xml:space="preserve">. </w:t>
      </w:r>
      <w:r w:rsidR="00551334" w:rsidRPr="00A458DE">
        <w:t>6</w:t>
      </w:r>
      <w:r w:rsidRPr="00A458DE">
        <w:t>. 20</w:t>
      </w:r>
      <w:r w:rsidR="00551334" w:rsidRPr="00A458DE">
        <w:t>20</w:t>
      </w:r>
      <w:r w:rsidRPr="00A458DE">
        <w:t>.</w:t>
      </w:r>
    </w:p>
    <w:p w:rsidR="00F27577" w:rsidRDefault="00F27577">
      <w:pPr>
        <w:jc w:val="both"/>
        <w:rPr>
          <w:u w:val="single"/>
        </w:rPr>
      </w:pPr>
    </w:p>
    <w:p w:rsidR="00F27577" w:rsidRDefault="00F27577">
      <w:pPr>
        <w:jc w:val="both"/>
        <w:rPr>
          <w:u w:val="single"/>
        </w:rPr>
      </w:pPr>
      <w:r>
        <w:rPr>
          <w:u w:val="single"/>
        </w:rPr>
        <w:t>Vyúčtování musí obsahovat:</w:t>
      </w:r>
    </w:p>
    <w:p w:rsidR="00F27577" w:rsidRDefault="00F27577">
      <w:pPr>
        <w:numPr>
          <w:ilvl w:val="0"/>
          <w:numId w:val="4"/>
        </w:numPr>
        <w:jc w:val="both"/>
      </w:pPr>
      <w:r>
        <w:t>základní identifikační údaje o příjemci</w:t>
      </w:r>
    </w:p>
    <w:p w:rsidR="00F27577" w:rsidRDefault="00F27577">
      <w:pPr>
        <w:numPr>
          <w:ilvl w:val="0"/>
          <w:numId w:val="4"/>
        </w:numPr>
        <w:jc w:val="both"/>
      </w:pPr>
      <w:r>
        <w:t>účel, na který byla dotace poskytnuta</w:t>
      </w:r>
    </w:p>
    <w:p w:rsidR="00F27577" w:rsidRDefault="00F27577">
      <w:pPr>
        <w:numPr>
          <w:ilvl w:val="0"/>
          <w:numId w:val="4"/>
        </w:numPr>
        <w:jc w:val="both"/>
      </w:pPr>
      <w:r>
        <w:t xml:space="preserve">výši dotace v daném kalendářním roce </w:t>
      </w:r>
    </w:p>
    <w:p w:rsidR="00F27577" w:rsidRDefault="00F27577">
      <w:pPr>
        <w:numPr>
          <w:ilvl w:val="0"/>
          <w:numId w:val="4"/>
        </w:numPr>
        <w:jc w:val="both"/>
      </w:pPr>
      <w:r>
        <w:t>soupis prvotních dokladů, souvisejících s realizací akce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 xml:space="preserve">na originálu prvotního dokladu musí být uvedeno - </w:t>
      </w:r>
      <w:r>
        <w:rPr>
          <w:i/>
          <w:iCs/>
        </w:rPr>
        <w:t>„hrazeno z dotace města Strakonice“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čestné prohlášení, že fotokopie předaných dokladů jsou shodné s originály dokladů a nejsou použité u jiného poskytovatele dotace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vyúčtování musí být podepsáno příjemcem.</w:t>
      </w:r>
    </w:p>
    <w:p w:rsidR="00F27577" w:rsidRDefault="00F27577">
      <w:pPr>
        <w:ind w:left="705"/>
        <w:jc w:val="both"/>
        <w:rPr>
          <w:i/>
          <w:iCs/>
        </w:rPr>
      </w:pPr>
    </w:p>
    <w:p w:rsidR="00F27577" w:rsidRDefault="00F27577">
      <w:pPr>
        <w:jc w:val="both"/>
      </w:pPr>
      <w: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F27577" w:rsidRDefault="00F27577">
      <w:pPr>
        <w:jc w:val="both"/>
      </w:pPr>
    </w:p>
    <w:p w:rsidR="00F27577" w:rsidRDefault="00F27577">
      <w:pPr>
        <w:pStyle w:val="Zkladntext"/>
      </w:pPr>
      <w:r>
        <w:t xml:space="preserve">3) Poskytovatel je oprávněn provádět u příjemce kontrolu dle zákona č. 320/2001 Sb., </w:t>
      </w:r>
      <w:r>
        <w:br/>
        <w:t>o finanční kontrole, v </w:t>
      </w:r>
      <w:proofErr w:type="spellStart"/>
      <w:r>
        <w:t>pl</w:t>
      </w:r>
      <w:proofErr w:type="spellEnd"/>
      <w:r>
        <w:t>. zn. a zákona č. 255/2012 Sb., o kontrole, v </w:t>
      </w:r>
      <w:proofErr w:type="spellStart"/>
      <w:r>
        <w:t>pl</w:t>
      </w:r>
      <w:proofErr w:type="spellEnd"/>
      <w: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 xml:space="preserve">4) V případě zjištění, že příjemce použil poskytnutou dotaci v rozporu s účelem uvedeným </w:t>
      </w:r>
      <w: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F27577" w:rsidRDefault="00F27577">
      <w:pPr>
        <w:pStyle w:val="Zkladntext"/>
        <w:ind w:left="360"/>
        <w:jc w:val="center"/>
        <w:rPr>
          <w:b/>
          <w:szCs w:val="20"/>
        </w:rPr>
      </w:pPr>
    </w:p>
    <w:p w:rsidR="00F27577" w:rsidRDefault="00F27577">
      <w:pPr>
        <w:pStyle w:val="Zkladntext"/>
        <w:ind w:left="360"/>
        <w:jc w:val="center"/>
        <w:rPr>
          <w:b/>
          <w:szCs w:val="20"/>
        </w:rPr>
      </w:pPr>
      <w:r>
        <w:rPr>
          <w:b/>
          <w:szCs w:val="20"/>
        </w:rPr>
        <w:t>IV.</w:t>
      </w:r>
    </w:p>
    <w:p w:rsidR="00F27577" w:rsidRDefault="00F27577">
      <w:pPr>
        <w:pStyle w:val="Zkladntext"/>
        <w:jc w:val="center"/>
        <w:rPr>
          <w:b/>
          <w:szCs w:val="20"/>
        </w:rPr>
      </w:pPr>
      <w:r>
        <w:rPr>
          <w:b/>
          <w:szCs w:val="20"/>
        </w:rPr>
        <w:t>Porušení rozpočtové kázně a výpověď smlouvy</w:t>
      </w:r>
    </w:p>
    <w:p w:rsidR="00F27577" w:rsidRDefault="00F27577">
      <w:pPr>
        <w:pStyle w:val="Zkladntext"/>
        <w:rPr>
          <w:b/>
          <w:szCs w:val="20"/>
        </w:rPr>
      </w:pPr>
    </w:p>
    <w:p w:rsidR="00F27577" w:rsidRDefault="00F27577">
      <w:pPr>
        <w:pStyle w:val="Zkladntext"/>
        <w:rPr>
          <w:bCs/>
        </w:rPr>
      </w:pPr>
      <w:r>
        <w:rPr>
          <w:bCs/>
          <w:szCs w:val="20"/>
        </w:rPr>
        <w:t xml:space="preserve">1) </w:t>
      </w:r>
      <w:r>
        <w:rPr>
          <w:bCs/>
        </w:rPr>
        <w:t>Příjemce dotace se dopustí porušení rozpočtové kázně, pokud nedodrží podmínky stanovené touto smlouvou. V souladu se zákonem č. 250/2000 Sb.</w:t>
      </w:r>
      <w:r w:rsidR="00983951">
        <w:rPr>
          <w:bCs/>
        </w:rPr>
        <w:t>,</w:t>
      </w:r>
      <w:r>
        <w:rPr>
          <w:bCs/>
        </w:rPr>
        <w:t xml:space="preserve"> v </w:t>
      </w:r>
      <w:proofErr w:type="spellStart"/>
      <w:r>
        <w:rPr>
          <w:bCs/>
        </w:rPr>
        <w:t>pl</w:t>
      </w:r>
      <w:proofErr w:type="spellEnd"/>
      <w:r>
        <w:rPr>
          <w:bCs/>
        </w:rPr>
        <w:t>. zn.</w:t>
      </w:r>
      <w:r w:rsidR="00983951">
        <w:rPr>
          <w:bCs/>
        </w:rPr>
        <w:t>,</w:t>
      </w:r>
      <w:r>
        <w:rPr>
          <w:bCs/>
        </w:rPr>
        <w:t xml:space="preserve"> nařídí v takovém případě poskytovatel odvod za porušení rozpočtové kázně a příslušné penále.</w:t>
      </w:r>
    </w:p>
    <w:p w:rsidR="00F27577" w:rsidRDefault="00F27577">
      <w:pPr>
        <w:pStyle w:val="Zkladntext"/>
        <w:rPr>
          <w:u w:val="single"/>
        </w:rPr>
      </w:pPr>
    </w:p>
    <w:p w:rsidR="00F27577" w:rsidRDefault="00F27577">
      <w:pPr>
        <w:pStyle w:val="Zkladntext"/>
      </w:pPr>
      <w:r>
        <w:t xml:space="preserve"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</w:t>
      </w:r>
      <w:r>
        <w:br/>
        <w:t>za porušení rozpočtové kázně ve výši 20 % z částky poskytnutých finančních prostředků.</w:t>
      </w:r>
    </w:p>
    <w:p w:rsidR="00F27577" w:rsidRDefault="00F27577">
      <w:pPr>
        <w:pStyle w:val="Zkladntext"/>
        <w:ind w:left="360"/>
      </w:pPr>
    </w:p>
    <w:p w:rsidR="00F27577" w:rsidRDefault="00541459">
      <w:pPr>
        <w:pStyle w:val="Zkladntext"/>
        <w:rPr>
          <w:szCs w:val="20"/>
        </w:rPr>
      </w:pPr>
      <w:r>
        <w:rPr>
          <w:szCs w:val="20"/>
        </w:rPr>
        <w:t>3</w:t>
      </w:r>
      <w:r w:rsidR="00F27577">
        <w:rPr>
          <w:szCs w:val="20"/>
        </w:rPr>
        <w:t xml:space="preserve">) Poskytovatel je oprávněn tuto smlouvu vypovědět z důvodů na straně příjemce, a to zejména v případě, že po uzavření této smlouvy nastane nebo vyjde najevo skutečnost, která </w:t>
      </w:r>
      <w:r w:rsidR="00F27577">
        <w:rPr>
          <w:szCs w:val="20"/>
        </w:rPr>
        <w:lastRenderedPageBreak/>
        <w:t xml:space="preserve">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</w:t>
      </w:r>
      <w:r w:rsidR="00F27577">
        <w:rPr>
          <w:szCs w:val="20"/>
        </w:rPr>
        <w:br/>
        <w:t>s účelem uvedeným v čl. I této smlouvy.</w:t>
      </w:r>
    </w:p>
    <w:p w:rsidR="00F27577" w:rsidRDefault="00F27577">
      <w:pPr>
        <w:pStyle w:val="Zkladntext"/>
        <w:rPr>
          <w:szCs w:val="20"/>
        </w:rPr>
      </w:pPr>
    </w:p>
    <w:p w:rsidR="00F27577" w:rsidRDefault="00541459">
      <w:pPr>
        <w:pStyle w:val="Zkladntext"/>
        <w:rPr>
          <w:szCs w:val="20"/>
        </w:rPr>
      </w:pPr>
      <w:r>
        <w:rPr>
          <w:szCs w:val="20"/>
        </w:rPr>
        <w:t>4</w:t>
      </w:r>
      <w:r w:rsidR="00F27577">
        <w:rPr>
          <w:szCs w:val="20"/>
        </w:rPr>
        <w:t xml:space="preserve">) Výpovědní lhůta činí 10 dní a začíná běžet dnem doručení písemné výpovědi příjemci. </w:t>
      </w:r>
    </w:p>
    <w:p w:rsidR="00F27577" w:rsidRDefault="00F27577">
      <w:pPr>
        <w:pStyle w:val="Zkladntext"/>
        <w:rPr>
          <w:szCs w:val="20"/>
        </w:rPr>
      </w:pPr>
    </w:p>
    <w:p w:rsidR="00F27577" w:rsidRDefault="00EB3F60">
      <w:pPr>
        <w:pStyle w:val="Zkladntext"/>
        <w:rPr>
          <w:szCs w:val="20"/>
        </w:rPr>
      </w:pPr>
      <w:r>
        <w:rPr>
          <w:szCs w:val="20"/>
        </w:rPr>
        <w:t>5</w:t>
      </w:r>
      <w:r w:rsidR="00F27577">
        <w:rPr>
          <w:szCs w:val="20"/>
        </w:rPr>
        <w:t xml:space="preserve">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</w:t>
      </w:r>
      <w:r w:rsidR="00F27577">
        <w:rPr>
          <w:szCs w:val="20"/>
        </w:rPr>
        <w:br/>
        <w:t>na účet poskytovatele uvedený ve výpovědi. Pokud dotace ještě nebyla převedena na účet příjemce, má poskytovatel právo dotaci neposkytnout.</w:t>
      </w:r>
    </w:p>
    <w:p w:rsidR="00F27577" w:rsidRDefault="00EB3F60">
      <w:pPr>
        <w:pStyle w:val="Zkladntext"/>
        <w:spacing w:before="120"/>
        <w:rPr>
          <w:szCs w:val="20"/>
        </w:rPr>
      </w:pPr>
      <w:r>
        <w:rPr>
          <w:szCs w:val="20"/>
        </w:rPr>
        <w:t>6</w:t>
      </w:r>
      <w:r w:rsidR="00F27577">
        <w:rPr>
          <w:szCs w:val="20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F27577" w:rsidRDefault="00F27577">
      <w:pPr>
        <w:pStyle w:val="Zkladntext"/>
        <w:jc w:val="left"/>
        <w:rPr>
          <w:szCs w:val="20"/>
        </w:rPr>
      </w:pPr>
    </w:p>
    <w:p w:rsidR="00F27577" w:rsidRDefault="00F27577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V.</w:t>
      </w:r>
    </w:p>
    <w:p w:rsidR="00F27577" w:rsidRDefault="00F27577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Povinnosti příjemce při přeměně právnické osoby, při prohlášení úpadku či zrušení </w:t>
      </w:r>
      <w:r>
        <w:rPr>
          <w:b/>
          <w:szCs w:val="20"/>
        </w:rPr>
        <w:br/>
        <w:t>s likvidací</w:t>
      </w:r>
    </w:p>
    <w:p w:rsidR="00F27577" w:rsidRDefault="00F27577">
      <w:pPr>
        <w:ind w:left="-142" w:right="-142"/>
        <w:rPr>
          <w:b/>
          <w:i/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3) V případě, že poskytovatel žádosti vyhoví, spraví o tom bez zbytečného odkladu příjemce </w:t>
      </w:r>
      <w:r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4) V případě, že žádosti poskytovatel nevyhoví, bezodkladně o tom spraví příjemce </w:t>
      </w:r>
      <w:r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5) V případě, že je příjemce příspěvkovou organizací jiného územního samosprávného celku, </w:t>
      </w:r>
      <w:r>
        <w:rPr>
          <w:szCs w:val="20"/>
        </w:rPr>
        <w:br/>
        <w:t xml:space="preserve">je povinen při sloučení, splynutí či rozdělení postupovat obdobně podle odstavce 1 (doložení např. formou usnesení zastupitelstva územně samosprávného celku). Poslední věta odstavce </w:t>
      </w:r>
      <w:r>
        <w:rPr>
          <w:szCs w:val="20"/>
        </w:rPr>
        <w:br/>
        <w:t>2 platí obdobně.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b/>
          <w:bCs/>
        </w:rPr>
      </w:pPr>
      <w:r>
        <w:t xml:space="preserve">6) V případě, že příslušný soud rozhodl o úpadku příjemce, či má být příjemce zrušen s likvidací, je povinen tuto skutečnost neprodleně oznámit poskytovateli. Poskytovatel je </w:t>
      </w:r>
      <w:r>
        <w:lastRenderedPageBreak/>
        <w:t xml:space="preserve">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</w:t>
      </w:r>
      <w:r>
        <w:br/>
        <w:t>a váže ho povinnost vyplacenou veřejnou finanční podporu vrátit zpět do rozpočtu poskytovatele.</w:t>
      </w:r>
    </w:p>
    <w:p w:rsidR="005E1025" w:rsidRDefault="005E1025">
      <w:pPr>
        <w:pStyle w:val="Odstavecseseznamem"/>
        <w:ind w:left="0"/>
        <w:jc w:val="both"/>
        <w:rPr>
          <w:b/>
          <w:bCs/>
        </w:rPr>
      </w:pPr>
    </w:p>
    <w:p w:rsidR="00195139" w:rsidRDefault="00195139" w:rsidP="00195139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195139" w:rsidRDefault="00195139" w:rsidP="00195139">
      <w:pPr>
        <w:jc w:val="center"/>
        <w:rPr>
          <w:b/>
          <w:bCs/>
        </w:rPr>
      </w:pPr>
      <w:r>
        <w:rPr>
          <w:b/>
          <w:bCs/>
        </w:rPr>
        <w:t>Veřejná podpora</w:t>
      </w:r>
    </w:p>
    <w:p w:rsidR="00195139" w:rsidRDefault="00195139" w:rsidP="00195139">
      <w:pPr>
        <w:jc w:val="center"/>
        <w:rPr>
          <w:b/>
          <w:bCs/>
        </w:rPr>
      </w:pPr>
    </w:p>
    <w:p w:rsidR="007D31FC" w:rsidRDefault="007D31FC" w:rsidP="007D31FC">
      <w:pPr>
        <w:pStyle w:val="Odstavecseseznamem"/>
        <w:ind w:left="0"/>
        <w:jc w:val="both"/>
      </w:pPr>
      <w:r>
        <w:rPr>
          <w:bCs/>
        </w:rPr>
        <w:t>1) Dotace na základě této smlouvy je poskytnuta jako podpora malého rozsahu (</w:t>
      </w:r>
      <w:r>
        <w:rPr>
          <w:bCs/>
          <w:i/>
        </w:rPr>
        <w:t xml:space="preserve">de </w:t>
      </w:r>
      <w:proofErr w:type="spellStart"/>
      <w:r>
        <w:rPr>
          <w:bCs/>
          <w:i/>
        </w:rPr>
        <w:t>minimis</w:t>
      </w:r>
      <w:proofErr w:type="spellEnd"/>
      <w:r>
        <w:rPr>
          <w:bCs/>
        </w:rPr>
        <w:t xml:space="preserve">)  podle </w:t>
      </w:r>
      <w:r>
        <w:t xml:space="preserve">Nařízení Komise (EU) č. 1407/2013 ze dne 18. 12. 2013 o použití článků 107 a 108 SFEU na podporu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 L 352, 24. 12. 2013.</w:t>
      </w:r>
    </w:p>
    <w:p w:rsidR="007D31FC" w:rsidRDefault="007D31FC" w:rsidP="007D31FC">
      <w:pPr>
        <w:pStyle w:val="Odstavecseseznamem"/>
        <w:ind w:left="0"/>
        <w:jc w:val="both"/>
      </w:pPr>
    </w:p>
    <w:p w:rsidR="007D31FC" w:rsidRDefault="007D31FC" w:rsidP="007D31FC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2) Finanční podpora poskytovaná z dotačního programu naplňuje kritéria veřejné podpory. Poskytování veřejné podpory se řídí Smlouvou o fungování Evropské unie a příslušnými právními akty Evropské unie, zejména nařízením Komise (ES) č. 1407/2013 o použití článků 107 a 108 Smlouvy o fungování Evropské unie na podporu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(dále jen ,,nařízení o </w:t>
      </w:r>
      <w:proofErr w:type="gramStart"/>
      <w:r>
        <w:rPr>
          <w:bCs/>
        </w:rPr>
        <w:t>de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“) ze dne 18. 12. 2013, publikovaného v Úředním věstníku Evropské unie pod číslem L 352 ze dne 24. 12. 2013 a zákonem č. 215/2004, o úpravě některých vztahů v oblasti veřejné podpory. Celková výše této podpory udělená jednomu subjektu v rozhodném tříletém období nesmí přesáhnout částku 200 000 EUR, kdy tímto tříletým obdobím se rozumí současné účetní období a dvě předcházející účetní období. Příjemce, se podpisem této Smlouvy zavazuje, že nepřijme podporu na stejné způsobilé výdaje z jiných národních či evropských zdrojů. Datem poskytnutí podpory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je datum podpisu smlouvy příjemcem. Nepřekročení zákonného limitu bylo ověřeno poskytovatelem v Registru podpor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a podpisem smlouvy příjemce garantuje jeho nepřekročení. </w:t>
      </w:r>
    </w:p>
    <w:p w:rsidR="007D31FC" w:rsidRDefault="007D31FC" w:rsidP="00195139">
      <w:pPr>
        <w:pStyle w:val="Odstavecseseznamem"/>
        <w:ind w:left="0"/>
        <w:jc w:val="both"/>
        <w:rPr>
          <w:b/>
          <w:bCs/>
        </w:rPr>
      </w:pPr>
    </w:p>
    <w:p w:rsidR="00195139" w:rsidRDefault="00195139" w:rsidP="00AD3839">
      <w:pPr>
        <w:ind w:left="360" w:hanging="360"/>
        <w:jc w:val="center"/>
        <w:rPr>
          <w:b/>
          <w:bCs/>
        </w:rPr>
      </w:pPr>
    </w:p>
    <w:p w:rsidR="00AD3839" w:rsidRDefault="00AD3839" w:rsidP="00AD3839">
      <w:pPr>
        <w:ind w:left="360" w:hanging="360"/>
        <w:jc w:val="center"/>
        <w:rPr>
          <w:b/>
          <w:bCs/>
        </w:rPr>
      </w:pPr>
      <w:r>
        <w:rPr>
          <w:b/>
          <w:bCs/>
        </w:rPr>
        <w:t>V</w:t>
      </w:r>
      <w:r w:rsidR="00195139">
        <w:rPr>
          <w:b/>
          <w:bCs/>
        </w:rPr>
        <w:t>I</w:t>
      </w:r>
      <w:r>
        <w:rPr>
          <w:b/>
          <w:bCs/>
        </w:rPr>
        <w:t xml:space="preserve">I. </w:t>
      </w:r>
    </w:p>
    <w:p w:rsidR="00AD3839" w:rsidRDefault="00AD3839" w:rsidP="00AD3839">
      <w:pPr>
        <w:ind w:left="360" w:hanging="360"/>
        <w:jc w:val="center"/>
        <w:rPr>
          <w:b/>
          <w:bCs/>
        </w:rPr>
      </w:pPr>
      <w:r>
        <w:rPr>
          <w:b/>
          <w:bCs/>
        </w:rPr>
        <w:t>Ochrana osobních údajů</w:t>
      </w:r>
    </w:p>
    <w:p w:rsidR="00AD3839" w:rsidRDefault="00AD3839" w:rsidP="00AD3839">
      <w:pPr>
        <w:ind w:left="360" w:hanging="360"/>
        <w:rPr>
          <w:color w:val="000000"/>
        </w:rPr>
      </w:pPr>
    </w:p>
    <w:p w:rsidR="00AD3839" w:rsidRDefault="00AD3839" w:rsidP="00AD3839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t>1) 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AD3839" w:rsidRDefault="00AD3839" w:rsidP="00AD3839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rPr>
          <w:szCs w:val="24"/>
        </w:rPr>
        <w:t xml:space="preserve">2) S odkazem na </w:t>
      </w:r>
      <w:r>
        <w:t>obecné nařízení č. 2016/679 o ochraně fyzických osob v souvislosti se zpracováním osobních údajů a o volném pohybu těchto údajů</w:t>
      </w:r>
      <w:r>
        <w:rPr>
          <w:szCs w:val="24"/>
        </w:rPr>
        <w:t>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AD3839" w:rsidRDefault="00AD3839" w:rsidP="00AD3839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rPr>
          <w:szCs w:val="24"/>
        </w:rPr>
        <w:t xml:space="preserve">3) </w:t>
      </w:r>
      <w:r>
        <w:t>Závazky smluvních stran uvedené v tomto článku trvají i po skončení smluvního vztahu.</w:t>
      </w:r>
    </w:p>
    <w:p w:rsidR="00AD3839" w:rsidRDefault="00AD3839" w:rsidP="00AD3839">
      <w:pPr>
        <w:pStyle w:val="Odstavecseseznamem"/>
        <w:ind w:left="0"/>
        <w:jc w:val="both"/>
        <w:rPr>
          <w:b/>
          <w:bCs/>
        </w:rPr>
      </w:pPr>
    </w:p>
    <w:p w:rsidR="004D37B6" w:rsidRDefault="004D37B6" w:rsidP="00AD3839">
      <w:pPr>
        <w:jc w:val="center"/>
        <w:rPr>
          <w:b/>
          <w:bCs/>
        </w:rPr>
      </w:pPr>
    </w:p>
    <w:p w:rsidR="004D37B6" w:rsidRDefault="004D37B6" w:rsidP="00AD3839">
      <w:pPr>
        <w:jc w:val="center"/>
        <w:rPr>
          <w:b/>
          <w:bCs/>
        </w:rPr>
      </w:pPr>
    </w:p>
    <w:p w:rsidR="004D37B6" w:rsidRDefault="004D37B6" w:rsidP="00AD3839">
      <w:pPr>
        <w:jc w:val="center"/>
        <w:rPr>
          <w:b/>
          <w:bCs/>
        </w:rPr>
      </w:pPr>
    </w:p>
    <w:p w:rsidR="00AD3839" w:rsidRDefault="00AD3839" w:rsidP="00AD3839">
      <w:pPr>
        <w:jc w:val="center"/>
        <w:rPr>
          <w:b/>
          <w:bCs/>
        </w:rPr>
      </w:pPr>
      <w:r>
        <w:rPr>
          <w:b/>
          <w:bCs/>
        </w:rPr>
        <w:lastRenderedPageBreak/>
        <w:t>VII</w:t>
      </w:r>
      <w:r w:rsidR="00195139">
        <w:rPr>
          <w:b/>
          <w:bCs/>
        </w:rPr>
        <w:t>I</w:t>
      </w:r>
      <w:r>
        <w:rPr>
          <w:b/>
          <w:bCs/>
        </w:rPr>
        <w:t>.</w:t>
      </w:r>
    </w:p>
    <w:p w:rsidR="00AD3839" w:rsidRDefault="00AD3839" w:rsidP="00AD3839">
      <w:pPr>
        <w:pStyle w:val="Nadpis2"/>
        <w:rPr>
          <w:b/>
          <w:bCs/>
          <w:u w:val="none"/>
        </w:rPr>
      </w:pPr>
      <w:r>
        <w:rPr>
          <w:b/>
          <w:bCs/>
          <w:u w:val="none"/>
        </w:rPr>
        <w:t>Ostatní a závěrečná ustanovení</w:t>
      </w:r>
    </w:p>
    <w:p w:rsidR="00AD3839" w:rsidRDefault="00AD3839" w:rsidP="00AD3839">
      <w:pPr>
        <w:jc w:val="both"/>
      </w:pPr>
    </w:p>
    <w:p w:rsidR="00F27577" w:rsidRDefault="00F27577">
      <w:pPr>
        <w:pStyle w:val="Zkladntext"/>
      </w:pPr>
      <w:r>
        <w:t xml:space="preserve">1) Dojde-li v průběhu platnosti této smlouvy na straně příjemce ke změně podmínek, </w:t>
      </w:r>
      <w:r>
        <w:br/>
        <w:t>za kterých byla dotace poskytnuta, je příjemce povinen oznámit toto poskytovateli neprodleně po zjištění změny.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 xml:space="preserve">2) Příjemce souhlasí s tím, že v případě zjištění závažných nedostatků při realizaci akce, včetně nedodržení termínu odevzdání vyúčtování poskytnutých finančních prostředků </w:t>
      </w:r>
      <w:r>
        <w:br/>
        <w:t>za uplynulý kalendářní rok, je poskytovatel oprávněn vyloučit v následujících pěti letech jeho žádosti o poskytnutí účelových dotací, grantů atd. z prostředků poskytovatele.</w:t>
      </w:r>
    </w:p>
    <w:p w:rsidR="00F27577" w:rsidRDefault="00F27577">
      <w:pPr>
        <w:jc w:val="both"/>
      </w:pPr>
    </w:p>
    <w:p w:rsidR="00C00FEB" w:rsidRDefault="00F27577" w:rsidP="00C00FEB">
      <w:pPr>
        <w:jc w:val="both"/>
      </w:pPr>
      <w:r>
        <w:t xml:space="preserve">3) </w:t>
      </w:r>
      <w:r w:rsidR="00C00FEB">
        <w:t xml:space="preserve">Příjemce souhlasí se zveřejněním této smlouvy. Příjemce prohlašuje, že skutečnosti uvedené v této smlouvě nepovažuje za obchodní tajemství ve smyslu </w:t>
      </w:r>
      <w:proofErr w:type="spellStart"/>
      <w:r w:rsidR="00C00FEB">
        <w:t>ust</w:t>
      </w:r>
      <w:proofErr w:type="spellEnd"/>
      <w:r w:rsidR="00C00FEB">
        <w:t xml:space="preserve">. § 504 zákona </w:t>
      </w:r>
      <w:r w:rsidR="00C00FEB">
        <w:br/>
        <w:t xml:space="preserve">č. 89/2012 Sb., občanský zákoník. </w:t>
      </w:r>
    </w:p>
    <w:p w:rsidR="00F27577" w:rsidRDefault="00F27577">
      <w:pPr>
        <w:jc w:val="both"/>
      </w:pPr>
    </w:p>
    <w:p w:rsidR="003157CE" w:rsidRDefault="003157CE" w:rsidP="003157CE">
      <w:pPr>
        <w:pStyle w:val="Zkladntext"/>
      </w:pPr>
      <w:r>
        <w:t xml:space="preserve">4) Smluvní strany berou na vědomí, že tato smlouva podléhá povinnosti uveřejnění v registru smluv dle zákona č. 340/2015 Sb., o registru smluv. Povinnost uveřejnit tuto smlouvu v registru smluv se zavazuje v zákonné lhůtě splnit poskytovatel.  </w:t>
      </w:r>
    </w:p>
    <w:p w:rsidR="003157CE" w:rsidRDefault="003157CE" w:rsidP="003157CE">
      <w:pPr>
        <w:pStyle w:val="Zkladntext"/>
      </w:pPr>
    </w:p>
    <w:p w:rsidR="003157CE" w:rsidRDefault="003157CE" w:rsidP="003157CE">
      <w:pPr>
        <w:pStyle w:val="Zkladntext"/>
      </w:pPr>
      <w:r>
        <w:t>5) Tato smlouva nabývá platnosti a účinnosti dnem podpisu oprávněnými zástupci obou smluvních stran. Změny a doplňky této smlouvy lze provádět pouze dohodou smluvních stran formou písemných číslovaných dodatků podepsaných oběma smluvními stranami.</w:t>
      </w:r>
    </w:p>
    <w:p w:rsidR="003157CE" w:rsidRDefault="003157CE" w:rsidP="003157CE">
      <w:pPr>
        <w:jc w:val="both"/>
      </w:pPr>
    </w:p>
    <w:p w:rsidR="003157CE" w:rsidRDefault="003157CE" w:rsidP="003157CE">
      <w:pPr>
        <w:jc w:val="both"/>
      </w:pPr>
      <w:r>
        <w:t xml:space="preserve">6) Tato smlouva je sepsána ve </w:t>
      </w:r>
      <w:r w:rsidR="0024190D">
        <w:t>dvou</w:t>
      </w:r>
      <w:r>
        <w:t xml:space="preserve"> vyhotoveních, z nichž jedno obdrží příjemce dotace a </w:t>
      </w:r>
      <w:r w:rsidR="0024190D">
        <w:t>jedno</w:t>
      </w:r>
      <w:r>
        <w:t xml:space="preserve"> poskytovatel.</w:t>
      </w:r>
    </w:p>
    <w:p w:rsidR="003157CE" w:rsidRDefault="003157CE" w:rsidP="003157CE">
      <w:pPr>
        <w:jc w:val="both"/>
      </w:pPr>
    </w:p>
    <w:p w:rsidR="003157CE" w:rsidRDefault="003157CE" w:rsidP="003157CE">
      <w:pPr>
        <w:jc w:val="both"/>
      </w:pPr>
      <w:r>
        <w:t xml:space="preserve">7) Uzavření této smlouvy bylo schváleno usnesením Zastupitelstva města Strakonice </w:t>
      </w:r>
      <w:r>
        <w:br/>
        <w:t xml:space="preserve">č. </w:t>
      </w:r>
      <w:r w:rsidR="004D37B6">
        <w:t>109/ZM</w:t>
      </w:r>
      <w:r>
        <w:t>/20</w:t>
      </w:r>
      <w:r w:rsidR="00562CF9">
        <w:t>20</w:t>
      </w:r>
      <w:r>
        <w:t xml:space="preserve"> dne </w:t>
      </w:r>
      <w:r w:rsidR="00562CF9">
        <w:t>26. 2. 2020</w:t>
      </w:r>
      <w:r>
        <w:t>.</w:t>
      </w:r>
    </w:p>
    <w:p w:rsidR="003157CE" w:rsidRDefault="003157CE" w:rsidP="003157CE">
      <w:pPr>
        <w:jc w:val="both"/>
      </w:pPr>
    </w:p>
    <w:p w:rsidR="003157CE" w:rsidRDefault="003157CE" w:rsidP="003157CE">
      <w:pPr>
        <w:jc w:val="both"/>
        <w:rPr>
          <w:snapToGrid w:val="0"/>
        </w:rPr>
      </w:pPr>
      <w:r>
        <w:t xml:space="preserve">8) </w:t>
      </w:r>
      <w:r>
        <w:rPr>
          <w:snapToGrid w:val="0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F27577" w:rsidRDefault="00F27577">
      <w:pPr>
        <w:jc w:val="both"/>
      </w:pPr>
    </w:p>
    <w:p w:rsidR="00F27577" w:rsidRDefault="00F27577">
      <w:pPr>
        <w:jc w:val="both"/>
      </w:pPr>
    </w:p>
    <w:p w:rsidR="00F27577" w:rsidRDefault="00F27577">
      <w:pPr>
        <w:jc w:val="both"/>
      </w:pPr>
      <w:r>
        <w:t>Ve Strakonicích dne ………………</w:t>
      </w:r>
      <w:r>
        <w:tab/>
      </w:r>
      <w:r>
        <w:tab/>
      </w:r>
      <w:r>
        <w:tab/>
      </w:r>
      <w:r>
        <w:tab/>
        <w:t>V</w:t>
      </w:r>
      <w:r w:rsidR="00314063">
        <w:t>e Strakonicích</w:t>
      </w:r>
      <w:r>
        <w:t xml:space="preserve"> dne……………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F27577" w:rsidRDefault="00F27577">
      <w:pPr>
        <w:jc w:val="both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F51397" w:rsidRDefault="00F51397">
      <w:pPr>
        <w:jc w:val="both"/>
      </w:pPr>
    </w:p>
    <w:p w:rsidR="00F27577" w:rsidRDefault="00F27577">
      <w:pPr>
        <w:jc w:val="both"/>
      </w:pPr>
      <w:r>
        <w:t>Mgr. Břetislav Hrdlička</w:t>
      </w:r>
      <w:r>
        <w:tab/>
      </w:r>
      <w:r>
        <w:tab/>
      </w:r>
      <w:r>
        <w:tab/>
      </w:r>
      <w:r>
        <w:tab/>
      </w:r>
      <w:r>
        <w:tab/>
      </w:r>
      <w:r w:rsidR="00314063">
        <w:t>Petr Chládek</w:t>
      </w:r>
    </w:p>
    <w:p w:rsidR="00F27577" w:rsidRDefault="00F27577">
      <w:pPr>
        <w:jc w:val="both"/>
        <w:rPr>
          <w:color w:val="FF0000"/>
        </w:rPr>
      </w:pPr>
      <w:r>
        <w:t>starosta</w:t>
      </w:r>
      <w:r>
        <w:tab/>
      </w:r>
      <w:r>
        <w:tab/>
      </w:r>
      <w:r>
        <w:tab/>
      </w:r>
      <w:r w:rsidR="00314063">
        <w:tab/>
      </w:r>
      <w:r w:rsidR="00314063">
        <w:tab/>
      </w:r>
      <w:r w:rsidR="00314063">
        <w:tab/>
      </w:r>
      <w:r w:rsidR="00314063">
        <w:tab/>
        <w:t>předseda</w:t>
      </w:r>
    </w:p>
    <w:sectPr w:rsidR="00F2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3DF78FC"/>
    <w:multiLevelType w:val="hybridMultilevel"/>
    <w:tmpl w:val="A4B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4"/>
    <w:rsid w:val="000303A8"/>
    <w:rsid w:val="00082CBB"/>
    <w:rsid w:val="00104469"/>
    <w:rsid w:val="0012481B"/>
    <w:rsid w:val="00147537"/>
    <w:rsid w:val="00194BDE"/>
    <w:rsid w:val="00195139"/>
    <w:rsid w:val="001A6E91"/>
    <w:rsid w:val="00217030"/>
    <w:rsid w:val="0024190D"/>
    <w:rsid w:val="002664B2"/>
    <w:rsid w:val="0026733A"/>
    <w:rsid w:val="00283E54"/>
    <w:rsid w:val="00314063"/>
    <w:rsid w:val="003157CE"/>
    <w:rsid w:val="004D37B6"/>
    <w:rsid w:val="00541459"/>
    <w:rsid w:val="00551334"/>
    <w:rsid w:val="00562CF9"/>
    <w:rsid w:val="00581053"/>
    <w:rsid w:val="005E1025"/>
    <w:rsid w:val="00637EC1"/>
    <w:rsid w:val="00654C83"/>
    <w:rsid w:val="006C1BA0"/>
    <w:rsid w:val="007973D4"/>
    <w:rsid w:val="007D31FC"/>
    <w:rsid w:val="008A036A"/>
    <w:rsid w:val="008C2DC9"/>
    <w:rsid w:val="00983951"/>
    <w:rsid w:val="009A0DC1"/>
    <w:rsid w:val="009C13B4"/>
    <w:rsid w:val="00A1229E"/>
    <w:rsid w:val="00A458DE"/>
    <w:rsid w:val="00AD3839"/>
    <w:rsid w:val="00B046FB"/>
    <w:rsid w:val="00B129D5"/>
    <w:rsid w:val="00C00FEB"/>
    <w:rsid w:val="00C2351E"/>
    <w:rsid w:val="00C33E6F"/>
    <w:rsid w:val="00CC0B22"/>
    <w:rsid w:val="00D67525"/>
    <w:rsid w:val="00E60B1F"/>
    <w:rsid w:val="00E83782"/>
    <w:rsid w:val="00EB3F60"/>
    <w:rsid w:val="00F01D1E"/>
    <w:rsid w:val="00F078AB"/>
    <w:rsid w:val="00F27577"/>
    <w:rsid w:val="00F50BE1"/>
    <w:rsid w:val="00F51397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89657E"/>
  <w15:chartTrackingRefBased/>
  <w15:docId w15:val="{4CFBF403-885F-431B-A455-43D4AB0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subjname">
    <w:name w:val="tsubjname"/>
  </w:style>
  <w:style w:type="character" w:styleId="Siln">
    <w:name w:val="Strong"/>
    <w:qFormat/>
    <w:rsid w:val="008A036A"/>
    <w:rPr>
      <w:b/>
      <w:bCs/>
    </w:rPr>
  </w:style>
  <w:style w:type="character" w:customStyle="1" w:styleId="ZkladntextChar">
    <w:name w:val="Základní text Char"/>
    <w:link w:val="Zkladntext"/>
    <w:semiHidden/>
    <w:rsid w:val="003157CE"/>
    <w:rPr>
      <w:sz w:val="24"/>
      <w:szCs w:val="24"/>
    </w:rPr>
  </w:style>
  <w:style w:type="character" w:customStyle="1" w:styleId="Nadpis2Char">
    <w:name w:val="Nadpis 2 Char"/>
    <w:link w:val="Nadpis2"/>
    <w:rsid w:val="00AD3839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2043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6</cp:revision>
  <cp:lastPrinted>2015-11-27T09:38:00Z</cp:lastPrinted>
  <dcterms:created xsi:type="dcterms:W3CDTF">2020-02-12T07:32:00Z</dcterms:created>
  <dcterms:modified xsi:type="dcterms:W3CDTF">2020-03-24T11:46:00Z</dcterms:modified>
</cp:coreProperties>
</file>