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7DB" w:rsidRDefault="00393241">
      <w:pPr>
        <w:pStyle w:val="Heading110"/>
        <w:keepNext/>
        <w:keepLines/>
        <w:shd w:val="clear" w:color="auto" w:fill="auto"/>
      </w:pPr>
      <w:bookmarkStart w:id="0" w:name="bookmark0"/>
      <w:bookmarkStart w:id="1" w:name="bookmark1"/>
      <w:r>
        <w:t>Smlouva o rezervaci a podmínkách poskytování náhradního plnění č. RS-IVA-2020-21</w:t>
      </w:r>
      <w:bookmarkEnd w:id="0"/>
      <w:bookmarkEnd w:id="1"/>
    </w:p>
    <w:p w:rsidR="003677DB" w:rsidRDefault="00393241">
      <w:pPr>
        <w:pStyle w:val="Bodytext20"/>
        <w:shd w:val="clear" w:color="auto" w:fill="auto"/>
      </w:pPr>
      <w:r>
        <w:t>(dále také jen „smlouva") uzavřená dle § 81 a násl. zák. č. 435/2004 Sb., o zaměstnanosti v platném zněni mezi těmito stranami</w:t>
      </w:r>
    </w:p>
    <w:p w:rsidR="003677DB" w:rsidRDefault="00393241">
      <w:pPr>
        <w:pStyle w:val="Heading210"/>
        <w:keepNext/>
        <w:keepLines/>
        <w:numPr>
          <w:ilvl w:val="0"/>
          <w:numId w:val="1"/>
        </w:numPr>
        <w:shd w:val="clear" w:color="auto" w:fill="auto"/>
        <w:tabs>
          <w:tab w:val="left" w:pos="734"/>
        </w:tabs>
      </w:pPr>
      <w:bookmarkStart w:id="2" w:name="bookmark2"/>
      <w:bookmarkStart w:id="3" w:name="bookmark3"/>
      <w:r>
        <w:rPr>
          <w:lang w:val="en-US" w:eastAsia="en-US" w:bidi="en-US"/>
        </w:rPr>
        <w:t xml:space="preserve">IVAC0M </w:t>
      </w:r>
      <w:r>
        <w:t>spol. s r. o.</w:t>
      </w:r>
      <w:bookmarkEnd w:id="2"/>
      <w:bookmarkEnd w:id="3"/>
    </w:p>
    <w:p w:rsidR="003677DB" w:rsidRDefault="00393241">
      <w:pPr>
        <w:pStyle w:val="Bodytext10"/>
        <w:shd w:val="clear" w:color="auto" w:fill="auto"/>
        <w:spacing w:after="0"/>
        <w:ind w:firstLine="720"/>
        <w:jc w:val="both"/>
      </w:pPr>
      <w:r>
        <w:t xml:space="preserve">se sídlem Balcarova 1716/4, 702 00 </w:t>
      </w:r>
      <w:proofErr w:type="gramStart"/>
      <w:r>
        <w:t>Ostrava - Moravská</w:t>
      </w:r>
      <w:proofErr w:type="gramEnd"/>
      <w:r>
        <w:t xml:space="preserve"> Ostrava</w:t>
      </w:r>
    </w:p>
    <w:p w:rsidR="003677DB" w:rsidRDefault="00393241">
      <w:pPr>
        <w:pStyle w:val="Bodytext10"/>
        <w:shd w:val="clear" w:color="auto" w:fill="auto"/>
        <w:spacing w:after="0"/>
        <w:ind w:firstLine="720"/>
      </w:pPr>
      <w:r>
        <w:t>IČ: 47150831, DIČ: CZ 47150831</w:t>
      </w:r>
    </w:p>
    <w:p w:rsidR="003677DB" w:rsidRDefault="00393241">
      <w:pPr>
        <w:pStyle w:val="Bodytext10"/>
        <w:shd w:val="clear" w:color="auto" w:fill="auto"/>
        <w:spacing w:after="0"/>
        <w:ind w:firstLine="720"/>
      </w:pPr>
      <w:r>
        <w:t>Zastoupena: Ing. Alexandra Hlavicová, jednatelka a Bc. Monika Černá, jednatelka</w:t>
      </w:r>
    </w:p>
    <w:p w:rsidR="003677DB" w:rsidRDefault="00393241">
      <w:pPr>
        <w:pStyle w:val="Bodytext10"/>
        <w:shd w:val="clear" w:color="auto" w:fill="auto"/>
        <w:spacing w:after="0"/>
        <w:ind w:firstLine="720"/>
      </w:pPr>
      <w:r>
        <w:t>bankovní spojení: Komerční banka, a.s.; 107-9348880257/0100</w:t>
      </w:r>
    </w:p>
    <w:p w:rsidR="003677DB" w:rsidRDefault="00393241">
      <w:pPr>
        <w:pStyle w:val="Bodytext10"/>
        <w:shd w:val="clear" w:color="auto" w:fill="auto"/>
        <w:spacing w:after="0"/>
        <w:ind w:left="720" w:firstLine="20"/>
      </w:pPr>
      <w:r>
        <w:t xml:space="preserve">zapsaná v obchodním rejstříku vedeném Krajským soudem v Ostravě v oddíle C, vložka 3804 osoby zmocněné jednat ve věcech náhradního plnění </w:t>
      </w:r>
      <w:proofErr w:type="spellStart"/>
      <w:r w:rsidR="003E39F9">
        <w:t>xxxxxxxxxxxxxxxxxxxxxx</w:t>
      </w:r>
      <w:proofErr w:type="spellEnd"/>
      <w:r w:rsidR="003E39F9">
        <w:t xml:space="preserve">, </w:t>
      </w:r>
      <w:proofErr w:type="spellStart"/>
      <w:r w:rsidR="003E39F9">
        <w:t>xxxxxxxxxxxxxxxxxxxxxxxx</w:t>
      </w:r>
      <w:proofErr w:type="spellEnd"/>
    </w:p>
    <w:p w:rsidR="003677DB" w:rsidRDefault="00393241">
      <w:pPr>
        <w:pStyle w:val="Bodytext10"/>
        <w:shd w:val="clear" w:color="auto" w:fill="auto"/>
        <w:spacing w:after="0"/>
        <w:ind w:firstLine="720"/>
      </w:pPr>
      <w:r>
        <w:rPr>
          <w:b/>
          <w:bCs/>
        </w:rPr>
        <w:t>(dále také jen „Dodavatel")</w:t>
      </w:r>
    </w:p>
    <w:p w:rsidR="003677DB" w:rsidRDefault="00393241">
      <w:pPr>
        <w:pStyle w:val="Bodytext10"/>
        <w:shd w:val="clear" w:color="auto" w:fill="auto"/>
      </w:pPr>
      <w:r>
        <w:rPr>
          <w:b/>
          <w:bCs/>
        </w:rPr>
        <w:t>A</w:t>
      </w:r>
    </w:p>
    <w:p w:rsidR="003677DB" w:rsidRDefault="00393241">
      <w:pPr>
        <w:pStyle w:val="Heading210"/>
        <w:keepNext/>
        <w:keepLines/>
        <w:numPr>
          <w:ilvl w:val="0"/>
          <w:numId w:val="1"/>
        </w:numPr>
        <w:shd w:val="clear" w:color="auto" w:fill="auto"/>
        <w:tabs>
          <w:tab w:val="left" w:pos="734"/>
        </w:tabs>
      </w:pPr>
      <w:bookmarkStart w:id="4" w:name="bookmark4"/>
      <w:bookmarkStart w:id="5" w:name="bookmark5"/>
      <w:r>
        <w:t>Krajská nemocnice T.</w:t>
      </w:r>
      <w:r w:rsidR="004C6EB3">
        <w:t xml:space="preserve"> </w:t>
      </w:r>
      <w:r>
        <w:t>Bati</w:t>
      </w:r>
      <w:bookmarkEnd w:id="4"/>
      <w:bookmarkEnd w:id="5"/>
      <w:r w:rsidR="004C6EB3">
        <w:t>, a. s.</w:t>
      </w:r>
    </w:p>
    <w:p w:rsidR="003677DB" w:rsidRDefault="00393241">
      <w:pPr>
        <w:pStyle w:val="Bodytext10"/>
        <w:shd w:val="clear" w:color="auto" w:fill="auto"/>
        <w:spacing w:after="0"/>
        <w:ind w:firstLine="720"/>
      </w:pPr>
      <w:r>
        <w:t>se sídlem Havlíčkovo nábřeží 600, 762 75, Zlín</w:t>
      </w:r>
    </w:p>
    <w:p w:rsidR="003677DB" w:rsidRDefault="00393241">
      <w:pPr>
        <w:pStyle w:val="Bodytext10"/>
        <w:shd w:val="clear" w:color="auto" w:fill="auto"/>
        <w:tabs>
          <w:tab w:val="left" w:pos="2986"/>
        </w:tabs>
        <w:spacing w:after="0"/>
        <w:ind w:firstLine="720"/>
      </w:pPr>
      <w:r>
        <w:t>IČ: 27661989</w:t>
      </w:r>
      <w:r>
        <w:tab/>
        <w:t>DIČ: CZ27661989</w:t>
      </w:r>
    </w:p>
    <w:p w:rsidR="003677DB" w:rsidRDefault="00393241">
      <w:pPr>
        <w:pStyle w:val="Bodytext10"/>
        <w:shd w:val="clear" w:color="auto" w:fill="auto"/>
        <w:spacing w:after="0"/>
        <w:ind w:firstLine="720"/>
      </w:pPr>
      <w:r>
        <w:t xml:space="preserve">zapsaná v </w:t>
      </w:r>
      <w:r>
        <w:rPr>
          <w:lang w:val="en-US" w:eastAsia="en-US" w:bidi="en-US"/>
        </w:rPr>
        <w:t>OR</w:t>
      </w:r>
    </w:p>
    <w:p w:rsidR="004C6EB3" w:rsidRDefault="00393241">
      <w:pPr>
        <w:pStyle w:val="Bodytext10"/>
        <w:shd w:val="clear" w:color="auto" w:fill="auto"/>
        <w:spacing w:after="0"/>
        <w:ind w:firstLine="720"/>
      </w:pPr>
      <w:r>
        <w:t>zastoupena:</w:t>
      </w:r>
      <w:r w:rsidR="004C6EB3">
        <w:t xml:space="preserve"> MUDr. Radomír Maráček, předseda představenstva a Mgr. Lucie Štěpánková, MBA, členka </w:t>
      </w:r>
    </w:p>
    <w:p w:rsidR="003677DB" w:rsidRDefault="004C6EB3">
      <w:pPr>
        <w:pStyle w:val="Bodytext10"/>
        <w:shd w:val="clear" w:color="auto" w:fill="auto"/>
        <w:spacing w:after="0"/>
        <w:ind w:firstLine="720"/>
      </w:pPr>
      <w:r>
        <w:t>představenstva</w:t>
      </w:r>
    </w:p>
    <w:p w:rsidR="003677DB" w:rsidRDefault="00393241">
      <w:pPr>
        <w:pStyle w:val="Bodytext10"/>
        <w:shd w:val="clear" w:color="auto" w:fill="auto"/>
        <w:spacing w:after="0"/>
        <w:ind w:firstLine="720"/>
      </w:pPr>
      <w:r>
        <w:t xml:space="preserve">osoby zmocněné jednat ve věcech provozních: </w:t>
      </w:r>
      <w:proofErr w:type="spellStart"/>
      <w:r w:rsidR="003E39F9">
        <w:t>xxxxxxxxxxxxxxxxxxxxxxxxxxxxxxx</w:t>
      </w:r>
      <w:proofErr w:type="spellEnd"/>
    </w:p>
    <w:p w:rsidR="003677DB" w:rsidRDefault="00393241">
      <w:pPr>
        <w:pStyle w:val="Bodytext10"/>
        <w:shd w:val="clear" w:color="auto" w:fill="auto"/>
        <w:spacing w:after="0"/>
        <w:ind w:firstLine="720"/>
      </w:pPr>
      <w:r>
        <w:t xml:space="preserve">email pro komunikaci s provozovatelem registračního serveru: </w:t>
      </w:r>
      <w:proofErr w:type="spellStart"/>
      <w:r w:rsidR="003E39F9">
        <w:t>xxxxxxxxxxxxxxxxxxxxxxxx</w:t>
      </w:r>
      <w:proofErr w:type="spellEnd"/>
    </w:p>
    <w:p w:rsidR="003677DB" w:rsidRDefault="00393241">
      <w:pPr>
        <w:pStyle w:val="Bodytext10"/>
        <w:shd w:val="clear" w:color="auto" w:fill="auto"/>
        <w:ind w:firstLine="720"/>
      </w:pPr>
      <w:r>
        <w:rPr>
          <w:b/>
          <w:bCs/>
        </w:rPr>
        <w:t>(dále také jen „Odběratel")</w:t>
      </w:r>
    </w:p>
    <w:p w:rsidR="003677DB" w:rsidRDefault="00393241">
      <w:pPr>
        <w:pStyle w:val="Bodytext10"/>
        <w:numPr>
          <w:ilvl w:val="0"/>
          <w:numId w:val="2"/>
        </w:numPr>
        <w:shd w:val="clear" w:color="auto" w:fill="auto"/>
        <w:tabs>
          <w:tab w:val="left" w:pos="357"/>
        </w:tabs>
        <w:ind w:left="360" w:hanging="360"/>
        <w:jc w:val="both"/>
      </w:pPr>
      <w:r>
        <w:t xml:space="preserve">Dodavatel konstatuje a podpisem této Smlouvy potvrzuje, že ve smyslu ustanovení § 81 odst. 2 písm. b) zákona č. 435/2004 Sb., o zaměstnanosti, ve znění pozdějších předpisů (dále jen </w:t>
      </w:r>
      <w:proofErr w:type="spellStart"/>
      <w:r>
        <w:t>ZoZ</w:t>
      </w:r>
      <w:proofErr w:type="spellEnd"/>
      <w:r>
        <w:t xml:space="preserve">), jakož i ve smyslu dalších dotčených ustanovení </w:t>
      </w:r>
      <w:proofErr w:type="spellStart"/>
      <w:r>
        <w:t>ZoZ</w:t>
      </w:r>
      <w:proofErr w:type="spellEnd"/>
      <w:r>
        <w:t xml:space="preserve"> a prováděcích předpisů k </w:t>
      </w:r>
      <w:proofErr w:type="spellStart"/>
      <w:r>
        <w:t>ZoZ</w:t>
      </w:r>
      <w:proofErr w:type="spellEnd"/>
      <w:r>
        <w:t xml:space="preserve"> (zejména pak dle vyhlášky Ministerstva práce a sociálních věcí č. 518/2004 Sb., kterou se provádí zákon č. 435/2004 Sb., o zaměstnanosti, ve znění pozdějších změn), je zaměstnavatelem, který zaměstnává více než 50 % zaměstnanců, kteří jsou osobami se zdravotním postižením, a to pro účely výpočtu možnosti poskytování náhradního plnění. Dodavatel je tak oprávněn poskytovat jiným subjektům náhradní plnění.</w:t>
      </w:r>
    </w:p>
    <w:p w:rsidR="003677DB" w:rsidRDefault="00393241">
      <w:pPr>
        <w:pStyle w:val="Bodytext10"/>
        <w:numPr>
          <w:ilvl w:val="0"/>
          <w:numId w:val="2"/>
        </w:numPr>
        <w:shd w:val="clear" w:color="auto" w:fill="auto"/>
        <w:tabs>
          <w:tab w:val="left" w:pos="357"/>
        </w:tabs>
        <w:spacing w:after="0"/>
        <w:jc w:val="both"/>
      </w:pPr>
      <w:r>
        <w:t>Odběratel si dle této Smlouvy u Dodavatele rezervuje odběry plnění v rámci „náhradního plnění" v objemu</w:t>
      </w:r>
    </w:p>
    <w:p w:rsidR="003677DB" w:rsidRDefault="00393241">
      <w:pPr>
        <w:pStyle w:val="Bodytext10"/>
        <w:shd w:val="clear" w:color="auto" w:fill="auto"/>
        <w:ind w:left="360" w:firstLine="20"/>
        <w:jc w:val="both"/>
      </w:pPr>
      <w:r>
        <w:rPr>
          <w:b/>
          <w:bCs/>
        </w:rPr>
        <w:t xml:space="preserve">1 650 000 Kč/ročně </w:t>
      </w:r>
      <w:r>
        <w:t>bez DPH, a to za dobu od 1. 1. 2020 do 31. 12. 2020. Poskytovatel se zavazuje, že plnění podle této smlouvy v uvedeném rozsahu zajistí prostřednictvím zaměstnanců se zdravotním znevýhodněním a že v tomto rozsahu poskytne Objednateli náhradní plnění ve smyslu § 81 odst. 2 písm. b) zákona č. 435/2004 Sb., o zaměstnanosti, v platném znění.</w:t>
      </w:r>
    </w:p>
    <w:p w:rsidR="003677DB" w:rsidRDefault="00393241">
      <w:pPr>
        <w:pStyle w:val="Bodytext10"/>
        <w:numPr>
          <w:ilvl w:val="0"/>
          <w:numId w:val="2"/>
        </w:numPr>
        <w:shd w:val="clear" w:color="auto" w:fill="auto"/>
        <w:tabs>
          <w:tab w:val="left" w:pos="357"/>
        </w:tabs>
        <w:ind w:left="360" w:hanging="360"/>
        <w:jc w:val="both"/>
      </w:pPr>
      <w:r>
        <w:t xml:space="preserve">V případě nedodržení povinnosti poskytnout Odběrateli sjednanou výši náhradního plnění se Dodavatel zavazuje uhradit Odběrateli náhradu škody, která Odběrateli vzniknou nedodržením závazku dle této Smlouvy ze strany Dodavatele, a to za podmínky, že Odběratel za dohodnutou částku odebere zboží nebo služby a zároveň za  </w:t>
      </w:r>
      <w:r w:rsidR="00F1128F">
        <w:t>o</w:t>
      </w:r>
      <w:r>
        <w:t>debrané zboží nebo služby zaplatí, a to nejpozději do 31. 1. následujícího roku.</w:t>
      </w:r>
    </w:p>
    <w:p w:rsidR="003677DB" w:rsidRDefault="00393241">
      <w:pPr>
        <w:pStyle w:val="Bodytext10"/>
        <w:numPr>
          <w:ilvl w:val="0"/>
          <w:numId w:val="2"/>
        </w:numPr>
        <w:shd w:val="clear" w:color="auto" w:fill="auto"/>
        <w:tabs>
          <w:tab w:val="left" w:pos="357"/>
        </w:tabs>
        <w:ind w:left="360" w:hanging="360"/>
        <w:jc w:val="both"/>
      </w:pPr>
      <w:r>
        <w:t xml:space="preserve">V případě, že Odběratel bude požadovat snížení rozsahu náhradní plnění rezervovaného dle této Smlouvy, je povinen tento požadavek sdělit Dodavateli nejpozději </w:t>
      </w:r>
      <w:r>
        <w:rPr>
          <w:b/>
          <w:bCs/>
        </w:rPr>
        <w:t xml:space="preserve">do 30. 09. 2020. </w:t>
      </w:r>
      <w:r>
        <w:t>Smluvní strany se mohou dohodnout také na případném navýšení objemu náhradního plnění, a to za podmínky, že Dodavatel bude mít možnost navýšení jeho limitu. Jakoukoliv změnu rozsahu poskytovaného náhradního plnění jsou povinny strany upravit formou dodatku k této Smlouvě.</w:t>
      </w:r>
    </w:p>
    <w:p w:rsidR="003677DB" w:rsidRDefault="00393241">
      <w:pPr>
        <w:pStyle w:val="Bodytext10"/>
        <w:numPr>
          <w:ilvl w:val="0"/>
          <w:numId w:val="2"/>
        </w:numPr>
        <w:shd w:val="clear" w:color="auto" w:fill="auto"/>
        <w:tabs>
          <w:tab w:val="left" w:pos="357"/>
        </w:tabs>
        <w:spacing w:after="0"/>
        <w:ind w:left="360" w:hanging="360"/>
        <w:jc w:val="both"/>
      </w:pPr>
      <w:r>
        <w:t>V souladu se zněním zákona č. 435/2004 Sb., platným ke dni podpisu této Smlouvy (a účinným k 1. 10. 2017) je Dodavatel povinen vložit do elektronické evidence vedeném Ministerstvem práce a sociálních věcí následující údaje:</w:t>
      </w:r>
    </w:p>
    <w:p w:rsidR="003677DB" w:rsidRDefault="00393241">
      <w:pPr>
        <w:pStyle w:val="Bodytext10"/>
        <w:shd w:val="clear" w:color="auto" w:fill="auto"/>
        <w:ind w:left="720" w:hanging="340"/>
        <w:jc w:val="both"/>
        <w:sectPr w:rsidR="003677DB" w:rsidSect="008F4152">
          <w:headerReference w:type="default" r:id="rId7"/>
          <w:footerReference w:type="default" r:id="rId8"/>
          <w:pgSz w:w="11900" w:h="16840"/>
          <w:pgMar w:top="624" w:right="675" w:bottom="851" w:left="686" w:header="0" w:footer="6" w:gutter="0"/>
          <w:pgNumType w:fmt="lowerRoman" w:start="1"/>
          <w:cols w:space="720"/>
          <w:noEndnote/>
          <w:docGrid w:linePitch="360"/>
        </w:sectPr>
      </w:pPr>
      <w:r>
        <w:rPr>
          <w:b/>
          <w:bCs/>
        </w:rPr>
        <w:t xml:space="preserve">a) průměrný roční přepočtený počet </w:t>
      </w:r>
      <w:r>
        <w:t xml:space="preserve">zaměstnanců, kteří jsou osobami se zdravotním postižením za předchozí kalendářní rok pro účely výpočtu limitu stanoveného podle § 81 odst. 3 zákona o zaměstnanosti, tento údaj bude zadáván </w:t>
      </w:r>
      <w:r w:rsidR="003E39F9">
        <w:t xml:space="preserve">1 </w:t>
      </w:r>
      <w:bookmarkStart w:id="6" w:name="_GoBack"/>
      <w:bookmarkEnd w:id="6"/>
      <w:r>
        <w:t>x ročně,</w:t>
      </w:r>
    </w:p>
    <w:p w:rsidR="003677DB" w:rsidRDefault="00393241">
      <w:pPr>
        <w:pStyle w:val="Bodytext10"/>
        <w:shd w:val="clear" w:color="auto" w:fill="auto"/>
        <w:ind w:left="740" w:hanging="360"/>
        <w:jc w:val="both"/>
      </w:pPr>
      <w:r>
        <w:rPr>
          <w:b/>
          <w:bCs/>
        </w:rPr>
        <w:lastRenderedPageBreak/>
        <w:t xml:space="preserve">b) průměrné čtvrtletní přepočtené počty </w:t>
      </w:r>
      <w:r>
        <w:t xml:space="preserve">zaměstnanců </w:t>
      </w:r>
      <w:r>
        <w:rPr>
          <w:b/>
          <w:bCs/>
        </w:rPr>
        <w:t xml:space="preserve">v daném kalendářním roce </w:t>
      </w:r>
      <w:r>
        <w:t>pro účely zjištění splnění podmínky zaměstnávání 50 % osob se zdravotním postižením.</w:t>
      </w:r>
    </w:p>
    <w:p w:rsidR="003677DB" w:rsidRDefault="00393241">
      <w:pPr>
        <w:pStyle w:val="Bodytext10"/>
        <w:shd w:val="clear" w:color="auto" w:fill="auto"/>
        <w:spacing w:after="0"/>
        <w:ind w:left="360" w:firstLine="20"/>
        <w:jc w:val="both"/>
      </w:pPr>
      <w:r>
        <w:t>Dále je Dodavatel povinen vkládat pravidelně do 30 kalendářních dnů od uhrazení poskytnutého náhradního plnění do elektronické evidence vedeném Ministerstvem práce a sociálních věcí následující údaje:</w:t>
      </w:r>
    </w:p>
    <w:p w:rsidR="003677DB" w:rsidRDefault="00393241">
      <w:pPr>
        <w:pStyle w:val="Bodytext10"/>
        <w:numPr>
          <w:ilvl w:val="0"/>
          <w:numId w:val="3"/>
        </w:numPr>
        <w:shd w:val="clear" w:color="auto" w:fill="auto"/>
        <w:tabs>
          <w:tab w:val="left" w:pos="724"/>
        </w:tabs>
        <w:spacing w:after="0"/>
        <w:ind w:firstLine="360"/>
        <w:jc w:val="both"/>
      </w:pPr>
      <w:r>
        <w:rPr>
          <w:b/>
          <w:bCs/>
        </w:rPr>
        <w:t xml:space="preserve">identifikační údaje </w:t>
      </w:r>
      <w:r>
        <w:t>dodavatele a odběratele,</w:t>
      </w:r>
    </w:p>
    <w:p w:rsidR="003677DB" w:rsidRDefault="00393241">
      <w:pPr>
        <w:pStyle w:val="Bodytext10"/>
        <w:numPr>
          <w:ilvl w:val="0"/>
          <w:numId w:val="3"/>
        </w:numPr>
        <w:shd w:val="clear" w:color="auto" w:fill="auto"/>
        <w:tabs>
          <w:tab w:val="left" w:pos="724"/>
        </w:tabs>
        <w:spacing w:after="0"/>
        <w:ind w:left="740" w:hanging="360"/>
        <w:jc w:val="both"/>
      </w:pPr>
      <w:r>
        <w:rPr>
          <w:b/>
          <w:bCs/>
        </w:rPr>
        <w:t xml:space="preserve">cenu </w:t>
      </w:r>
      <w:r>
        <w:t>dodávaných výrobků služeb či realizovaných zakázek bez DPH (jedná se o částku započitatelnou do náhradního plnění; může být i nižší, než je hodnota na faktuře, pokud se dodavatel s odběratelem dohodli např. na započítání nižší částky)</w:t>
      </w:r>
    </w:p>
    <w:p w:rsidR="003677DB" w:rsidRDefault="00393241">
      <w:pPr>
        <w:pStyle w:val="Bodytext10"/>
        <w:numPr>
          <w:ilvl w:val="0"/>
          <w:numId w:val="3"/>
        </w:numPr>
        <w:shd w:val="clear" w:color="auto" w:fill="auto"/>
        <w:tabs>
          <w:tab w:val="left" w:pos="724"/>
        </w:tabs>
        <w:spacing w:after="0"/>
        <w:ind w:firstLine="360"/>
        <w:jc w:val="both"/>
      </w:pPr>
      <w:r>
        <w:rPr>
          <w:b/>
          <w:bCs/>
        </w:rPr>
        <w:t xml:space="preserve">datum dodání </w:t>
      </w:r>
      <w:r>
        <w:t>výrobků, služeb nebo realizace zakázek,</w:t>
      </w:r>
    </w:p>
    <w:p w:rsidR="003677DB" w:rsidRDefault="00393241">
      <w:pPr>
        <w:pStyle w:val="Bodytext10"/>
        <w:numPr>
          <w:ilvl w:val="0"/>
          <w:numId w:val="3"/>
        </w:numPr>
        <w:shd w:val="clear" w:color="auto" w:fill="auto"/>
        <w:tabs>
          <w:tab w:val="left" w:pos="724"/>
        </w:tabs>
        <w:spacing w:after="0"/>
        <w:ind w:firstLine="360"/>
        <w:jc w:val="both"/>
      </w:pPr>
      <w:r>
        <w:rPr>
          <w:b/>
          <w:bCs/>
        </w:rPr>
        <w:t xml:space="preserve">číslo dokladu, </w:t>
      </w:r>
      <w:r>
        <w:t>jímž byla vyúčtována dodávka výrobků, služeb nebo zakázek,</w:t>
      </w:r>
    </w:p>
    <w:p w:rsidR="003677DB" w:rsidRDefault="00393241">
      <w:pPr>
        <w:pStyle w:val="Bodytext10"/>
        <w:numPr>
          <w:ilvl w:val="0"/>
          <w:numId w:val="3"/>
        </w:numPr>
        <w:shd w:val="clear" w:color="auto" w:fill="auto"/>
        <w:tabs>
          <w:tab w:val="left" w:pos="724"/>
        </w:tabs>
        <w:ind w:firstLine="360"/>
        <w:jc w:val="both"/>
      </w:pPr>
      <w:r>
        <w:rPr>
          <w:b/>
          <w:bCs/>
        </w:rPr>
        <w:t xml:space="preserve">datum zaplacení </w:t>
      </w:r>
      <w:r>
        <w:t>odebraných výrobků, služeb nebo realizovaných.</w:t>
      </w:r>
    </w:p>
    <w:p w:rsidR="003677DB" w:rsidRDefault="00393241">
      <w:pPr>
        <w:pStyle w:val="Bodytext10"/>
        <w:numPr>
          <w:ilvl w:val="0"/>
          <w:numId w:val="2"/>
        </w:numPr>
        <w:shd w:val="clear" w:color="auto" w:fill="auto"/>
        <w:tabs>
          <w:tab w:val="left" w:pos="358"/>
        </w:tabs>
        <w:ind w:left="360" w:hanging="360"/>
        <w:jc w:val="both"/>
      </w:pPr>
      <w:r>
        <w:t xml:space="preserve">Po vložení údajů o odebraném zboží nebo službě ze strany Dodavatele obdrží Odběratel od provozovatele elektronické evidence automaticky generovaný </w:t>
      </w:r>
      <w:r>
        <w:rPr>
          <w:b/>
          <w:bCs/>
        </w:rPr>
        <w:t xml:space="preserve">potvrzovací e-mail. Odběratel je povinen následně povinen potvrdit správnost Dodavatelem zaevidovaných údajů uvedených v potvrzovacím emailu </w:t>
      </w:r>
      <w:r>
        <w:t xml:space="preserve">nebo je vrátí dodavateli k opravě, a to následovně. V e-mailu je odkaz, po jehož </w:t>
      </w:r>
      <w:proofErr w:type="spellStart"/>
      <w:r>
        <w:t>rozkliknutí</w:t>
      </w:r>
      <w:proofErr w:type="spellEnd"/>
      <w:r>
        <w:t xml:space="preserve"> se odběrateli zobrazí stránka, kde je Odběrateli sděleno, jakým Dodavatelem byl doklad do evidence vložen, v jaké částce, číslo dokladu, datum dodání a datum zaplacení. Odběratel po kontrole údajů klikne na tlačítko „doklad je v pořádku/vrátit k opravě/odmítnout". </w:t>
      </w:r>
      <w:r>
        <w:rPr>
          <w:b/>
          <w:bCs/>
        </w:rPr>
        <w:t>Do náhradního plnění lze započítat pouze dodávky, které odběratel potvrdí (tj. klikne na „doklad je v pořádku"). Po provedení ověření dokladu již není stránka přístupná. Dodavatel není povinen zaslat Odběrateli potvrzení o poskytnutém náhradním plnění, jelikož Odběratel je oprávněn na portále MPSV si tyto skutečnosti zjistit sám.</w:t>
      </w:r>
    </w:p>
    <w:p w:rsidR="003677DB" w:rsidRDefault="00393241">
      <w:pPr>
        <w:pStyle w:val="Bodytext10"/>
        <w:numPr>
          <w:ilvl w:val="0"/>
          <w:numId w:val="2"/>
        </w:numPr>
        <w:shd w:val="clear" w:color="auto" w:fill="auto"/>
        <w:tabs>
          <w:tab w:val="left" w:pos="358"/>
        </w:tabs>
        <w:ind w:left="360" w:hanging="360"/>
        <w:jc w:val="both"/>
      </w:pPr>
      <w:r>
        <w:t>V souvislosti se zavedením evidence náhradního plnění dochází k odstranění povinnosti Odběratele uvádět údaje o náhradním plnění v ohlášení o plnění povinného podílu. Odběratelé tedy, tak jako doposud, budou ohlašovat Úřadu práce ČR do 15. 2. následujícího roku na předepsaném formuláři, zda splnil či nesplnil povinný podíl včetně způsobů jeho plnění. Nejsou povinni uvádět konkrétní informace o jednotlivých dodávkách, když veškeré údaje o poskytnutém a čerpaném náhradním plnění budou obsaženy v elektronické evidenci.</w:t>
      </w:r>
    </w:p>
    <w:p w:rsidR="003677DB" w:rsidRDefault="00393241">
      <w:pPr>
        <w:pStyle w:val="Bodytext10"/>
        <w:numPr>
          <w:ilvl w:val="0"/>
          <w:numId w:val="2"/>
        </w:numPr>
        <w:shd w:val="clear" w:color="auto" w:fill="auto"/>
        <w:tabs>
          <w:tab w:val="left" w:pos="358"/>
        </w:tabs>
        <w:ind w:left="360" w:hanging="360"/>
        <w:jc w:val="both"/>
      </w:pPr>
      <w:r>
        <w:t>Tato Smlouva nabývá platnosti dnem podpisu obou smluvních strany a účinnosti dnem 1. 1. 2020 Tato smlouva se uzavírá ode dne účinnosti do 31. 12. 2020. Odběratel je oprávněn od této smlouvy odstoupit v případě, že Dodavatel neposkytl náhradní plnění ve sjednaného rozsahu a zároveň neprovedl řádně registraci údajů s tím spojených (neobdržel opakovaně potvrzující email). Dodavatel je oprávněn od této smlouvy odstoupit, pokud je Odběratel k 30. 9. kalendářního roku v prodlení s hrazení smluvní ceny za jakékoliv poskytované plnění déle než 30 dní. Ke dni odstoupení od Smlouvy zaniká nárok Odběratele na poskytnutí dosud nevyčerpaného náhradního plnění. Odstoupení od smlouvy je účinné k prvnímu dni měsíce následujícího po měsíci, v němž bylo oznámení o odstoupení doručeno druhé straně.</w:t>
      </w:r>
    </w:p>
    <w:p w:rsidR="00E042CE" w:rsidRDefault="00E042CE">
      <w:pPr>
        <w:pStyle w:val="Bodytext10"/>
        <w:numPr>
          <w:ilvl w:val="0"/>
          <w:numId w:val="2"/>
        </w:numPr>
        <w:shd w:val="clear" w:color="auto" w:fill="auto"/>
        <w:tabs>
          <w:tab w:val="left" w:pos="358"/>
        </w:tabs>
        <w:ind w:left="360" w:hanging="360"/>
        <w:jc w:val="both"/>
      </w:pPr>
      <w:r>
        <w:t>Smluvní strany se shodují, že zveřejnění této smlouvy v registru smluv podle zákona č. 340/2015 Sb., o registru smluv zajistí odběratel.</w:t>
      </w:r>
    </w:p>
    <w:p w:rsidR="003677DB" w:rsidRDefault="00393241">
      <w:pPr>
        <w:pStyle w:val="Bodytext10"/>
        <w:shd w:val="clear" w:color="auto" w:fill="auto"/>
        <w:tabs>
          <w:tab w:val="left" w:leader="dot" w:pos="2522"/>
          <w:tab w:val="left" w:pos="5954"/>
          <w:tab w:val="left" w:leader="dot" w:pos="7534"/>
        </w:tabs>
        <w:spacing w:after="0"/>
        <w:ind w:firstLine="300"/>
        <w:jc w:val="both"/>
        <w:sectPr w:rsidR="003677DB">
          <w:headerReference w:type="default" r:id="rId9"/>
          <w:footerReference w:type="default" r:id="rId10"/>
          <w:pgSz w:w="11900" w:h="16840"/>
          <w:pgMar w:top="774" w:right="674" w:bottom="1513" w:left="684" w:header="0" w:footer="3" w:gutter="0"/>
          <w:cols w:space="720"/>
          <w:noEndnote/>
          <w:docGrid w:linePitch="360"/>
        </w:sectPr>
      </w:pPr>
      <w:r>
        <w:t>V Ostravě dne</w:t>
      </w:r>
      <w:r>
        <w:tab/>
        <w:t>2020</w:t>
      </w:r>
      <w:r>
        <w:tab/>
        <w:t>V</w:t>
      </w:r>
      <w:r w:rsidR="00E042CE">
        <w:t>e</w:t>
      </w:r>
      <w:r>
        <w:t xml:space="preserve"> Zlín</w:t>
      </w:r>
      <w:r w:rsidR="00E042CE">
        <w:t>ě</w:t>
      </w:r>
      <w:r>
        <w:t xml:space="preserve"> dn</w:t>
      </w:r>
      <w:r w:rsidR="003E39F9">
        <w:t>e 12. 3.</w:t>
      </w:r>
      <w:r>
        <w:t>2020</w:t>
      </w:r>
    </w:p>
    <w:p w:rsidR="003677DB" w:rsidRDefault="003677DB">
      <w:pPr>
        <w:spacing w:before="44" w:after="44" w:line="240" w:lineRule="exact"/>
        <w:rPr>
          <w:sz w:val="19"/>
          <w:szCs w:val="19"/>
        </w:rPr>
      </w:pPr>
    </w:p>
    <w:p w:rsidR="003677DB" w:rsidRDefault="003677DB">
      <w:pPr>
        <w:spacing w:line="1" w:lineRule="exact"/>
        <w:sectPr w:rsidR="003677DB">
          <w:type w:val="continuous"/>
          <w:pgSz w:w="11900" w:h="16840"/>
          <w:pgMar w:top="775" w:right="0" w:bottom="1511" w:left="0" w:header="0" w:footer="3" w:gutter="0"/>
          <w:cols w:space="720"/>
          <w:noEndnote/>
          <w:docGrid w:linePitch="360"/>
        </w:sectPr>
      </w:pPr>
    </w:p>
    <w:p w:rsidR="00E042CE" w:rsidRDefault="00393241">
      <w:pPr>
        <w:pStyle w:val="Bodytext10"/>
        <w:shd w:val="clear" w:color="auto" w:fill="auto"/>
        <w:spacing w:after="0"/>
        <w:jc w:val="center"/>
        <w:rPr>
          <w:b/>
          <w:bCs/>
        </w:rPr>
      </w:pPr>
      <w:r>
        <w:rPr>
          <w:b/>
          <w:bCs/>
        </w:rPr>
        <w:t>IVACOM spol. s r.o.</w:t>
      </w:r>
      <w:r>
        <w:rPr>
          <w:b/>
          <w:bCs/>
        </w:rPr>
        <w:br/>
        <w:t>Ing. Alexandra Hlavicová</w:t>
      </w:r>
    </w:p>
    <w:p w:rsidR="003677DB" w:rsidRDefault="00E042CE">
      <w:pPr>
        <w:pStyle w:val="Bodytext10"/>
        <w:shd w:val="clear" w:color="auto" w:fill="auto"/>
        <w:spacing w:after="0"/>
        <w:jc w:val="center"/>
      </w:pPr>
      <w:r>
        <w:rPr>
          <w:b/>
          <w:bCs/>
        </w:rPr>
        <w:t>jednatelka</w:t>
      </w:r>
      <w:r w:rsidR="00393241">
        <w:rPr>
          <w:b/>
          <w:bCs/>
        </w:rPr>
        <w:br/>
      </w:r>
    </w:p>
    <w:p w:rsidR="00E042CE" w:rsidRDefault="00E042CE">
      <w:pPr>
        <w:pStyle w:val="Bodytext10"/>
        <w:shd w:val="clear" w:color="auto" w:fill="auto"/>
        <w:spacing w:after="0"/>
      </w:pPr>
    </w:p>
    <w:p w:rsidR="00E042CE" w:rsidRDefault="00E042CE">
      <w:pPr>
        <w:pStyle w:val="Bodytext10"/>
        <w:shd w:val="clear" w:color="auto" w:fill="auto"/>
        <w:spacing w:after="0"/>
      </w:pPr>
    </w:p>
    <w:p w:rsidR="00E042CE" w:rsidRDefault="00E042CE">
      <w:pPr>
        <w:pStyle w:val="Bodytext10"/>
        <w:shd w:val="clear" w:color="auto" w:fill="auto"/>
        <w:spacing w:after="0"/>
      </w:pPr>
    </w:p>
    <w:p w:rsidR="00E042CE" w:rsidRDefault="00E042CE">
      <w:pPr>
        <w:pStyle w:val="Bodytext10"/>
        <w:shd w:val="clear" w:color="auto" w:fill="auto"/>
        <w:spacing w:after="0"/>
      </w:pPr>
    </w:p>
    <w:p w:rsidR="00E042CE" w:rsidRDefault="00E042CE">
      <w:pPr>
        <w:pStyle w:val="Bodytext10"/>
        <w:shd w:val="clear" w:color="auto" w:fill="auto"/>
        <w:spacing w:after="0"/>
        <w:rPr>
          <w:b/>
        </w:rPr>
      </w:pPr>
      <w:r w:rsidRPr="00E042CE">
        <w:rPr>
          <w:b/>
        </w:rPr>
        <w:t xml:space="preserve">MUDr. Radomír Maráček, </w:t>
      </w:r>
    </w:p>
    <w:p w:rsidR="00E042CE" w:rsidRPr="00E042CE" w:rsidRDefault="00E042CE">
      <w:pPr>
        <w:pStyle w:val="Bodytext10"/>
        <w:shd w:val="clear" w:color="auto" w:fill="auto"/>
        <w:spacing w:after="0"/>
        <w:rPr>
          <w:b/>
        </w:rPr>
      </w:pPr>
      <w:r w:rsidRPr="00E042CE">
        <w:rPr>
          <w:b/>
        </w:rPr>
        <w:t>předseda představenstva</w:t>
      </w:r>
    </w:p>
    <w:p w:rsidR="00E042CE" w:rsidRPr="00E042CE" w:rsidRDefault="00E042CE">
      <w:pPr>
        <w:pStyle w:val="Bodytext10"/>
        <w:shd w:val="clear" w:color="auto" w:fill="auto"/>
        <w:spacing w:after="0"/>
        <w:rPr>
          <w:b/>
        </w:rPr>
      </w:pPr>
    </w:p>
    <w:p w:rsidR="00E042CE" w:rsidRPr="00E042CE" w:rsidRDefault="00E042CE">
      <w:pPr>
        <w:pStyle w:val="Bodytext10"/>
        <w:shd w:val="clear" w:color="auto" w:fill="auto"/>
        <w:spacing w:after="0"/>
        <w:rPr>
          <w:b/>
        </w:rPr>
      </w:pPr>
      <w:r w:rsidRPr="00E042CE">
        <w:rPr>
          <w:b/>
        </w:rPr>
        <w:t>Mgr. Lucie Štěpánková, MBA</w:t>
      </w:r>
    </w:p>
    <w:p w:rsidR="00E042CE" w:rsidRPr="00E042CE" w:rsidRDefault="00E042CE">
      <w:pPr>
        <w:pStyle w:val="Bodytext10"/>
        <w:shd w:val="clear" w:color="auto" w:fill="auto"/>
        <w:spacing w:after="0"/>
        <w:rPr>
          <w:b/>
        </w:rPr>
        <w:sectPr w:rsidR="00E042CE" w:rsidRPr="00E042CE" w:rsidSect="00E042CE">
          <w:type w:val="continuous"/>
          <w:pgSz w:w="11900" w:h="16840"/>
          <w:pgMar w:top="775" w:right="2686" w:bottom="1511" w:left="1424" w:header="0" w:footer="3" w:gutter="0"/>
          <w:cols w:num="2" w:space="2424"/>
          <w:noEndnote/>
          <w:docGrid w:linePitch="360"/>
        </w:sectPr>
      </w:pPr>
      <w:r w:rsidRPr="00E042CE">
        <w:rPr>
          <w:b/>
        </w:rPr>
        <w:t>členka představenstv</w:t>
      </w:r>
      <w:r>
        <w:rPr>
          <w:b/>
        </w:rPr>
        <w:t>a</w:t>
      </w:r>
    </w:p>
    <w:p w:rsidR="003677DB" w:rsidRDefault="003677DB">
      <w:pPr>
        <w:spacing w:line="240" w:lineRule="exact"/>
        <w:rPr>
          <w:sz w:val="19"/>
          <w:szCs w:val="19"/>
        </w:rPr>
      </w:pPr>
    </w:p>
    <w:p w:rsidR="003677DB" w:rsidRDefault="003677DB">
      <w:pPr>
        <w:spacing w:line="1" w:lineRule="exact"/>
        <w:sectPr w:rsidR="003677DB">
          <w:type w:val="continuous"/>
          <w:pgSz w:w="11900" w:h="16840"/>
          <w:pgMar w:top="775" w:right="0" w:bottom="1127" w:left="0" w:header="0" w:footer="3" w:gutter="0"/>
          <w:cols w:space="720"/>
          <w:noEndnote/>
          <w:docGrid w:linePitch="360"/>
        </w:sectPr>
      </w:pPr>
    </w:p>
    <w:p w:rsidR="003677DB" w:rsidRDefault="00393241">
      <w:pPr>
        <w:spacing w:line="1" w:lineRule="exact"/>
      </w:pPr>
      <w:r>
        <w:rPr>
          <w:noProof/>
        </w:rPr>
        <mc:AlternateContent>
          <mc:Choice Requires="wps">
            <w:drawing>
              <wp:anchor distT="0" distB="0" distL="0" distR="0" simplePos="0" relativeHeight="125829378" behindDoc="0" locked="0" layoutInCell="1" allowOverlap="1">
                <wp:simplePos x="0" y="0"/>
                <wp:positionH relativeFrom="page">
                  <wp:posOffset>4023360</wp:posOffset>
                </wp:positionH>
                <wp:positionV relativeFrom="paragraph">
                  <wp:posOffset>10160</wp:posOffset>
                </wp:positionV>
                <wp:extent cx="1958340" cy="194945"/>
                <wp:effectExtent l="0" t="0" r="0" b="0"/>
                <wp:wrapSquare wrapText="bothSides"/>
                <wp:docPr id="9" name="Shape 9"/>
                <wp:cNvGraphicFramePr/>
                <a:graphic xmlns:a="http://schemas.openxmlformats.org/drawingml/2006/main">
                  <a:graphicData uri="http://schemas.microsoft.com/office/word/2010/wordprocessingShape">
                    <wps:wsp>
                      <wps:cNvSpPr txBox="1"/>
                      <wps:spPr>
                        <a:xfrm>
                          <a:off x="0" y="0"/>
                          <a:ext cx="1958340" cy="194945"/>
                        </a:xfrm>
                        <a:prstGeom prst="rect">
                          <a:avLst/>
                        </a:prstGeom>
                        <a:noFill/>
                      </wps:spPr>
                      <wps:txbx>
                        <w:txbxContent>
                          <w:p w:rsidR="003677DB" w:rsidRDefault="00393241">
                            <w:pPr>
                              <w:pStyle w:val="Bodytext10"/>
                              <w:shd w:val="clear" w:color="auto" w:fill="auto"/>
                              <w:spacing w:after="0"/>
                            </w:pPr>
                            <w:r>
                              <w:rPr>
                                <w:b/>
                                <w:bCs/>
                              </w:rPr>
                              <w:t>Krajská nemocnice T.</w:t>
                            </w:r>
                            <w:r w:rsidR="00E042CE">
                              <w:rPr>
                                <w:b/>
                                <w:bCs/>
                              </w:rPr>
                              <w:t xml:space="preserve"> </w:t>
                            </w:r>
                            <w:r>
                              <w:rPr>
                                <w:b/>
                                <w:bCs/>
                              </w:rPr>
                              <w:t>Bati</w:t>
                            </w:r>
                            <w:r w:rsidR="00E042CE">
                              <w:rPr>
                                <w:b/>
                                <w:bCs/>
                              </w:rPr>
                              <w:t>, a. s.</w:t>
                            </w:r>
                          </w:p>
                        </w:txbxContent>
                      </wps:txbx>
                      <wps:bodyPr wrap="square" lIns="0" tIns="0" rIns="0" bIns="0"/>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Shape 9" o:spid="_x0000_s1026" type="#_x0000_t202" style="position:absolute;margin-left:316.8pt;margin-top:.8pt;width:154.2pt;height:15.35pt;z-index:12582937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" filled="f" stroked="f">
                <v:textbox inset="0,0,0,0">
                  <w:txbxContent>
                    <w:p w:rsidR="003677DB" w:rsidRDefault="00393241">
                      <w:pPr>
                        <w:pStyle w:val="Bodytext10"/>
                        <w:shd w:val="clear" w:color="auto" w:fill="auto"/>
                        <w:spacing w:after="0"/>
                      </w:pPr>
                      <w:r>
                        <w:rPr>
                          <w:b/>
                          <w:bCs/>
                        </w:rPr>
                        <w:t>Krajská nemocnice T.</w:t>
                      </w:r>
                      <w:r w:rsidR="00E042CE">
                        <w:rPr>
                          <w:b/>
                          <w:bCs/>
                        </w:rPr>
                        <w:t xml:space="preserve"> </w:t>
                      </w:r>
                      <w:r>
                        <w:rPr>
                          <w:b/>
                          <w:bCs/>
                        </w:rPr>
                        <w:t>Bati</w:t>
                      </w:r>
                      <w:r w:rsidR="00E042CE">
                        <w:rPr>
                          <w:b/>
                          <w:bCs/>
                        </w:rPr>
                        <w:t>, a. s.</w:t>
                      </w:r>
                    </w:p>
                  </w:txbxContent>
                </v:textbox>
                <w10:wrap type="square" anchorx="page"/>
              </v:shape>
            </w:pict>
          </mc:Fallback>
        </mc:AlternateContent>
      </w:r>
    </w:p>
    <w:p w:rsidR="00E042CE" w:rsidRDefault="00393241">
      <w:pPr>
        <w:pStyle w:val="Bodytext10"/>
        <w:shd w:val="clear" w:color="auto" w:fill="auto"/>
        <w:spacing w:after="0"/>
        <w:ind w:left="1040" w:firstLine="20"/>
        <w:rPr>
          <w:b/>
          <w:bCs/>
        </w:rPr>
      </w:pPr>
      <w:r>
        <w:rPr>
          <w:b/>
          <w:bCs/>
        </w:rPr>
        <w:t>IVACOM spol. s r.o.</w:t>
      </w:r>
    </w:p>
    <w:p w:rsidR="00E042CE" w:rsidRDefault="00393241">
      <w:pPr>
        <w:pStyle w:val="Bodytext10"/>
        <w:shd w:val="clear" w:color="auto" w:fill="auto"/>
        <w:spacing w:after="0"/>
        <w:ind w:left="1040" w:firstLine="20"/>
        <w:rPr>
          <w:b/>
          <w:bCs/>
        </w:rPr>
      </w:pPr>
      <w:r>
        <w:rPr>
          <w:b/>
          <w:bCs/>
        </w:rPr>
        <w:t xml:space="preserve"> Bc. Monika Černá</w:t>
      </w:r>
    </w:p>
    <w:p w:rsidR="003677DB" w:rsidRDefault="00393241">
      <w:pPr>
        <w:pStyle w:val="Bodytext10"/>
        <w:shd w:val="clear" w:color="auto" w:fill="auto"/>
        <w:spacing w:after="0"/>
        <w:ind w:left="1040" w:firstLine="20"/>
      </w:pPr>
      <w:r>
        <w:rPr>
          <w:b/>
          <w:bCs/>
        </w:rPr>
        <w:t xml:space="preserve"> jednatelka</w:t>
      </w:r>
    </w:p>
    <w:sectPr w:rsidR="003677DB">
      <w:type w:val="continuous"/>
      <w:pgSz w:w="11900" w:h="16840"/>
      <w:pgMar w:top="775" w:right="5556" w:bottom="1127" w:left="68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E27" w:rsidRDefault="00CD4E27">
      <w:r>
        <w:separator/>
      </w:r>
    </w:p>
  </w:endnote>
  <w:endnote w:type="continuationSeparator" w:id="0">
    <w:p w:rsidR="00CD4E27" w:rsidRDefault="00CD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DB" w:rsidRDefault="00393241">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3764280</wp:posOffset>
              </wp:positionH>
              <wp:positionV relativeFrom="page">
                <wp:posOffset>9982835</wp:posOffset>
              </wp:positionV>
              <wp:extent cx="36830" cy="64135"/>
              <wp:effectExtent l="0" t="0" r="0" b="0"/>
              <wp:wrapNone/>
              <wp:docPr id="3" name="Shape 3"/>
              <wp:cNvGraphicFramePr/>
              <a:graphic xmlns:a="http://schemas.openxmlformats.org/drawingml/2006/main">
                <a:graphicData uri="http://schemas.microsoft.com/office/word/2010/wordprocessingShape">
                  <wps:wsp>
                    <wps:cNvSpPr txBox="1"/>
                    <wps:spPr>
                      <a:xfrm>
                        <a:off x="0" y="0"/>
                        <a:ext cx="36830" cy="64135"/>
                      </a:xfrm>
                      <a:prstGeom prst="rect">
                        <a:avLst/>
                      </a:prstGeom>
                      <a:noFill/>
                    </wps:spPr>
                    <wps:txbx>
                      <w:txbxContent>
                        <w:p w:rsidR="003677DB" w:rsidRDefault="00393241">
                          <w:pPr>
                            <w:pStyle w:val="Headerorfooter20"/>
                            <w:shd w:val="clear" w:color="auto" w:fill="auto"/>
                            <w:rPr>
                              <w:sz w:val="16"/>
                              <w:szCs w:val="16"/>
                            </w:rPr>
                          </w:pPr>
                          <w:r>
                            <w:fldChar w:fldCharType="begin"/>
                          </w:r>
                          <w:r>
                            <w:instrText xml:space="preserve"> PAGE \* MERGEFORMAT </w:instrText>
                          </w:r>
                          <w:r>
                            <w:fldChar w:fldCharType="separate"/>
                          </w:r>
                          <w:r>
                            <w:rPr>
                              <w:rFonts w:ascii="Calibri" w:eastAsia="Calibri" w:hAnsi="Calibri" w:cs="Calibri"/>
                              <w:sz w:val="16"/>
                              <w:szCs w:val="16"/>
                            </w:rPr>
                            <w:t>#</w:t>
                          </w:r>
                          <w:r>
                            <w:rPr>
                              <w:rFonts w:ascii="Calibri" w:eastAsia="Calibri" w:hAnsi="Calibri" w:cs="Calibri"/>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8" type="#_x0000_t202" style="position:absolute;margin-left:296.4pt;margin-top:786.05pt;width:2.9pt;height:5.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" filled="f" stroked="f">
              <v:textbox style="mso-fit-shape-to-text:t" inset="0,0,0,0">
                <w:txbxContent>
                  <w:p w:rsidR="003677DB" w:rsidRDefault="00393241">
                    <w:pPr>
                      <w:pStyle w:val="Headerorfooter20"/>
                      <w:shd w:val="clear" w:color="auto" w:fill="auto"/>
                      <w:rPr>
                        <w:sz w:val="16"/>
                        <w:szCs w:val="16"/>
                      </w:rPr>
                    </w:pPr>
                    <w:r>
                      <w:fldChar w:fldCharType="begin"/>
                    </w:r>
                    <w:r>
                      <w:instrText xml:space="preserve"> PAGE \* MERGEFORMAT </w:instrText>
                    </w:r>
                    <w:r>
                      <w:fldChar w:fldCharType="separate"/>
                    </w:r>
                    <w:r>
                      <w:rPr>
                        <w:rFonts w:ascii="Calibri" w:eastAsia="Calibri" w:hAnsi="Calibri" w:cs="Calibri"/>
                        <w:sz w:val="16"/>
                        <w:szCs w:val="16"/>
                      </w:rPr>
                      <w:t>#</w:t>
                    </w:r>
                    <w:r>
                      <w:rPr>
                        <w:rFonts w:ascii="Calibri" w:eastAsia="Calibri" w:hAnsi="Calibri" w:cs="Calibri"/>
                        <w:sz w:val="16"/>
                        <w:szCs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DB" w:rsidRDefault="00393241">
    <w:pPr>
      <w:spacing w:line="1" w:lineRule="exact"/>
    </w:pPr>
    <w:r>
      <w:rPr>
        <w:noProof/>
      </w:rPr>
      <mc:AlternateContent>
        <mc:Choice Requires="wps">
          <w:drawing>
            <wp:anchor distT="0" distB="0" distL="0" distR="0" simplePos="0" relativeHeight="62914696" behindDoc="1" locked="0" layoutInCell="1" allowOverlap="1">
              <wp:simplePos x="0" y="0"/>
              <wp:positionH relativeFrom="page">
                <wp:posOffset>3759835</wp:posOffset>
              </wp:positionH>
              <wp:positionV relativeFrom="page">
                <wp:posOffset>9976485</wp:posOffset>
              </wp:positionV>
              <wp:extent cx="39370" cy="64135"/>
              <wp:effectExtent l="0" t="0" r="0" b="0"/>
              <wp:wrapNone/>
              <wp:docPr id="7" name="Shape 7"/>
              <wp:cNvGraphicFramePr/>
              <a:graphic xmlns:a="http://schemas.openxmlformats.org/drawingml/2006/main">
                <a:graphicData uri="http://schemas.microsoft.com/office/word/2010/wordprocessingShape">
                  <wps:wsp>
                    <wps:cNvSpPr txBox="1"/>
                    <wps:spPr>
                      <a:xfrm>
                        <a:off x="0" y="0"/>
                        <a:ext cx="39370" cy="64135"/>
                      </a:xfrm>
                      <a:prstGeom prst="rect">
                        <a:avLst/>
                      </a:prstGeom>
                      <a:noFill/>
                    </wps:spPr>
                    <wps:txbx>
                      <w:txbxContent>
                        <w:p w:rsidR="003677DB" w:rsidRDefault="00393241">
                          <w:pPr>
                            <w:pStyle w:val="Headerorfooter20"/>
                            <w:shd w:val="clear" w:color="auto" w:fill="auto"/>
                            <w:rPr>
                              <w:sz w:val="16"/>
                              <w:szCs w:val="16"/>
                            </w:rPr>
                          </w:pPr>
                          <w:r>
                            <w:fldChar w:fldCharType="begin"/>
                          </w:r>
                          <w:r>
                            <w:instrText xml:space="preserve"> PAGE \* MERGEFORMAT </w:instrText>
                          </w:r>
                          <w:r>
                            <w:fldChar w:fldCharType="separate"/>
                          </w:r>
                          <w:r>
                            <w:rPr>
                              <w:rFonts w:ascii="Calibri" w:eastAsia="Calibri" w:hAnsi="Calibri" w:cs="Calibri"/>
                              <w:sz w:val="16"/>
                              <w:szCs w:val="16"/>
                            </w:rPr>
                            <w:t>#</w:t>
                          </w:r>
                          <w:r>
                            <w:rPr>
                              <w:rFonts w:ascii="Calibri" w:eastAsia="Calibri" w:hAnsi="Calibri" w:cs="Calibri"/>
                              <w:sz w:val="16"/>
                              <w:szCs w:val="1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0" type="#_x0000_t202" style="position:absolute;margin-left:296.05pt;margin-top:785.55pt;width:3.1pt;height:5.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" filled="f" stroked="f">
              <v:textbox style="mso-fit-shape-to-text:t" inset="0,0,0,0">
                <w:txbxContent>
                  <w:p w:rsidR="003677DB" w:rsidRDefault="00393241">
                    <w:pPr>
                      <w:pStyle w:val="Headerorfooter20"/>
                      <w:shd w:val="clear" w:color="auto" w:fill="auto"/>
                      <w:rPr>
                        <w:sz w:val="16"/>
                        <w:szCs w:val="16"/>
                      </w:rPr>
                    </w:pPr>
                    <w:r>
                      <w:fldChar w:fldCharType="begin"/>
                    </w:r>
                    <w:r>
                      <w:instrText xml:space="preserve"> PAGE \* MERGEFORMAT </w:instrText>
                    </w:r>
                    <w:r>
                      <w:fldChar w:fldCharType="separate"/>
                    </w:r>
                    <w:r>
                      <w:rPr>
                        <w:rFonts w:ascii="Calibri" w:eastAsia="Calibri" w:hAnsi="Calibri" w:cs="Calibri"/>
                        <w:sz w:val="16"/>
                        <w:szCs w:val="16"/>
                      </w:rPr>
                      <w:t>#</w:t>
                    </w:r>
                    <w:r>
                      <w:rPr>
                        <w:rFonts w:ascii="Calibri" w:eastAsia="Calibri" w:hAnsi="Calibri" w:cs="Calibri"/>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E27" w:rsidRDefault="00CD4E27"/>
  </w:footnote>
  <w:footnote w:type="continuationSeparator" w:id="0">
    <w:p w:rsidR="00CD4E27" w:rsidRDefault="00CD4E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DB" w:rsidRDefault="00393241">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460375</wp:posOffset>
              </wp:positionH>
              <wp:positionV relativeFrom="page">
                <wp:posOffset>302260</wp:posOffset>
              </wp:positionV>
              <wp:extent cx="392303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3923030" cy="100330"/>
                      </a:xfrm>
                      <a:prstGeom prst="rect">
                        <a:avLst/>
                      </a:prstGeom>
                      <a:noFill/>
                    </wps:spPr>
                    <wps:txbx>
                      <w:txbxContent>
                        <w:p w:rsidR="003677DB" w:rsidRDefault="00393241">
                          <w:pPr>
                            <w:pStyle w:val="Headerorfooter20"/>
                            <w:shd w:val="clear" w:color="auto" w:fill="auto"/>
                            <w:rPr>
                              <w:sz w:val="18"/>
                              <w:szCs w:val="18"/>
                            </w:rPr>
                          </w:pPr>
                          <w:r>
                            <w:rPr>
                              <w:rFonts w:ascii="Calibri" w:eastAsia="Calibri" w:hAnsi="Calibri" w:cs="Calibri"/>
                              <w:sz w:val="18"/>
                              <w:szCs w:val="18"/>
                            </w:rPr>
                            <w:t>Smlouva o rezervaci a podmínkách poskytování náhradního plnění č. RS-IVA-2020-21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7" type="#_x0000_t202" style="position:absolute;margin-left:36.25pt;margin-top:23.8pt;width:308.9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" filled="f" stroked="f">
              <v:textbox style="mso-fit-shape-to-text:t" inset="0,0,0,0">
                <w:txbxContent>
                  <w:p w:rsidR="003677DB" w:rsidRDefault="00393241">
                    <w:pPr>
                      <w:pStyle w:val="Headerorfooter20"/>
                      <w:shd w:val="clear" w:color="auto" w:fill="auto"/>
                      <w:rPr>
                        <w:sz w:val="18"/>
                        <w:szCs w:val="18"/>
                      </w:rPr>
                    </w:pPr>
                    <w:r>
                      <w:rPr>
                        <w:rFonts w:ascii="Calibri" w:eastAsia="Calibri" w:hAnsi="Calibri" w:cs="Calibri"/>
                        <w:sz w:val="18"/>
                        <w:szCs w:val="18"/>
                      </w:rPr>
                      <w:t>Smlouva o rezervaci a podmínkách poskytování náhradního plnění č. RS-IVA-2020-21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77DB" w:rsidRDefault="00393241">
    <w:pPr>
      <w:spacing w:line="1" w:lineRule="exact"/>
    </w:pPr>
    <w:r>
      <w:rPr>
        <w:noProof/>
      </w:rPr>
      <mc:AlternateContent>
        <mc:Choice Requires="wps">
          <w:drawing>
            <wp:anchor distT="0" distB="0" distL="0" distR="0" simplePos="0" relativeHeight="62914694" behindDoc="1" locked="0" layoutInCell="1" allowOverlap="1">
              <wp:simplePos x="0" y="0"/>
              <wp:positionH relativeFrom="page">
                <wp:posOffset>455930</wp:posOffset>
              </wp:positionH>
              <wp:positionV relativeFrom="page">
                <wp:posOffset>299085</wp:posOffset>
              </wp:positionV>
              <wp:extent cx="3919855" cy="100330"/>
              <wp:effectExtent l="0" t="0" r="0" b="0"/>
              <wp:wrapNone/>
              <wp:docPr id="5" name="Shape 5"/>
              <wp:cNvGraphicFramePr/>
              <a:graphic xmlns:a="http://schemas.openxmlformats.org/drawingml/2006/main">
                <a:graphicData uri="http://schemas.microsoft.com/office/word/2010/wordprocessingShape">
                  <wps:wsp>
                    <wps:cNvSpPr txBox="1"/>
                    <wps:spPr>
                      <a:xfrm>
                        <a:off x="0" y="0"/>
                        <a:ext cx="3919855" cy="100330"/>
                      </a:xfrm>
                      <a:prstGeom prst="rect">
                        <a:avLst/>
                      </a:prstGeom>
                      <a:noFill/>
                    </wps:spPr>
                    <wps:txbx>
                      <w:txbxContent>
                        <w:p w:rsidR="003677DB" w:rsidRDefault="00393241">
                          <w:pPr>
                            <w:pStyle w:val="Headerorfooter20"/>
                            <w:shd w:val="clear" w:color="auto" w:fill="auto"/>
                            <w:rPr>
                              <w:sz w:val="18"/>
                              <w:szCs w:val="18"/>
                            </w:rPr>
                          </w:pPr>
                          <w:r>
                            <w:rPr>
                              <w:rFonts w:ascii="Calibri" w:eastAsia="Calibri" w:hAnsi="Calibri" w:cs="Calibri"/>
                              <w:sz w:val="18"/>
                              <w:szCs w:val="18"/>
                            </w:rPr>
                            <w:t>Smlouva o rezervaci a podmínkách poskytování náhradního plnění č. RS-IVA-2020-21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9" type="#_x0000_t202" style="position:absolute;margin-left:35.9pt;margin-top:23.55pt;width:308.65pt;height:7.9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" filled="f" stroked="f">
              <v:textbox style="mso-fit-shape-to-text:t" inset="0,0,0,0">
                <w:txbxContent>
                  <w:p w:rsidR="003677DB" w:rsidRDefault="00393241">
                    <w:pPr>
                      <w:pStyle w:val="Headerorfooter20"/>
                      <w:shd w:val="clear" w:color="auto" w:fill="auto"/>
                      <w:rPr>
                        <w:sz w:val="18"/>
                        <w:szCs w:val="18"/>
                      </w:rPr>
                    </w:pPr>
                    <w:r>
                      <w:rPr>
                        <w:rFonts w:ascii="Calibri" w:eastAsia="Calibri" w:hAnsi="Calibri" w:cs="Calibri"/>
                        <w:sz w:val="18"/>
                        <w:szCs w:val="18"/>
                      </w:rPr>
                      <w:t>Smlouva o rezervaci a podmínkách poskytování náhradního plnění č. RS-IVA-2020-21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5AEF"/>
    <w:multiLevelType w:val="multilevel"/>
    <w:tmpl w:val="735C1A5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A30F17"/>
    <w:multiLevelType w:val="multilevel"/>
    <w:tmpl w:val="0C104302"/>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2ED3870"/>
    <w:multiLevelType w:val="multilevel"/>
    <w:tmpl w:val="B08C9844"/>
    <w:lvl w:ilvl="0">
      <w:start w:val="1"/>
      <w:numFmt w:val="lowerLetter"/>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DB"/>
    <w:rsid w:val="0009243C"/>
    <w:rsid w:val="000C2765"/>
    <w:rsid w:val="003677DB"/>
    <w:rsid w:val="00393241"/>
    <w:rsid w:val="003E39F9"/>
    <w:rsid w:val="004C6EB3"/>
    <w:rsid w:val="008F4152"/>
    <w:rsid w:val="00AF3033"/>
    <w:rsid w:val="00CD4E27"/>
    <w:rsid w:val="00E042CE"/>
    <w:rsid w:val="00F11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1220"/>
  <w15:docId w15:val="{C86046DA-FDEE-43A1-ABDD-11FB1AF7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1">
    <w:name w:val="Heading #1|1_"/>
    <w:basedOn w:val="Standardnpsmoodstavce"/>
    <w:link w:val="Heading110"/>
    <w:rPr>
      <w:rFonts w:ascii="Calibri" w:eastAsia="Calibri" w:hAnsi="Calibri" w:cs="Calibri"/>
      <w:b w:val="0"/>
      <w:bCs w:val="0"/>
      <w:i w:val="0"/>
      <w:iCs w:val="0"/>
      <w:smallCaps w:val="0"/>
      <w:strike w:val="0"/>
      <w:sz w:val="28"/>
      <w:szCs w:val="28"/>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rPr>
  </w:style>
  <w:style w:type="character" w:customStyle="1" w:styleId="Bodytext2">
    <w:name w:val="Body text|2_"/>
    <w:basedOn w:val="Standardnpsmoodstavce"/>
    <w:link w:val="Bodytext20"/>
    <w:rPr>
      <w:rFonts w:ascii="Calibri" w:eastAsia="Calibri" w:hAnsi="Calibri" w:cs="Calibri"/>
      <w:b w:val="0"/>
      <w:bCs w:val="0"/>
      <w:i w:val="0"/>
      <w:iCs w:val="0"/>
      <w:smallCaps w:val="0"/>
      <w:strike w:val="0"/>
      <w:sz w:val="16"/>
      <w:szCs w:val="16"/>
      <w:u w:val="none"/>
    </w:rPr>
  </w:style>
  <w:style w:type="character" w:customStyle="1" w:styleId="Heading21">
    <w:name w:val="Heading #2|1_"/>
    <w:basedOn w:val="Standardnpsmoodstavce"/>
    <w:link w:val="Heading210"/>
    <w:rPr>
      <w:rFonts w:ascii="Calibri" w:eastAsia="Calibri" w:hAnsi="Calibri" w:cs="Calibri"/>
      <w:b/>
      <w:bCs/>
      <w:i w:val="0"/>
      <w:iCs w:val="0"/>
      <w:smallCaps w:val="0"/>
      <w:strike w:val="0"/>
      <w:sz w:val="22"/>
      <w:szCs w:val="22"/>
      <w:u w:val="none"/>
    </w:rPr>
  </w:style>
  <w:style w:type="character" w:customStyle="1" w:styleId="Bodytext1">
    <w:name w:val="Body text|1_"/>
    <w:basedOn w:val="Standardnpsmoodstavce"/>
    <w:link w:val="Bodytext10"/>
    <w:rPr>
      <w:rFonts w:ascii="Calibri" w:eastAsia="Calibri" w:hAnsi="Calibri" w:cs="Calibri"/>
      <w:b w:val="0"/>
      <w:bCs w:val="0"/>
      <w:i w:val="0"/>
      <w:iCs w:val="0"/>
      <w:smallCaps w:val="0"/>
      <w:strike w:val="0"/>
      <w:sz w:val="22"/>
      <w:szCs w:val="22"/>
      <w:u w:val="none"/>
    </w:rPr>
  </w:style>
  <w:style w:type="paragraph" w:customStyle="1" w:styleId="Heading110">
    <w:name w:val="Heading #1|1"/>
    <w:basedOn w:val="Normln"/>
    <w:link w:val="Heading11"/>
    <w:pPr>
      <w:shd w:val="clear" w:color="auto" w:fill="FFFFFF"/>
      <w:spacing w:line="199" w:lineRule="auto"/>
      <w:jc w:val="center"/>
      <w:outlineLvl w:val="0"/>
    </w:pPr>
    <w:rPr>
      <w:rFonts w:ascii="Calibri" w:eastAsia="Calibri" w:hAnsi="Calibri" w:cs="Calibri"/>
      <w:sz w:val="28"/>
      <w:szCs w:val="28"/>
    </w:rPr>
  </w:style>
  <w:style w:type="paragraph" w:customStyle="1" w:styleId="Headerorfooter20">
    <w:name w:val="Header or footer|2"/>
    <w:basedOn w:val="Normln"/>
    <w:link w:val="Headerorfooter2"/>
    <w:pPr>
      <w:shd w:val="clear" w:color="auto" w:fill="FFFFFF"/>
    </w:pPr>
    <w:rPr>
      <w:sz w:val="20"/>
      <w:szCs w:val="20"/>
    </w:rPr>
  </w:style>
  <w:style w:type="paragraph" w:customStyle="1" w:styleId="Bodytext20">
    <w:name w:val="Body text|2"/>
    <w:basedOn w:val="Normln"/>
    <w:link w:val="Bodytext2"/>
    <w:pPr>
      <w:shd w:val="clear" w:color="auto" w:fill="FFFFFF"/>
      <w:spacing w:after="260" w:line="199" w:lineRule="auto"/>
      <w:jc w:val="center"/>
    </w:pPr>
    <w:rPr>
      <w:rFonts w:ascii="Calibri" w:eastAsia="Calibri" w:hAnsi="Calibri" w:cs="Calibri"/>
      <w:sz w:val="16"/>
      <w:szCs w:val="16"/>
    </w:rPr>
  </w:style>
  <w:style w:type="paragraph" w:customStyle="1" w:styleId="Heading210">
    <w:name w:val="Heading #2|1"/>
    <w:basedOn w:val="Normln"/>
    <w:link w:val="Heading21"/>
    <w:pPr>
      <w:shd w:val="clear" w:color="auto" w:fill="FFFFFF"/>
      <w:outlineLvl w:val="1"/>
    </w:pPr>
    <w:rPr>
      <w:rFonts w:ascii="Calibri" w:eastAsia="Calibri" w:hAnsi="Calibri" w:cs="Calibri"/>
      <w:b/>
      <w:bCs/>
      <w:sz w:val="22"/>
      <w:szCs w:val="22"/>
    </w:rPr>
  </w:style>
  <w:style w:type="paragraph" w:customStyle="1" w:styleId="Bodytext10">
    <w:name w:val="Body text|1"/>
    <w:basedOn w:val="Normln"/>
    <w:link w:val="Bodytext1"/>
    <w:pPr>
      <w:shd w:val="clear" w:color="auto" w:fill="FFFFFF"/>
      <w:spacing w:after="26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1025</Words>
  <Characters>6049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DOHODA O SPOLUPRÁCI</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SPOLUPRÁCI</dc:title>
  <dc:subject/>
  <dc:creator>Gabriela Vinklerová</dc:creator>
  <cp:keywords/>
  <cp:lastModifiedBy>Vinklerová Gabriela</cp:lastModifiedBy>
  <cp:revision>2</cp:revision>
  <dcterms:created xsi:type="dcterms:W3CDTF">2020-03-23T13:45:00Z</dcterms:created>
  <dcterms:modified xsi:type="dcterms:W3CDTF">2020-03-23T13:45:00Z</dcterms:modified>
</cp:coreProperties>
</file>