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DF6" w:rsidRDefault="009B2A9F">
      <w:pPr>
        <w:pStyle w:val="Bodytext10"/>
        <w:framePr w:w="4378" w:h="223" w:wrap="none" w:hAnchor="page" w:x="645" w:y="469"/>
        <w:shd w:val="clear" w:color="auto" w:fill="auto"/>
        <w:spacing w:after="0" w:line="240" w:lineRule="auto"/>
      </w:pPr>
      <w:r>
        <w:t>Níže uvedeného dne, měsíce a roku uzavřely smluvní strany:</w:t>
      </w:r>
    </w:p>
    <w:p w:rsidR="00971DF6" w:rsidRDefault="009B2A9F">
      <w:pPr>
        <w:pStyle w:val="Bodytext10"/>
        <w:framePr w:w="2254" w:h="1339" w:wrap="none" w:hAnchor="page" w:x="688" w:y="771"/>
        <w:shd w:val="clear" w:color="auto" w:fill="auto"/>
        <w:spacing w:after="0" w:line="269" w:lineRule="auto"/>
      </w:pPr>
      <w:r>
        <w:t>Na straně jedné:</w:t>
      </w:r>
    </w:p>
    <w:p w:rsidR="00971DF6" w:rsidRDefault="009B2A9F">
      <w:pPr>
        <w:pStyle w:val="Bodytext10"/>
        <w:framePr w:w="2254" w:h="1339" w:wrap="none" w:hAnchor="page" w:x="688" w:y="771"/>
        <w:shd w:val="clear" w:color="auto" w:fill="auto"/>
        <w:spacing w:after="0" w:line="269" w:lineRule="auto"/>
      </w:pPr>
      <w:r>
        <w:t>Sídlo: Zastoupená:</w:t>
      </w:r>
    </w:p>
    <w:p w:rsidR="00971DF6" w:rsidRDefault="009B2A9F">
      <w:pPr>
        <w:pStyle w:val="Bodytext10"/>
        <w:framePr w:w="2254" w:h="1339" w:wrap="none" w:hAnchor="page" w:x="688" w:y="771"/>
        <w:shd w:val="clear" w:color="auto" w:fill="auto"/>
        <w:spacing w:after="0" w:line="269" w:lineRule="auto"/>
      </w:pPr>
      <w:r>
        <w:t>IČO:</w:t>
      </w:r>
    </w:p>
    <w:p w:rsidR="00971DF6" w:rsidRDefault="009B2A9F">
      <w:pPr>
        <w:pStyle w:val="Bodytext10"/>
        <w:framePr w:w="2254" w:h="1339" w:wrap="none" w:hAnchor="page" w:x="688" w:y="771"/>
        <w:shd w:val="clear" w:color="auto" w:fill="auto"/>
        <w:spacing w:after="0" w:line="269" w:lineRule="auto"/>
      </w:pPr>
      <w:r>
        <w:t>DIČ:</w:t>
      </w:r>
    </w:p>
    <w:p w:rsidR="00971DF6" w:rsidRDefault="009B2A9F">
      <w:pPr>
        <w:pStyle w:val="Bodytext10"/>
        <w:framePr w:w="2254" w:h="1339" w:wrap="none" w:hAnchor="page" w:x="688" w:y="771"/>
        <w:shd w:val="clear" w:color="auto" w:fill="auto"/>
        <w:spacing w:after="0" w:line="269" w:lineRule="auto"/>
      </w:pPr>
      <w:r>
        <w:t>Zapsaná v obchodním rejstříku</w:t>
      </w:r>
    </w:p>
    <w:p w:rsidR="00971DF6" w:rsidRDefault="009B2A9F">
      <w:pPr>
        <w:pStyle w:val="Bodytext10"/>
        <w:framePr w:w="2254" w:h="1339" w:wrap="none" w:hAnchor="page" w:x="688" w:y="771"/>
        <w:shd w:val="clear" w:color="auto" w:fill="auto"/>
        <w:spacing w:after="0" w:line="269" w:lineRule="auto"/>
      </w:pPr>
      <w:r>
        <w:t>(dále jen „Lindě“)</w:t>
      </w:r>
    </w:p>
    <w:p w:rsidR="00971DF6" w:rsidRDefault="009B2A9F">
      <w:pPr>
        <w:pStyle w:val="Bodytext10"/>
        <w:framePr w:w="3960" w:h="1152" w:wrap="none" w:hAnchor="page" w:x="3453" w:y="779"/>
        <w:shd w:val="clear" w:color="auto" w:fill="auto"/>
        <w:spacing w:after="0"/>
      </w:pPr>
      <w:r>
        <w:rPr>
          <w:lang w:val="en-US" w:eastAsia="en-US" w:bidi="en-US"/>
        </w:rPr>
        <w:t xml:space="preserve">Linde Gas </w:t>
      </w:r>
      <w:r>
        <w:t>a.s.</w:t>
      </w:r>
    </w:p>
    <w:p w:rsidR="00916C83" w:rsidRDefault="009B2A9F">
      <w:pPr>
        <w:pStyle w:val="Bodytext10"/>
        <w:framePr w:w="3960" w:h="1152" w:wrap="none" w:hAnchor="page" w:x="3453" w:y="779"/>
        <w:shd w:val="clear" w:color="auto" w:fill="auto"/>
        <w:spacing w:after="0"/>
      </w:pPr>
      <w:r>
        <w:t xml:space="preserve">U </w:t>
      </w:r>
      <w:proofErr w:type="spellStart"/>
      <w:r>
        <w:t>Technoplynu</w:t>
      </w:r>
      <w:proofErr w:type="spellEnd"/>
      <w:r>
        <w:t xml:space="preserve"> 1324, 198 00 Praha 9 - Kyje </w:t>
      </w:r>
    </w:p>
    <w:p w:rsidR="00916C83" w:rsidRDefault="00916C83">
      <w:pPr>
        <w:pStyle w:val="Bodytext10"/>
        <w:framePr w:w="3960" w:h="1152" w:wrap="none" w:hAnchor="page" w:x="3453" w:y="779"/>
        <w:shd w:val="clear" w:color="auto" w:fill="auto"/>
        <w:spacing w:after="0"/>
      </w:pPr>
      <w:proofErr w:type="spellStart"/>
      <w:r>
        <w:t>Xxxxxxxxxxxxxxxx</w:t>
      </w:r>
      <w:proofErr w:type="spellEnd"/>
    </w:p>
    <w:p w:rsidR="00971DF6" w:rsidRDefault="009B2A9F">
      <w:pPr>
        <w:pStyle w:val="Bodytext10"/>
        <w:framePr w:w="3960" w:h="1152" w:wrap="none" w:hAnchor="page" w:x="3453" w:y="779"/>
        <w:shd w:val="clear" w:color="auto" w:fill="auto"/>
        <w:spacing w:after="0"/>
      </w:pPr>
      <w:bookmarkStart w:id="0" w:name="_GoBack"/>
      <w:bookmarkEnd w:id="0"/>
      <w:r>
        <w:t xml:space="preserve"> 00011754 CZ00011754</w:t>
      </w:r>
    </w:p>
    <w:p w:rsidR="00971DF6" w:rsidRDefault="009B2A9F">
      <w:pPr>
        <w:pStyle w:val="Bodytext10"/>
        <w:framePr w:w="3960" w:h="1152" w:wrap="none" w:hAnchor="page" w:x="3453" w:y="779"/>
        <w:shd w:val="clear" w:color="auto" w:fill="auto"/>
        <w:spacing w:after="0"/>
      </w:pPr>
      <w:r>
        <w:t xml:space="preserve">vedeném Městským soudem v Praze pod </w:t>
      </w:r>
      <w:proofErr w:type="spellStart"/>
      <w:r>
        <w:t>sp</w:t>
      </w:r>
      <w:proofErr w:type="spellEnd"/>
      <w:r>
        <w:t>. zn. B 411</w:t>
      </w:r>
    </w:p>
    <w:p w:rsidR="00971DF6" w:rsidRDefault="009B2A9F">
      <w:pPr>
        <w:pStyle w:val="Bodytext10"/>
        <w:framePr w:w="2297" w:h="1526" w:wrap="none" w:hAnchor="page" w:x="652" w:y="2377"/>
        <w:shd w:val="clear" w:color="auto" w:fill="auto"/>
        <w:spacing w:after="0" w:line="240" w:lineRule="auto"/>
      </w:pPr>
      <w:r>
        <w:t>Na straně druhé:</w:t>
      </w:r>
    </w:p>
    <w:p w:rsidR="00971DF6" w:rsidRDefault="009B2A9F">
      <w:pPr>
        <w:pStyle w:val="Bodytext10"/>
        <w:framePr w:w="2297" w:h="1526" w:wrap="none" w:hAnchor="page" w:x="652" w:y="2377"/>
        <w:shd w:val="clear" w:color="auto" w:fill="auto"/>
        <w:spacing w:after="200" w:line="240" w:lineRule="auto"/>
      </w:pPr>
      <w:r>
        <w:t>Sídlo:</w:t>
      </w:r>
    </w:p>
    <w:p w:rsidR="00971DF6" w:rsidRDefault="009B2A9F">
      <w:pPr>
        <w:pStyle w:val="Bodytext10"/>
        <w:framePr w:w="2297" w:h="1526" w:wrap="none" w:hAnchor="page" w:x="652" w:y="2377"/>
        <w:shd w:val="clear" w:color="auto" w:fill="auto"/>
        <w:spacing w:after="200" w:line="240" w:lineRule="auto"/>
      </w:pPr>
      <w:r>
        <w:t>Zastoupená:</w:t>
      </w:r>
    </w:p>
    <w:p w:rsidR="00971DF6" w:rsidRDefault="009B2A9F">
      <w:pPr>
        <w:pStyle w:val="Bodytext10"/>
        <w:framePr w:w="2297" w:h="1526" w:wrap="none" w:hAnchor="page" w:x="652" w:y="2377"/>
        <w:shd w:val="clear" w:color="auto" w:fill="auto"/>
        <w:spacing w:after="0" w:line="240" w:lineRule="auto"/>
      </w:pPr>
      <w:r>
        <w:t>IČO:</w:t>
      </w:r>
    </w:p>
    <w:p w:rsidR="00971DF6" w:rsidRDefault="009B2A9F">
      <w:pPr>
        <w:pStyle w:val="Bodytext10"/>
        <w:framePr w:w="2297" w:h="1526" w:wrap="none" w:hAnchor="page" w:x="652" w:y="2377"/>
        <w:shd w:val="clear" w:color="auto" w:fill="auto"/>
        <w:spacing w:after="0" w:line="240" w:lineRule="auto"/>
      </w:pPr>
      <w:r>
        <w:t>DIČ:</w:t>
      </w:r>
    </w:p>
    <w:p w:rsidR="00971DF6" w:rsidRDefault="009B2A9F">
      <w:pPr>
        <w:pStyle w:val="Bodytext10"/>
        <w:framePr w:w="2297" w:h="1526" w:wrap="none" w:hAnchor="page" w:x="652" w:y="2377"/>
        <w:shd w:val="clear" w:color="auto" w:fill="auto"/>
        <w:spacing w:after="100" w:line="240" w:lineRule="auto"/>
      </w:pPr>
      <w:r>
        <w:t>Zapsaná v obchodním rejstříku:</w:t>
      </w:r>
    </w:p>
    <w:p w:rsidR="00971DF6" w:rsidRPr="007A1571" w:rsidRDefault="009B2A9F">
      <w:pPr>
        <w:pStyle w:val="Bodytext10"/>
        <w:framePr w:w="3881" w:h="1526" w:wrap="none" w:hAnchor="page" w:x="3424" w:y="2377"/>
        <w:shd w:val="clear" w:color="auto" w:fill="auto"/>
        <w:spacing w:after="0" w:line="269" w:lineRule="auto"/>
        <w:rPr>
          <w:b/>
          <w:sz w:val="16"/>
          <w:szCs w:val="16"/>
        </w:rPr>
      </w:pPr>
      <w:r w:rsidRPr="007A1571">
        <w:rPr>
          <w:b/>
          <w:i/>
          <w:iCs/>
          <w:sz w:val="16"/>
          <w:szCs w:val="16"/>
        </w:rPr>
        <w:t>Krajská nemocnice Tomáše Bati, a.s.</w:t>
      </w:r>
    </w:p>
    <w:p w:rsidR="00971DF6" w:rsidRDefault="009B2A9F">
      <w:pPr>
        <w:pStyle w:val="Bodytext10"/>
        <w:framePr w:w="3881" w:h="1526" w:wrap="none" w:hAnchor="page" w:x="3424" w:y="2377"/>
        <w:shd w:val="clear" w:color="auto" w:fill="auto"/>
        <w:spacing w:after="0" w:line="269" w:lineRule="auto"/>
      </w:pPr>
      <w:r>
        <w:t>Havlíčkovo nábřeží 600</w:t>
      </w:r>
    </w:p>
    <w:p w:rsidR="00971DF6" w:rsidRDefault="009B2A9F">
      <w:pPr>
        <w:pStyle w:val="Bodytext10"/>
        <w:framePr w:w="3881" w:h="1526" w:wrap="none" w:hAnchor="page" w:x="3424" w:y="2377"/>
        <w:shd w:val="clear" w:color="auto" w:fill="auto"/>
        <w:spacing w:after="0" w:line="269" w:lineRule="auto"/>
      </w:pPr>
      <w:r>
        <w:t>762 75 Zlín</w:t>
      </w:r>
    </w:p>
    <w:p w:rsidR="007A1571" w:rsidRDefault="009B2A9F">
      <w:pPr>
        <w:pStyle w:val="Bodytext10"/>
        <w:framePr w:w="3881" w:h="1526" w:wrap="none" w:hAnchor="page" w:x="3424" w:y="2377"/>
        <w:shd w:val="clear" w:color="auto" w:fill="auto"/>
        <w:spacing w:after="0" w:line="269" w:lineRule="auto"/>
      </w:pPr>
      <w:r>
        <w:t xml:space="preserve">MUDr. Radomír Maráček, předseda představenstva </w:t>
      </w:r>
    </w:p>
    <w:p w:rsidR="00971DF6" w:rsidRDefault="009B2A9F">
      <w:pPr>
        <w:pStyle w:val="Bodytext10"/>
        <w:framePr w:w="3881" w:h="1526" w:wrap="none" w:hAnchor="page" w:x="3424" w:y="2377"/>
        <w:shd w:val="clear" w:color="auto" w:fill="auto"/>
        <w:spacing w:after="0" w:line="269" w:lineRule="auto"/>
      </w:pPr>
      <w:r>
        <w:t>Mgr. Lucie Štěpánková, MBA, členka představenstva 27661989</w:t>
      </w:r>
    </w:p>
    <w:p w:rsidR="00971DF6" w:rsidRDefault="009B2A9F">
      <w:pPr>
        <w:pStyle w:val="Bodytext10"/>
        <w:framePr w:w="3881" w:h="1526" w:wrap="none" w:hAnchor="page" w:x="3424" w:y="2377"/>
        <w:shd w:val="clear" w:color="auto" w:fill="auto"/>
        <w:spacing w:after="0" w:line="269" w:lineRule="auto"/>
      </w:pPr>
      <w:r>
        <w:t>CZ27661989</w:t>
      </w:r>
    </w:p>
    <w:p w:rsidR="00971DF6" w:rsidRDefault="009B2A9F">
      <w:pPr>
        <w:pStyle w:val="Bodytext10"/>
        <w:framePr w:w="3881" w:h="1526" w:wrap="none" w:hAnchor="page" w:x="3424" w:y="2377"/>
        <w:shd w:val="clear" w:color="auto" w:fill="auto"/>
        <w:spacing w:after="0" w:line="269" w:lineRule="auto"/>
      </w:pPr>
      <w:r>
        <w:t xml:space="preserve">vedeném KS v Brně, pod </w:t>
      </w:r>
      <w:proofErr w:type="spellStart"/>
      <w:r>
        <w:t>sp</w:t>
      </w:r>
      <w:proofErr w:type="spellEnd"/>
      <w:r>
        <w:t>. zn. Oddíl B, vložka 4437</w:t>
      </w:r>
    </w:p>
    <w:p w:rsidR="00971DF6" w:rsidRDefault="009B2A9F">
      <w:pPr>
        <w:pStyle w:val="Bodytext10"/>
        <w:framePr w:w="1282" w:h="223" w:wrap="none" w:hAnchor="page" w:x="9660" w:y="2348"/>
        <w:shd w:val="clear" w:color="auto" w:fill="auto"/>
        <w:spacing w:after="0" w:line="240" w:lineRule="auto"/>
      </w:pPr>
      <w:r>
        <w:t>Číslo zákazníka:</w:t>
      </w:r>
    </w:p>
    <w:p w:rsidR="00971DF6" w:rsidRDefault="009B2A9F">
      <w:pPr>
        <w:pStyle w:val="Bodytext10"/>
        <w:framePr w:w="842" w:h="202" w:wrap="none" w:hAnchor="page" w:x="9883" w:y="2579"/>
        <w:shd w:val="clear" w:color="auto" w:fill="auto"/>
        <w:spacing w:after="0" w:line="240" w:lineRule="auto"/>
      </w:pPr>
      <w:r>
        <w:rPr>
          <w:color w:val="2A2807"/>
        </w:rPr>
        <w:t>570505030</w:t>
      </w:r>
    </w:p>
    <w:p w:rsidR="00971DF6" w:rsidRDefault="009B2A9F">
      <w:pPr>
        <w:pStyle w:val="Bodytext10"/>
        <w:framePr w:w="10066" w:h="965" w:wrap="none" w:hAnchor="page" w:x="660" w:y="4047"/>
        <w:shd w:val="clear" w:color="auto" w:fill="auto"/>
        <w:spacing w:after="0" w:line="269" w:lineRule="auto"/>
      </w:pPr>
      <w:r>
        <w:t>(dále jen „zákazník“)</w:t>
      </w:r>
    </w:p>
    <w:p w:rsidR="00971DF6" w:rsidRDefault="009B2A9F">
      <w:pPr>
        <w:pStyle w:val="Bodytext10"/>
        <w:framePr w:w="10066" w:h="965" w:wrap="none" w:hAnchor="page" w:x="660" w:y="4047"/>
        <w:shd w:val="clear" w:color="auto" w:fill="auto"/>
        <w:spacing w:after="0" w:line="269" w:lineRule="auto"/>
        <w:jc w:val="center"/>
      </w:pPr>
      <w:r>
        <w:t>tuto</w:t>
      </w:r>
      <w:r>
        <w:br/>
        <w:t>SMLOUVU NA DODÁVKY MEDICINÁLNÍCH, TECHNICKÝCH A SPECIÁLNÍCH PLYNŮ, VČETNĚ KAPALNÉHO MED. KYSLÍKU A</w:t>
      </w:r>
      <w:r>
        <w:br/>
        <w:t>DLOUHODOBÉHO PRONÁJMU TLAKOVÝCH LAHVÍ</w:t>
      </w:r>
    </w:p>
    <w:p w:rsidR="00971DF6" w:rsidRDefault="009B2A9F">
      <w:pPr>
        <w:pStyle w:val="Bodytext10"/>
        <w:framePr w:w="10066" w:h="965" w:wrap="none" w:hAnchor="page" w:x="660" w:y="4047"/>
        <w:shd w:val="clear" w:color="auto" w:fill="auto"/>
        <w:spacing w:after="0" w:line="269" w:lineRule="auto"/>
        <w:ind w:left="2800"/>
        <w:jc w:val="both"/>
      </w:pPr>
      <w:r>
        <w:t xml:space="preserve">číslo 731/2020/TP/570505030 dle </w:t>
      </w:r>
      <w:r w:rsidRPr="007A1571">
        <w:rPr>
          <w:b/>
        </w:rPr>
        <w:t>VZ 20006</w:t>
      </w:r>
      <w:r>
        <w:t>(dále též jen „Smlouva“)</w:t>
      </w:r>
    </w:p>
    <w:p w:rsidR="00971DF6" w:rsidRDefault="009B2A9F">
      <w:pPr>
        <w:pStyle w:val="Bodytext10"/>
        <w:framePr w:w="166" w:h="202" w:wrap="none" w:hAnchor="page" w:x="573" w:y="5163"/>
        <w:shd w:val="clear" w:color="auto" w:fill="auto"/>
        <w:spacing w:after="0" w:line="240" w:lineRule="auto"/>
      </w:pPr>
      <w:r>
        <w:t>1.</w:t>
      </w:r>
    </w:p>
    <w:p w:rsidR="00971DF6" w:rsidRDefault="009B2A9F">
      <w:pPr>
        <w:pStyle w:val="Bodytext10"/>
        <w:framePr w:w="173" w:h="202" w:wrap="none" w:hAnchor="page" w:x="552" w:y="5898"/>
        <w:shd w:val="clear" w:color="auto" w:fill="auto"/>
        <w:spacing w:after="0" w:line="240" w:lineRule="auto"/>
      </w:pPr>
      <w:r>
        <w:t>2.</w:t>
      </w:r>
    </w:p>
    <w:p w:rsidR="00971DF6" w:rsidRDefault="009B2A9F">
      <w:pPr>
        <w:pStyle w:val="Bodytext10"/>
        <w:framePr w:w="173" w:h="202" w:wrap="none" w:hAnchor="page" w:x="530" w:y="7554"/>
        <w:shd w:val="clear" w:color="auto" w:fill="auto"/>
        <w:spacing w:after="0" w:line="240" w:lineRule="auto"/>
      </w:pPr>
      <w:r>
        <w:t>3.</w:t>
      </w:r>
    </w:p>
    <w:p w:rsidR="00971DF6" w:rsidRDefault="009B2A9F">
      <w:pPr>
        <w:pStyle w:val="Bodytext10"/>
        <w:framePr w:w="180" w:h="202" w:wrap="none" w:hAnchor="page" w:x="508" w:y="8468"/>
        <w:shd w:val="clear" w:color="auto" w:fill="auto"/>
        <w:spacing w:after="0" w:line="240" w:lineRule="auto"/>
      </w:pPr>
      <w:r>
        <w:t>4.</w:t>
      </w:r>
    </w:p>
    <w:p w:rsidR="00971DF6" w:rsidRDefault="009B2A9F">
      <w:pPr>
        <w:pStyle w:val="Bodytext10"/>
        <w:framePr w:w="173" w:h="202" w:wrap="none" w:hAnchor="page" w:x="508" w:y="9203"/>
        <w:shd w:val="clear" w:color="auto" w:fill="auto"/>
        <w:spacing w:after="0" w:line="240" w:lineRule="auto"/>
      </w:pPr>
      <w:r>
        <w:t>5.</w:t>
      </w:r>
    </w:p>
    <w:p w:rsidR="00971DF6" w:rsidRDefault="007A1571">
      <w:pPr>
        <w:pStyle w:val="Bodytext10"/>
        <w:framePr w:w="173" w:h="202" w:wrap="none" w:hAnchor="page" w:x="494" w:y="9937"/>
        <w:shd w:val="clear" w:color="auto" w:fill="auto"/>
        <w:spacing w:after="0" w:line="240" w:lineRule="auto"/>
      </w:pPr>
      <w:r>
        <w:t>7</w:t>
      </w:r>
      <w:r w:rsidR="009B2A9F">
        <w:t>.</w:t>
      </w:r>
    </w:p>
    <w:p w:rsidR="00971DF6" w:rsidRDefault="00971DF6">
      <w:pPr>
        <w:pStyle w:val="Bodytext10"/>
        <w:framePr w:w="173" w:h="202" w:wrap="none" w:hAnchor="page" w:x="480" w:y="10859"/>
        <w:shd w:val="clear" w:color="auto" w:fill="auto"/>
        <w:spacing w:after="0" w:line="240" w:lineRule="auto"/>
      </w:pPr>
    </w:p>
    <w:p w:rsidR="00971DF6" w:rsidRDefault="007A1571">
      <w:pPr>
        <w:pStyle w:val="Bodytext10"/>
        <w:framePr w:w="173" w:h="202" w:wrap="none" w:hAnchor="page" w:x="480" w:y="11255"/>
        <w:shd w:val="clear" w:color="auto" w:fill="auto"/>
        <w:spacing w:after="0" w:line="240" w:lineRule="auto"/>
      </w:pPr>
      <w:r>
        <w:t>9</w:t>
      </w:r>
      <w:r w:rsidR="009B2A9F">
        <w:t>.</w:t>
      </w:r>
    </w:p>
    <w:p w:rsidR="00971DF6" w:rsidRDefault="00971DF6">
      <w:pPr>
        <w:pStyle w:val="Bodytext10"/>
        <w:framePr w:w="252" w:h="389" w:wrap="none" w:hAnchor="page" w:x="458" w:y="13083"/>
        <w:shd w:val="clear" w:color="auto" w:fill="auto"/>
        <w:spacing w:after="0" w:line="240" w:lineRule="auto"/>
      </w:pPr>
    </w:p>
    <w:p w:rsidR="00971DF6" w:rsidRDefault="00971DF6">
      <w:pPr>
        <w:pStyle w:val="Bodytext10"/>
        <w:framePr w:w="252" w:h="202" w:wrap="none" w:hAnchor="page" w:x="451" w:y="13825"/>
        <w:shd w:val="clear" w:color="auto" w:fill="auto"/>
        <w:spacing w:after="0" w:line="240" w:lineRule="auto"/>
      </w:pPr>
    </w:p>
    <w:p w:rsidR="00971DF6" w:rsidRDefault="009B2A9F">
      <w:pPr>
        <w:pStyle w:val="Bodytext10"/>
        <w:framePr w:w="10433" w:h="9439" w:wrap="none" w:hAnchor="page" w:x="854" w:y="5156"/>
        <w:shd w:val="clear" w:color="auto" w:fill="auto"/>
        <w:spacing w:after="0"/>
        <w:jc w:val="both"/>
      </w:pPr>
      <w:r>
        <w:rPr>
          <w:lang w:val="en-US" w:eastAsia="en-US" w:bidi="en-US"/>
        </w:rPr>
        <w:t xml:space="preserve">Linde </w:t>
      </w:r>
      <w:r>
        <w:t xml:space="preserve">se zavazuje dodávat zákazníkovi na základě jeho dílčích objednávek Plyn/y v Distribučních prostředcích v kvalitě a množství určené v Příloze č.1 (dále též jen „Plyn/y") a poskytovat zákazníkovi další plněni, vše za podmínek určených v této Smlouvě. Zákazník se zavazuje odebírat od </w:t>
      </w:r>
      <w:r>
        <w:rPr>
          <w:lang w:val="en-US" w:eastAsia="en-US" w:bidi="en-US"/>
        </w:rPr>
        <w:t xml:space="preserve">Linde </w:t>
      </w:r>
      <w:r>
        <w:t xml:space="preserve">za podmínek určených v této Smlouvě smluvené množství Plynu/ů určené v Příloze č.1 a další plnění a platit </w:t>
      </w:r>
      <w:r>
        <w:rPr>
          <w:lang w:val="en-US" w:eastAsia="en-US" w:bidi="en-US"/>
        </w:rPr>
        <w:t xml:space="preserve">Linde </w:t>
      </w:r>
      <w:r>
        <w:t>ceny ve výši a v termínech stanovených touto Smlouvou.</w:t>
      </w:r>
    </w:p>
    <w:p w:rsidR="00971DF6" w:rsidRDefault="009B2A9F">
      <w:pPr>
        <w:pStyle w:val="Bodytext10"/>
        <w:framePr w:w="10433" w:h="9439" w:wrap="none" w:hAnchor="page" w:x="854" w:y="5156"/>
        <w:shd w:val="clear" w:color="auto" w:fill="auto"/>
        <w:spacing w:after="0"/>
        <w:jc w:val="both"/>
      </w:pPr>
      <w:r>
        <w:t xml:space="preserve">Sjednané ceny jsou uváděny bez dané z přidané hodnoty, která bude účtována v zákonné výši. Sjednané ceny jsou považovány za pevné, zahrnuji veškeré náklady spojené s realizací dodávky a mohou být změněny pouze na základě změny příslušných obecně závazných právních předpisů. Nabídková cena na veřejnou zakázku je cenou nejvýše přípustnou, je uvedena na Krycím listu a může být změněna jen v případě, že se skutečné množství dodávek bude lišit od orientačního množství uvedeného v Cenové nabídce nebo pokud dojde v průběhu platnosti kupní smlouvy ke změně příslušných obecně závazných předpisů. Nájem distribučních prostředků bude realizován na základě dílčích nájemních smluv, které budou uzavřeny mezi smluvními stranami písemné, ústné či jen převzetím distribučního prostředku zákazníkem. Za dlouhodobý pronájem lahví zadavatel požaduje provádět fakturaci po šesti měsících </w:t>
      </w:r>
      <w:proofErr w:type="gramStart"/>
      <w:r>
        <w:t>s</w:t>
      </w:r>
      <w:proofErr w:type="gramEnd"/>
      <w:r>
        <w:t xml:space="preserve"> možnosti upřesnit počty lahví na další šestiměsíční období dle skutečnosti. V případě, že na další období nebude uzavřena smlouva na dodávky plynů se stejným dodavatelem, bude dlouhodobý pronájem lahví ukončen o jeden měsíc později za stejných nájemních podmínek.</w:t>
      </w:r>
    </w:p>
    <w:p w:rsidR="00971DF6" w:rsidRDefault="009B2A9F">
      <w:pPr>
        <w:pStyle w:val="Bodytext10"/>
        <w:framePr w:w="10433" w:h="9439" w:wrap="none" w:hAnchor="page" w:x="854" w:y="5156"/>
        <w:shd w:val="clear" w:color="auto" w:fill="auto"/>
        <w:spacing w:after="0"/>
        <w:jc w:val="both"/>
      </w:pPr>
      <w:r>
        <w:t xml:space="preserve">Orientační množství uvedené v Cenové nabídce je u jednotlivých položek stanoveno pouze nezávazné jako průměrné množství plynů dodávaných KNTB za 1 rok. Tyto údaje nejsou závazné pro skutečné množství medicinálních a technických plynů, které bude </w:t>
      </w:r>
      <w:r>
        <w:rPr>
          <w:lang w:val="en-US" w:eastAsia="en-US" w:bidi="en-US"/>
        </w:rPr>
        <w:t xml:space="preserve">Linde </w:t>
      </w:r>
      <w:proofErr w:type="gramStart"/>
      <w:r>
        <w:t>dodávat - toto</w:t>
      </w:r>
      <w:proofErr w:type="gramEnd"/>
      <w:r>
        <w:t xml:space="preserve"> bude dáno výlučné potřebou KNTB a jednotlivými objednávkami. V případě, že potřeba zákazníka na dodávky technických plynů převýší orientační množství dle čl. 2.a), je </w:t>
      </w:r>
      <w:r>
        <w:rPr>
          <w:lang w:val="en-US" w:eastAsia="en-US" w:bidi="en-US"/>
        </w:rPr>
        <w:t xml:space="preserve">Linde </w:t>
      </w:r>
      <w:r>
        <w:t>připravena tyto plyny, jakož i ostatní plnění poskytnout. Strany sjednávají, že ustanovení této smlouvy platí i pro tyto další dodávky a odběry po dobu trváni smlouvy.</w:t>
      </w:r>
    </w:p>
    <w:p w:rsidR="00971DF6" w:rsidRDefault="009B2A9F">
      <w:pPr>
        <w:pStyle w:val="Bodytext10"/>
        <w:framePr w:w="10433" w:h="9439" w:wrap="none" w:hAnchor="page" w:x="854" w:y="5156"/>
        <w:shd w:val="clear" w:color="auto" w:fill="auto"/>
        <w:tabs>
          <w:tab w:val="left" w:pos="9914"/>
        </w:tabs>
        <w:spacing w:after="0"/>
        <w:jc w:val="both"/>
      </w:pPr>
      <w:r>
        <w:t xml:space="preserve">Platební podmínky budou zpracovány dle Obecných nákupních podmínek KNTB, </w:t>
      </w:r>
      <w:proofErr w:type="gramStart"/>
      <w:r>
        <w:t>a.s..</w:t>
      </w:r>
      <w:proofErr w:type="gramEnd"/>
      <w:r>
        <w:t xml:space="preserve"> Daňový doklad musí obsahovat veškeré náležitosti v souladu se zákonem č. 235/2004 Sb., včetně čísla veřejné zakázky. Splatnost daňových dokladů je 30 dní od doručení. Fakturace za dílčí dodávky plynů v lahvích bude probíhat jedenkrát měsíčně, vždy k poslednímu dni v měsíci. V případě prodlení zákazníka se zaplacením kteréhokoliv daňového dokladu je </w:t>
      </w:r>
      <w:r>
        <w:rPr>
          <w:lang w:val="en-US" w:eastAsia="en-US" w:bidi="en-US"/>
        </w:rPr>
        <w:t xml:space="preserve">Linde </w:t>
      </w:r>
      <w:r>
        <w:t xml:space="preserve">oprávněno účtovat zákazníkovi úrok z prodlení 0,03 % z dlužné částky za každý den prodlení. Dodávky budou dle požadavku zadavatele a dohody při objednávání směřovány vždy buď do skladu příslušného dodavatele nebo do pohotovostního skladu KNTB, a. s. tak, aby nevznikla prodleva v dodávkách. Kapalina bude dodávána vždy do zásobníků umístěných v KNTB, a. s. Dodávky zajišťuje </w:t>
      </w:r>
      <w:r>
        <w:rPr>
          <w:lang w:val="en-US" w:eastAsia="en-US" w:bidi="en-US"/>
        </w:rPr>
        <w:t xml:space="preserve">Linde </w:t>
      </w:r>
      <w:r>
        <w:t>vlastním dopravcem. Kapalný kyslík do 48 hodin od objednávky, při odběru lahve z odběrního místa</w:t>
      </w:r>
      <w:r>
        <w:tab/>
        <w:t>do 4</w:t>
      </w:r>
    </w:p>
    <w:p w:rsidR="00971DF6" w:rsidRDefault="009B2A9F">
      <w:pPr>
        <w:pStyle w:val="Bodytext10"/>
        <w:framePr w:w="10433" w:h="9439" w:wrap="none" w:hAnchor="page" w:x="854" w:y="5156"/>
        <w:shd w:val="clear" w:color="auto" w:fill="auto"/>
        <w:spacing w:after="0"/>
        <w:jc w:val="both"/>
      </w:pPr>
      <w:r>
        <w:t>hodin v pracovní dny. Sankce z prodlení s dodávkou je 0,2 % z ceny dodávky bez DPH.</w:t>
      </w:r>
    </w:p>
    <w:p w:rsidR="00971DF6" w:rsidRDefault="009B2A9F">
      <w:pPr>
        <w:pStyle w:val="Bodytext10"/>
        <w:framePr w:w="10433" w:h="9439" w:wrap="none" w:hAnchor="page" w:x="854" w:y="5156"/>
        <w:shd w:val="clear" w:color="auto" w:fill="auto"/>
        <w:spacing w:after="0"/>
        <w:jc w:val="both"/>
      </w:pPr>
      <w:r>
        <w:t xml:space="preserve">Tato Smlouva nabývá účinnosti a platnosti dnem podpisu a uzavírá se na dobu jednoho roku ode dne účinnosti. Smlouvu je možno ukončit oboustranně výpovědí, a to s výpovědní </w:t>
      </w:r>
      <w:proofErr w:type="spellStart"/>
      <w:r>
        <w:t>Ih</w:t>
      </w:r>
      <w:r w:rsidR="007A1571">
        <w:t>ů</w:t>
      </w:r>
      <w:r>
        <w:t>tou</w:t>
      </w:r>
      <w:proofErr w:type="spellEnd"/>
      <w:r>
        <w:t xml:space="preserve"> jednoho měsíce, která počne běžet prvním dnem kalendářního měsíce následujícího po doručení výpovědi. Ukončením Smlouvy z jakéhokoli důvodu dochází k automatickému ukončení i nájemních smluv na Distribuční prostředky sloužících k dodávkám Plynů dle Smlouvy, s výjimkou smlouvy o dlouhodobém pronájmu Distribučních prostředků, a zákazník je povinen vrátit Distribuční prostředky na Prodejní místo </w:t>
      </w:r>
      <w:r>
        <w:rPr>
          <w:lang w:val="en-US" w:eastAsia="en-US" w:bidi="en-US"/>
        </w:rPr>
        <w:t xml:space="preserve">Linde </w:t>
      </w:r>
      <w:r>
        <w:t xml:space="preserve">do </w:t>
      </w:r>
      <w:proofErr w:type="gramStart"/>
      <w:r>
        <w:t>30-ti</w:t>
      </w:r>
      <w:proofErr w:type="gramEnd"/>
      <w:r>
        <w:t xml:space="preserve"> dnů od skončení Smlouvy.</w:t>
      </w:r>
    </w:p>
    <w:p w:rsidR="00971DF6" w:rsidRDefault="009B2A9F">
      <w:pPr>
        <w:pStyle w:val="Bodytext10"/>
        <w:framePr w:w="10433" w:h="9439" w:wrap="none" w:hAnchor="page" w:x="854" w:y="5156"/>
        <w:shd w:val="clear" w:color="auto" w:fill="auto"/>
        <w:spacing w:after="0"/>
        <w:jc w:val="both"/>
      </w:pPr>
      <w:r>
        <w:t>Smluvní strana má právo ukončit tuto Smlouvu písemným odstoupením v případě prohlášení úpadku na druhou stranu soudem nebo v případě, že druhá smluvní strana se zrušuje s likvidací.</w:t>
      </w:r>
    </w:p>
    <w:p w:rsidR="00971DF6" w:rsidRDefault="009B2A9F">
      <w:pPr>
        <w:pStyle w:val="Bodytext10"/>
        <w:framePr w:w="10433" w:h="9439" w:wrap="none" w:hAnchor="page" w:x="854" w:y="5156"/>
        <w:shd w:val="clear" w:color="auto" w:fill="auto"/>
        <w:spacing w:after="0"/>
        <w:jc w:val="both"/>
      </w:pPr>
      <w:r>
        <w:t xml:space="preserve">Zákazník se zavazuje, že bude utajovat, nevyužije pro sebe, nesdělí či nezpřístupní (např. předložením části smlouvy, faktury, dodacího listu apod.) třetí osobě ceny, druh a množství dodávaných plnění a veškeré ostatní konkurenčně určitelné, ocenitelné a běžně nedostupné skutečnosti týkající se </w:t>
      </w:r>
      <w:r>
        <w:rPr>
          <w:lang w:val="en-US" w:eastAsia="en-US" w:bidi="en-US"/>
        </w:rPr>
        <w:t xml:space="preserve">Linde </w:t>
      </w:r>
      <w:r>
        <w:t>(„Důvěrné informace“), které získá na základě plnění této Smlouvy. Závazek mlčenlivosti se zákazník zavazuje zachovávat i po dobu 12 měsíců od skončení Smlouvy. Závazek ochrany a utajení Důvěrných informací se nevztahuje na poskytnutí informací v nezbytném rozsahu soudům či správním úřadům v případě, kdy tyto informace vyžádají v souladu s platnými právními předpisy.</w:t>
      </w:r>
    </w:p>
    <w:p w:rsidR="00971DF6" w:rsidRDefault="009B2A9F">
      <w:pPr>
        <w:pStyle w:val="Bodytext10"/>
        <w:framePr w:w="10433" w:h="9439" w:wrap="none" w:hAnchor="page" w:x="854" w:y="5156"/>
        <w:shd w:val="clear" w:color="auto" w:fill="auto"/>
        <w:spacing w:after="0"/>
        <w:jc w:val="both"/>
      </w:pPr>
      <w:r>
        <w:t xml:space="preserve">Smluvní strany se dohodly, že má-li být tato Smlouva nebo dohoda jí měnící či doplňující v souladu se zákonem č. 340/2015 Sb., o registru smluv („ZRS“), uveřejněna prostřednictvím registru smluv, pak její uveřejnění se zavazuje zajistit bez zbytečného odkladu, </w:t>
      </w:r>
      <w:proofErr w:type="spellStart"/>
      <w:r>
        <w:t>nejpozdéji</w:t>
      </w:r>
      <w:proofErr w:type="spellEnd"/>
      <w:r>
        <w:t xml:space="preserve"> do 30 dnů ode dne jejího uzavření, na své náklady postupem stanoveným v ZRS zákazník. Před uveřejněním této Smlouvy v registru smluv zákazník znečitelní ta ustanovení, která představují výjimku z povinnosti uveřejnění podle §3 odst. 1,2 ZRS, a to jmenovitě ujednání o množství a cenách v příloze č.1 a osobni údaje, vč. podpisových vzorů zástupců smluvních stran.</w:t>
      </w:r>
    </w:p>
    <w:p w:rsidR="007A1571" w:rsidRDefault="009B2A9F">
      <w:pPr>
        <w:pStyle w:val="Bodytext10"/>
        <w:framePr w:w="10433" w:h="9439" w:wrap="none" w:hAnchor="page" w:x="854" w:y="5156"/>
        <w:shd w:val="clear" w:color="auto" w:fill="auto"/>
        <w:spacing w:after="0"/>
        <w:jc w:val="both"/>
        <w:rPr>
          <w:lang w:val="en-US" w:eastAsia="en-US" w:bidi="en-US"/>
        </w:rPr>
      </w:pPr>
      <w:r>
        <w:t xml:space="preserve">Tato Smlouva se řídi českým právem, spory ze Smlouvy budou rozhodovat věcně příslušné české soudy místně příslušné dle sídla </w:t>
      </w:r>
      <w:r>
        <w:rPr>
          <w:lang w:val="en-US" w:eastAsia="en-US" w:bidi="en-US"/>
        </w:rPr>
        <w:t xml:space="preserve">Linde. </w:t>
      </w:r>
    </w:p>
    <w:p w:rsidR="007A1571" w:rsidRDefault="009B2A9F">
      <w:pPr>
        <w:pStyle w:val="Bodytext10"/>
        <w:framePr w:w="10433" w:h="9439" w:wrap="none" w:hAnchor="page" w:x="854" w:y="5156"/>
        <w:shd w:val="clear" w:color="auto" w:fill="auto"/>
        <w:spacing w:after="0"/>
        <w:jc w:val="both"/>
      </w:pPr>
      <w:r>
        <w:t xml:space="preserve">Součástí této smlouvy jsou na druhé straně uvedené Všeobecné obchodní podmínky pro dodávky kapalných plynů, plynů v lahvích, paletách, pevných svazcích, kontejnerech a trajlerech (dále jen VOP) a obecné nákupní podmínky KNTB, a.s. Ustanovení obecných nákupních podmínek </w:t>
      </w:r>
      <w:proofErr w:type="spellStart"/>
      <w:proofErr w:type="gramStart"/>
      <w:r>
        <w:t>KNTB,a.s</w:t>
      </w:r>
      <w:proofErr w:type="spellEnd"/>
      <w:r>
        <w:t>.</w:t>
      </w:r>
      <w:proofErr w:type="gramEnd"/>
      <w:r>
        <w:t xml:space="preserve"> mají přednost před VOP, dostanou-li se jednotlivá ustanovení do rozporu a pokud nejsou vysloveně součástí některého bodu smlouvy. </w:t>
      </w:r>
    </w:p>
    <w:p w:rsidR="007A1571" w:rsidRDefault="007A1571">
      <w:pPr>
        <w:pStyle w:val="Bodytext10"/>
        <w:framePr w:w="10433" w:h="9439" w:wrap="none" w:hAnchor="page" w:x="854" w:y="5156"/>
        <w:shd w:val="clear" w:color="auto" w:fill="auto"/>
        <w:spacing w:after="0"/>
        <w:jc w:val="both"/>
      </w:pPr>
    </w:p>
    <w:p w:rsidR="00971DF6" w:rsidRDefault="009B2A9F">
      <w:pPr>
        <w:pStyle w:val="Bodytext10"/>
        <w:framePr w:w="10433" w:h="9439" w:wrap="none" w:hAnchor="page" w:x="854" w:y="5156"/>
        <w:shd w:val="clear" w:color="auto" w:fill="auto"/>
        <w:spacing w:after="0"/>
        <w:jc w:val="both"/>
      </w:pPr>
      <w:r>
        <w:t>Smlouva se vyhotovuje ve dvou stejnopisech po jednom pro každou ze smluvních stran. Podpisem Smlouvy smluvní strany stvrzují, že tato Smlouva je výsledkem jejich vzájemného vyjednávání, zákazník prohlašuje, že měl možnost ovlivnit její podmínky, byl seznámen s obsahem Podmínek a dalších dokumentů, na které Smlouva odkazuje, a tudíž se neuplatní ustanovení § 1799 a § 1800 občanského zákoníku o smlouvách uzavíraných adhezním způsobem</w:t>
      </w:r>
    </w:p>
    <w:p w:rsidR="00971DF6" w:rsidRDefault="009B2A9F">
      <w:pPr>
        <w:pStyle w:val="Bodytext10"/>
        <w:framePr w:w="770" w:h="202" w:wrap="none" w:hAnchor="page" w:x="422" w:y="14739"/>
        <w:shd w:val="clear" w:color="auto" w:fill="auto"/>
        <w:spacing w:after="0" w:line="240" w:lineRule="auto"/>
      </w:pPr>
      <w:r>
        <w:t>V Přerově</w:t>
      </w:r>
    </w:p>
    <w:p w:rsidR="00971DF6" w:rsidRDefault="00971DF6">
      <w:pPr>
        <w:pStyle w:val="Picturecaption10"/>
        <w:framePr w:w="1296" w:h="302" w:wrap="none" w:hAnchor="page" w:x="6895" w:y="15740"/>
        <w:shd w:val="clear" w:color="auto" w:fill="auto"/>
        <w:spacing w:line="130" w:lineRule="auto"/>
      </w:pPr>
    </w:p>
    <w:p w:rsidR="00971DF6" w:rsidRDefault="00971DF6">
      <w:pPr>
        <w:pStyle w:val="Heading310"/>
        <w:keepNext/>
        <w:keepLines/>
        <w:framePr w:w="1296" w:h="209" w:wrap="none" w:hAnchor="page" w:x="6895" w:y="15524"/>
        <w:shd w:val="clear" w:color="auto" w:fill="auto"/>
        <w:ind w:firstLine="0"/>
      </w:pPr>
    </w:p>
    <w:p w:rsidR="00971DF6" w:rsidRDefault="009B2A9F">
      <w:pPr>
        <w:pStyle w:val="Bodytext10"/>
        <w:framePr w:w="1310" w:h="202" w:wrap="none" w:hAnchor="page" w:x="408" w:y="15848"/>
        <w:shd w:val="clear" w:color="auto" w:fill="auto"/>
        <w:spacing w:after="0" w:line="240" w:lineRule="auto"/>
      </w:pPr>
      <w:r>
        <w:t xml:space="preserve">Za </w:t>
      </w:r>
      <w:r>
        <w:rPr>
          <w:lang w:val="en-US" w:eastAsia="en-US" w:bidi="en-US"/>
        </w:rPr>
        <w:t>Linde Gas a s.</w:t>
      </w:r>
    </w:p>
    <w:p w:rsidR="00971DF6" w:rsidRDefault="009B2A9F">
      <w:pPr>
        <w:spacing w:line="360" w:lineRule="exact"/>
      </w:pPr>
      <w:r>
        <w:rPr>
          <w:noProof/>
        </w:rPr>
        <w:drawing>
          <wp:anchor distT="0" distB="0" distL="0" distR="0" simplePos="0" relativeHeight="62914690" behindDoc="1" locked="0" layoutInCell="1" allowOverlap="1">
            <wp:simplePos x="0" y="0"/>
            <wp:positionH relativeFrom="page">
              <wp:posOffset>6202045</wp:posOffset>
            </wp:positionH>
            <wp:positionV relativeFrom="margin">
              <wp:posOffset>0</wp:posOffset>
            </wp:positionV>
            <wp:extent cx="1017905" cy="51816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17905" cy="518160"/>
                    </a:xfrm>
                    <a:prstGeom prst="rect">
                      <a:avLst/>
                    </a:prstGeom>
                  </pic:spPr>
                </pic:pic>
              </a:graphicData>
            </a:graphic>
          </wp:anchor>
        </w:drawing>
      </w: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Pr="007A1571" w:rsidRDefault="007A1571">
      <w:pPr>
        <w:spacing w:line="360" w:lineRule="exact"/>
        <w:rPr>
          <w:sz w:val="18"/>
          <w:szCs w:val="18"/>
        </w:rPr>
      </w:pPr>
      <w:r w:rsidRPr="007A1571">
        <w:rPr>
          <w:sz w:val="18"/>
          <w:szCs w:val="18"/>
        </w:rPr>
        <w:t xml:space="preserve">  6.</w:t>
      </w:r>
    </w:p>
    <w:p w:rsidR="00971DF6" w:rsidRDefault="00971DF6">
      <w:pPr>
        <w:spacing w:line="360" w:lineRule="exact"/>
      </w:pPr>
    </w:p>
    <w:p w:rsidR="00971DF6" w:rsidRDefault="007A1571">
      <w:pPr>
        <w:spacing w:line="360" w:lineRule="exact"/>
      </w:pPr>
      <w:r w:rsidRPr="007A1571">
        <w:rPr>
          <w:sz w:val="20"/>
          <w:szCs w:val="20"/>
        </w:rPr>
        <w:t xml:space="preserve"> 8</w:t>
      </w:r>
      <w:r>
        <w:t>.</w:t>
      </w: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7A1571" w:rsidRDefault="007A1571" w:rsidP="007A1571">
      <w:pPr>
        <w:pStyle w:val="Bodytext10"/>
        <w:framePr w:w="173" w:h="202" w:wrap="none" w:hAnchor="page" w:x="529" w:y="12169"/>
        <w:shd w:val="clear" w:color="auto" w:fill="auto"/>
        <w:spacing w:after="0" w:line="240" w:lineRule="auto"/>
      </w:pPr>
    </w:p>
    <w:p w:rsidR="007A1571" w:rsidRDefault="007A1571" w:rsidP="007A1571">
      <w:pPr>
        <w:pStyle w:val="Bodytext10"/>
        <w:framePr w:w="173" w:h="202" w:wrap="none" w:hAnchor="page" w:x="529" w:y="12169"/>
        <w:shd w:val="clear" w:color="auto" w:fill="auto"/>
        <w:spacing w:after="0" w:line="240" w:lineRule="auto"/>
      </w:pPr>
      <w:r>
        <w:t>11</w:t>
      </w:r>
    </w:p>
    <w:p w:rsidR="00971DF6" w:rsidRPr="007A1571" w:rsidRDefault="007A1571">
      <w:pPr>
        <w:spacing w:line="360" w:lineRule="exact"/>
        <w:rPr>
          <w:sz w:val="20"/>
          <w:szCs w:val="20"/>
        </w:rPr>
      </w:pPr>
      <w:r w:rsidRPr="007A1571">
        <w:rPr>
          <w:sz w:val="20"/>
          <w:szCs w:val="20"/>
        </w:rPr>
        <w:t>10.</w:t>
      </w:r>
    </w:p>
    <w:p w:rsidR="00971DF6" w:rsidRDefault="00971DF6">
      <w:pPr>
        <w:spacing w:line="360" w:lineRule="exact"/>
      </w:pPr>
    </w:p>
    <w:p w:rsidR="00971DF6" w:rsidRPr="007A1571" w:rsidRDefault="007A1571">
      <w:pPr>
        <w:spacing w:line="360" w:lineRule="exact"/>
        <w:rPr>
          <w:sz w:val="20"/>
          <w:szCs w:val="20"/>
        </w:rPr>
      </w:pPr>
      <w:r w:rsidRPr="007A1571">
        <w:rPr>
          <w:sz w:val="20"/>
          <w:szCs w:val="20"/>
        </w:rPr>
        <w:t>12.</w:t>
      </w:r>
    </w:p>
    <w:p w:rsidR="00971DF6" w:rsidRDefault="00971DF6">
      <w:pPr>
        <w:spacing w:line="360" w:lineRule="exact"/>
      </w:pPr>
    </w:p>
    <w:p w:rsidR="00971DF6" w:rsidRDefault="00971DF6">
      <w:pPr>
        <w:spacing w:line="360" w:lineRule="exact"/>
      </w:pPr>
    </w:p>
    <w:p w:rsidR="00971DF6" w:rsidRDefault="00971DF6">
      <w:pPr>
        <w:spacing w:line="360" w:lineRule="exact"/>
      </w:pPr>
    </w:p>
    <w:p w:rsidR="00971DF6" w:rsidRDefault="00971DF6">
      <w:pPr>
        <w:spacing w:line="360" w:lineRule="exact"/>
      </w:pPr>
    </w:p>
    <w:p w:rsidR="007A1571" w:rsidRDefault="007A1571" w:rsidP="007A1571">
      <w:pPr>
        <w:pStyle w:val="Bodytext10"/>
        <w:framePr w:w="8449" w:h="433" w:wrap="none" w:vAnchor="page" w:hAnchor="page" w:x="1477" w:y="14869"/>
        <w:shd w:val="clear" w:color="auto" w:fill="auto"/>
        <w:spacing w:after="0" w:line="240" w:lineRule="auto"/>
      </w:pPr>
      <w:r>
        <w:t>dne 5.3.2020                                        ve Zlíně dne 19. 3. 2020</w:t>
      </w:r>
    </w:p>
    <w:p w:rsidR="00971DF6" w:rsidRDefault="00971DF6">
      <w:pPr>
        <w:spacing w:line="360" w:lineRule="exact"/>
      </w:pPr>
    </w:p>
    <w:p w:rsidR="00971DF6" w:rsidRDefault="00971DF6">
      <w:pPr>
        <w:spacing w:line="360" w:lineRule="exact"/>
      </w:pPr>
    </w:p>
    <w:p w:rsidR="007A1571" w:rsidRDefault="007A1571" w:rsidP="007A1571">
      <w:pPr>
        <w:pStyle w:val="Picturecaption10"/>
        <w:framePr w:w="1465" w:h="554" w:wrap="none" w:vAnchor="page" w:hAnchor="page" w:x="5989" w:y="15673"/>
        <w:shd w:val="clear" w:color="auto" w:fill="auto"/>
      </w:pPr>
    </w:p>
    <w:p w:rsidR="007A1571" w:rsidRDefault="007A1571" w:rsidP="007A1571">
      <w:pPr>
        <w:pStyle w:val="Picturecaption10"/>
        <w:framePr w:w="1465" w:h="554" w:wrap="none" w:vAnchor="page" w:hAnchor="page" w:x="5989" w:y="15673"/>
        <w:shd w:val="clear" w:color="auto" w:fill="auto"/>
        <w:spacing w:line="192" w:lineRule="auto"/>
      </w:pPr>
      <w:r>
        <w:rPr>
          <w:color w:val="000000"/>
        </w:rPr>
        <w:t xml:space="preserve">Za </w:t>
      </w:r>
      <w:proofErr w:type="spellStart"/>
      <w:r>
        <w:rPr>
          <w:color w:val="000000"/>
        </w:rPr>
        <w:t>zákázníka</w:t>
      </w:r>
      <w:proofErr w:type="spellEnd"/>
    </w:p>
    <w:p w:rsidR="00971DF6" w:rsidRDefault="00971DF6">
      <w:pPr>
        <w:spacing w:line="360" w:lineRule="exact"/>
      </w:pPr>
    </w:p>
    <w:p w:rsidR="00971DF6" w:rsidRDefault="00971DF6">
      <w:pPr>
        <w:spacing w:after="640" w:line="1" w:lineRule="exact"/>
      </w:pPr>
    </w:p>
    <w:p w:rsidR="00971DF6" w:rsidRDefault="00971DF6">
      <w:pPr>
        <w:spacing w:line="1" w:lineRule="exact"/>
        <w:sectPr w:rsidR="00971DF6">
          <w:footerReference w:type="default" r:id="rId8"/>
          <w:pgSz w:w="11900" w:h="16840"/>
          <w:pgMar w:top="306" w:right="535" w:bottom="307" w:left="407" w:header="0" w:footer="3" w:gutter="0"/>
          <w:pgNumType w:start="1"/>
          <w:cols w:space="720"/>
          <w:noEndnote/>
          <w:docGrid w:linePitch="360"/>
        </w:sectPr>
      </w:pPr>
    </w:p>
    <w:p w:rsidR="00971DF6" w:rsidRDefault="009B2A9F">
      <w:pPr>
        <w:pStyle w:val="Bodytext10"/>
        <w:shd w:val="clear" w:color="auto" w:fill="auto"/>
        <w:spacing w:after="0" w:line="286" w:lineRule="auto"/>
        <w:jc w:val="center"/>
      </w:pPr>
      <w:r>
        <w:lastRenderedPageBreak/>
        <w:t>PŘÍLOHA č. 1</w:t>
      </w:r>
    </w:p>
    <w:p w:rsidR="00971DF6" w:rsidRDefault="009B2A9F">
      <w:pPr>
        <w:pStyle w:val="Bodytext10"/>
        <w:shd w:val="clear" w:color="auto" w:fill="auto"/>
        <w:spacing w:after="140" w:line="286" w:lineRule="auto"/>
        <w:jc w:val="center"/>
      </w:pPr>
      <w:r>
        <w:t>SMLOUVY NA DODÁVKY MEDICINÁLNÍCH, TECHNICKÝCH A SPECIÁLNÍCH PLYNŮ, VČETNĚ KAPALNÉHO MED. KYSLÍKU A</w:t>
      </w:r>
      <w:r>
        <w:br/>
        <w:t>DLOUHODOBÉHO PRONÁJMU TLAKOVÝCH LAHVÍ</w:t>
      </w:r>
      <w:r>
        <w:br/>
        <w:t>Č. 731/2020/TP/570505030 dle VZ 20006</w:t>
      </w:r>
    </w:p>
    <w:p w:rsidR="00971DF6" w:rsidRDefault="009B2A9F">
      <w:pPr>
        <w:pStyle w:val="Tablecaption10"/>
        <w:shd w:val="clear" w:color="auto" w:fill="auto"/>
        <w:spacing w:line="286" w:lineRule="auto"/>
        <w:ind w:left="202"/>
      </w:pPr>
      <w:r>
        <w:rPr>
          <w:u w:val="single"/>
        </w:rPr>
        <w:t>SPECIFIKACE PŘEDMĚTU 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3"/>
        <w:gridCol w:w="1246"/>
        <w:gridCol w:w="1490"/>
        <w:gridCol w:w="1382"/>
        <w:gridCol w:w="1361"/>
        <w:gridCol w:w="2045"/>
      </w:tblGrid>
      <w:tr w:rsidR="00971DF6">
        <w:trPr>
          <w:trHeight w:hRule="exact" w:val="914"/>
          <w:jc w:val="center"/>
        </w:trPr>
        <w:tc>
          <w:tcPr>
            <w:tcW w:w="2513"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18"/>
                <w:szCs w:val="18"/>
              </w:rPr>
            </w:pPr>
            <w:r>
              <w:rPr>
                <w:rFonts w:ascii="Times New Roman" w:eastAsia="Times New Roman" w:hAnsi="Times New Roman" w:cs="Times New Roman"/>
                <w:b/>
                <w:bCs/>
                <w:sz w:val="18"/>
                <w:szCs w:val="18"/>
              </w:rPr>
              <w:t>Druh a název plynu</w:t>
            </w:r>
          </w:p>
        </w:tc>
        <w:tc>
          <w:tcPr>
            <w:tcW w:w="1246"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18"/>
                <w:szCs w:val="18"/>
              </w:rPr>
            </w:pPr>
            <w:r>
              <w:rPr>
                <w:rFonts w:ascii="Times New Roman" w:eastAsia="Times New Roman" w:hAnsi="Times New Roman" w:cs="Times New Roman"/>
                <w:b/>
                <w:bCs/>
                <w:sz w:val="18"/>
                <w:szCs w:val="18"/>
              </w:rPr>
              <w:t>Číslo produktu</w:t>
            </w:r>
          </w:p>
        </w:tc>
        <w:tc>
          <w:tcPr>
            <w:tcW w:w="1490"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18"/>
                <w:szCs w:val="18"/>
              </w:rPr>
            </w:pPr>
            <w:r>
              <w:rPr>
                <w:rFonts w:ascii="Times New Roman" w:eastAsia="Times New Roman" w:hAnsi="Times New Roman" w:cs="Times New Roman"/>
                <w:b/>
                <w:bCs/>
                <w:sz w:val="18"/>
                <w:szCs w:val="18"/>
              </w:rPr>
              <w:t>Distribuční</w:t>
            </w:r>
          </w:p>
          <w:p w:rsidR="00971DF6" w:rsidRDefault="009B2A9F">
            <w:pPr>
              <w:pStyle w:val="Other10"/>
              <w:shd w:val="clear" w:color="auto" w:fill="auto"/>
              <w:spacing w:after="0" w:line="240" w:lineRule="auto"/>
              <w:rPr>
                <w:sz w:val="18"/>
                <w:szCs w:val="18"/>
              </w:rPr>
            </w:pPr>
            <w:r>
              <w:rPr>
                <w:rFonts w:ascii="Times New Roman" w:eastAsia="Times New Roman" w:hAnsi="Times New Roman" w:cs="Times New Roman"/>
                <w:b/>
                <w:bCs/>
                <w:sz w:val="18"/>
                <w:szCs w:val="18"/>
              </w:rPr>
              <w:t>prostředek</w:t>
            </w:r>
          </w:p>
        </w:tc>
        <w:tc>
          <w:tcPr>
            <w:tcW w:w="13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18"/>
                <w:szCs w:val="18"/>
              </w:rPr>
            </w:pPr>
            <w:r>
              <w:rPr>
                <w:rFonts w:ascii="Times New Roman" w:eastAsia="Times New Roman" w:hAnsi="Times New Roman" w:cs="Times New Roman"/>
                <w:b/>
                <w:bCs/>
                <w:sz w:val="18"/>
                <w:szCs w:val="18"/>
              </w:rPr>
              <w:t>Množství plynu v distribučním</w:t>
            </w:r>
          </w:p>
          <w:p w:rsidR="00971DF6" w:rsidRDefault="009B2A9F">
            <w:pPr>
              <w:pStyle w:val="Other10"/>
              <w:shd w:val="clear" w:color="auto" w:fill="auto"/>
              <w:spacing w:after="0" w:line="264" w:lineRule="auto"/>
              <w:rPr>
                <w:sz w:val="15"/>
                <w:szCs w:val="15"/>
              </w:rPr>
            </w:pPr>
            <w:r>
              <w:rPr>
                <w:rFonts w:ascii="Times New Roman" w:eastAsia="Times New Roman" w:hAnsi="Times New Roman" w:cs="Times New Roman"/>
                <w:b/>
                <w:bCs/>
                <w:sz w:val="18"/>
                <w:szCs w:val="18"/>
              </w:rPr>
              <w:t xml:space="preserve">prostředku </w:t>
            </w:r>
            <w:r>
              <w:rPr>
                <w:sz w:val="15"/>
                <w:szCs w:val="15"/>
              </w:rPr>
              <w:t>(m3, kg, 1)</w:t>
            </w:r>
          </w:p>
        </w:tc>
        <w:tc>
          <w:tcPr>
            <w:tcW w:w="1361"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18"/>
                <w:szCs w:val="18"/>
              </w:rPr>
            </w:pPr>
            <w:r>
              <w:rPr>
                <w:rFonts w:ascii="Times New Roman" w:eastAsia="Times New Roman" w:hAnsi="Times New Roman" w:cs="Times New Roman"/>
                <w:b/>
                <w:bCs/>
                <w:sz w:val="18"/>
                <w:szCs w:val="18"/>
              </w:rPr>
              <w:t>Cena plynu v distribučním</w:t>
            </w:r>
          </w:p>
          <w:p w:rsidR="00971DF6" w:rsidRDefault="009B2A9F">
            <w:pPr>
              <w:pStyle w:val="Other10"/>
              <w:shd w:val="clear" w:color="auto" w:fill="auto"/>
              <w:spacing w:after="0" w:line="240" w:lineRule="auto"/>
              <w:rPr>
                <w:sz w:val="18"/>
                <w:szCs w:val="18"/>
              </w:rPr>
            </w:pPr>
            <w:r>
              <w:rPr>
                <w:rFonts w:ascii="Times New Roman" w:eastAsia="Times New Roman" w:hAnsi="Times New Roman" w:cs="Times New Roman"/>
                <w:b/>
                <w:bCs/>
                <w:sz w:val="18"/>
                <w:szCs w:val="18"/>
              </w:rPr>
              <w:t>prostředku (Kč)</w:t>
            </w:r>
          </w:p>
        </w:tc>
        <w:tc>
          <w:tcPr>
            <w:tcW w:w="2045"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tabs>
                <w:tab w:val="left" w:pos="1188"/>
              </w:tabs>
              <w:spacing w:after="0" w:line="240" w:lineRule="auto"/>
              <w:rPr>
                <w:sz w:val="18"/>
                <w:szCs w:val="18"/>
              </w:rPr>
            </w:pPr>
            <w:r>
              <w:rPr>
                <w:rFonts w:ascii="Times New Roman" w:eastAsia="Times New Roman" w:hAnsi="Times New Roman" w:cs="Times New Roman"/>
                <w:b/>
                <w:bCs/>
                <w:sz w:val="18"/>
                <w:szCs w:val="18"/>
              </w:rPr>
              <w:t>Smluvené</w:t>
            </w:r>
            <w:r>
              <w:rPr>
                <w:rFonts w:ascii="Times New Roman" w:eastAsia="Times New Roman" w:hAnsi="Times New Roman" w:cs="Times New Roman"/>
                <w:b/>
                <w:bCs/>
                <w:sz w:val="18"/>
                <w:szCs w:val="18"/>
              </w:rPr>
              <w:tab/>
              <w:t>množství</w:t>
            </w:r>
          </w:p>
          <w:p w:rsidR="00971DF6" w:rsidRDefault="009B2A9F">
            <w:pPr>
              <w:pStyle w:val="Other10"/>
              <w:shd w:val="clear" w:color="auto" w:fill="auto"/>
              <w:spacing w:after="0" w:line="240" w:lineRule="auto"/>
              <w:rPr>
                <w:sz w:val="18"/>
                <w:szCs w:val="18"/>
              </w:rPr>
            </w:pPr>
            <w:r>
              <w:rPr>
                <w:rFonts w:ascii="Times New Roman" w:eastAsia="Times New Roman" w:hAnsi="Times New Roman" w:cs="Times New Roman"/>
                <w:b/>
                <w:bCs/>
                <w:sz w:val="18"/>
                <w:szCs w:val="18"/>
              </w:rPr>
              <w:t>plynu ročně (lahví)</w:t>
            </w:r>
          </w:p>
        </w:tc>
      </w:tr>
      <w:tr w:rsidR="00971DF6">
        <w:trPr>
          <w:trHeight w:hRule="exact" w:val="238"/>
          <w:jc w:val="center"/>
        </w:trPr>
        <w:tc>
          <w:tcPr>
            <w:tcW w:w="251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proofErr w:type="spellStart"/>
            <w:proofErr w:type="gramStart"/>
            <w:r>
              <w:rPr>
                <w:sz w:val="15"/>
                <w:szCs w:val="15"/>
              </w:rPr>
              <w:t>Conoxia</w:t>
            </w:r>
            <w:proofErr w:type="spellEnd"/>
            <w:r>
              <w:rPr>
                <w:sz w:val="15"/>
                <w:szCs w:val="15"/>
              </w:rPr>
              <w:t>- LG</w:t>
            </w:r>
            <w:proofErr w:type="gramEnd"/>
            <w:r>
              <w:rPr>
                <w:sz w:val="15"/>
                <w:szCs w:val="15"/>
              </w:rPr>
              <w:t xml:space="preserve"> lahve</w:t>
            </w:r>
          </w:p>
        </w:tc>
        <w:tc>
          <w:tcPr>
            <w:tcW w:w="1246"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both"/>
              <w:rPr>
                <w:sz w:val="15"/>
                <w:szCs w:val="15"/>
              </w:rPr>
            </w:pPr>
            <w:r>
              <w:rPr>
                <w:sz w:val="15"/>
                <w:szCs w:val="15"/>
              </w:rPr>
              <w:t>4080176</w:t>
            </w:r>
          </w:p>
        </w:tc>
        <w:tc>
          <w:tcPr>
            <w:tcW w:w="1490"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Láhev 31</w:t>
            </w:r>
          </w:p>
        </w:tc>
        <w:tc>
          <w:tcPr>
            <w:tcW w:w="13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0.6 m3</w:t>
            </w:r>
          </w:p>
        </w:tc>
        <w:tc>
          <w:tcPr>
            <w:tcW w:w="1361"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839,-</w:t>
            </w:r>
          </w:p>
        </w:tc>
        <w:tc>
          <w:tcPr>
            <w:tcW w:w="2045"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30</w:t>
            </w:r>
          </w:p>
        </w:tc>
      </w:tr>
      <w:tr w:rsidR="00971DF6">
        <w:trPr>
          <w:trHeight w:hRule="exact" w:val="202"/>
          <w:jc w:val="center"/>
        </w:trPr>
        <w:tc>
          <w:tcPr>
            <w:tcW w:w="2513" w:type="dxa"/>
            <w:tcBorders>
              <w:left w:val="single" w:sz="4" w:space="0" w:color="auto"/>
            </w:tcBorders>
            <w:shd w:val="clear" w:color="auto" w:fill="FFFFFF"/>
          </w:tcPr>
          <w:p w:rsidR="00971DF6" w:rsidRDefault="00971DF6">
            <w:pPr>
              <w:rPr>
                <w:sz w:val="10"/>
                <w:szCs w:val="10"/>
              </w:rPr>
            </w:pP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4080110</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10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1,6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I486.-</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7</w:t>
            </w:r>
          </w:p>
        </w:tc>
      </w:tr>
      <w:tr w:rsidR="00971DF6">
        <w:trPr>
          <w:trHeight w:hRule="exact" w:val="202"/>
          <w:jc w:val="center"/>
        </w:trPr>
        <w:tc>
          <w:tcPr>
            <w:tcW w:w="2513" w:type="dxa"/>
            <w:tcBorders>
              <w:left w:val="single" w:sz="4" w:space="0" w:color="auto"/>
            </w:tcBorders>
            <w:shd w:val="clear" w:color="auto" w:fill="FFFFFF"/>
          </w:tcPr>
          <w:p w:rsidR="00971DF6" w:rsidRDefault="00971DF6">
            <w:pPr>
              <w:rPr>
                <w:sz w:val="10"/>
                <w:szCs w:val="10"/>
              </w:rPr>
            </w:pP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4080152</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50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10,8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2246.-</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4</w:t>
            </w:r>
          </w:p>
        </w:tc>
      </w:tr>
      <w:tr w:rsidR="00971DF6">
        <w:trPr>
          <w:trHeight w:hRule="exact" w:val="216"/>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proofErr w:type="spellStart"/>
            <w:r>
              <w:rPr>
                <w:sz w:val="15"/>
                <w:szCs w:val="15"/>
              </w:rPr>
              <w:t>Conoxia</w:t>
            </w:r>
            <w:proofErr w:type="spellEnd"/>
            <w:r>
              <w:rPr>
                <w:sz w:val="15"/>
                <w:szCs w:val="15"/>
              </w:rPr>
              <w:t xml:space="preserve"> LIV</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4080174</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21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0.4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550,-</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1400</w:t>
            </w:r>
          </w:p>
        </w:tc>
      </w:tr>
      <w:tr w:rsidR="00971DF6">
        <w:trPr>
          <w:trHeight w:hRule="exact" w:val="194"/>
          <w:jc w:val="center"/>
        </w:trPr>
        <w:tc>
          <w:tcPr>
            <w:tcW w:w="2513" w:type="dxa"/>
            <w:tcBorders>
              <w:left w:val="single" w:sz="4" w:space="0" w:color="auto"/>
            </w:tcBorders>
            <w:shd w:val="clear" w:color="auto" w:fill="FFFFFF"/>
          </w:tcPr>
          <w:p w:rsidR="00971DF6" w:rsidRDefault="00971DF6">
            <w:pPr>
              <w:rPr>
                <w:sz w:val="10"/>
                <w:szCs w:val="10"/>
              </w:rPr>
            </w:pP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4080114</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10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2.2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I486.-</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90</w:t>
            </w:r>
          </w:p>
        </w:tc>
      </w:tr>
      <w:tr w:rsidR="00971DF6">
        <w:trPr>
          <w:trHeight w:hRule="exact" w:val="230"/>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proofErr w:type="spellStart"/>
            <w:proofErr w:type="gramStart"/>
            <w:r>
              <w:rPr>
                <w:sz w:val="15"/>
                <w:szCs w:val="15"/>
              </w:rPr>
              <w:t>Conoxia</w:t>
            </w:r>
            <w:proofErr w:type="spellEnd"/>
            <w:r>
              <w:rPr>
                <w:sz w:val="15"/>
                <w:szCs w:val="15"/>
              </w:rPr>
              <w:t xml:space="preserve"> - kapalina</w:t>
            </w:r>
            <w:proofErr w:type="gramEnd"/>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4080901</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zásobník</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kg</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11.40</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240 000 kg</w:t>
            </w:r>
          </w:p>
        </w:tc>
      </w:tr>
      <w:tr w:rsidR="00971DF6">
        <w:trPr>
          <w:trHeight w:hRule="exact" w:val="194"/>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proofErr w:type="spellStart"/>
            <w:proofErr w:type="gramStart"/>
            <w:r>
              <w:rPr>
                <w:sz w:val="15"/>
                <w:szCs w:val="15"/>
              </w:rPr>
              <w:t>Niontix</w:t>
            </w:r>
            <w:proofErr w:type="spellEnd"/>
            <w:r>
              <w:rPr>
                <w:sz w:val="15"/>
                <w:szCs w:val="15"/>
              </w:rPr>
              <w:t xml:space="preserve"> - LG</w:t>
            </w:r>
            <w:proofErr w:type="gramEnd"/>
            <w:r>
              <w:rPr>
                <w:sz w:val="15"/>
                <w:szCs w:val="15"/>
              </w:rPr>
              <w:t xml:space="preserve"> lahve</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4060140</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40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30 kg</w:t>
            </w:r>
          </w:p>
        </w:tc>
        <w:tc>
          <w:tcPr>
            <w:tcW w:w="1361" w:type="dxa"/>
            <w:tcBorders>
              <w:left w:val="single" w:sz="4" w:space="0" w:color="auto"/>
            </w:tcBorders>
            <w:shd w:val="clear" w:color="auto" w:fill="FFFFFF"/>
            <w:vAlign w:val="bottom"/>
          </w:tcPr>
          <w:p w:rsidR="00971DF6" w:rsidRDefault="009B2A9F">
            <w:pPr>
              <w:pStyle w:val="Other10"/>
              <w:shd w:val="clear" w:color="auto" w:fill="auto"/>
              <w:spacing w:after="0" w:line="240" w:lineRule="auto"/>
              <w:jc w:val="both"/>
              <w:rPr>
                <w:sz w:val="15"/>
                <w:szCs w:val="15"/>
              </w:rPr>
            </w:pPr>
            <w:r>
              <w:rPr>
                <w:sz w:val="15"/>
                <w:szCs w:val="15"/>
              </w:rPr>
              <w:t>6228.-</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13</w:t>
            </w:r>
          </w:p>
        </w:tc>
      </w:tr>
      <w:tr w:rsidR="00971DF6">
        <w:trPr>
          <w:trHeight w:hRule="exact" w:val="209"/>
          <w:jc w:val="center"/>
        </w:trPr>
        <w:tc>
          <w:tcPr>
            <w:tcW w:w="2513" w:type="dxa"/>
            <w:tcBorders>
              <w:left w:val="single" w:sz="4" w:space="0" w:color="auto"/>
            </w:tcBorders>
            <w:shd w:val="clear" w:color="auto" w:fill="FFFFFF"/>
          </w:tcPr>
          <w:p w:rsidR="00971DF6" w:rsidRDefault="00971DF6">
            <w:pPr>
              <w:rPr>
                <w:sz w:val="10"/>
                <w:szCs w:val="10"/>
              </w:rPr>
            </w:pP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4060110</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10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7,5 kg</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3248,-</w:t>
            </w:r>
          </w:p>
        </w:tc>
        <w:tc>
          <w:tcPr>
            <w:tcW w:w="2045" w:type="dxa"/>
            <w:tcBorders>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10</w:t>
            </w:r>
          </w:p>
        </w:tc>
      </w:tr>
      <w:tr w:rsidR="00971DF6">
        <w:trPr>
          <w:trHeight w:hRule="exact" w:val="209"/>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proofErr w:type="spellStart"/>
            <w:r>
              <w:rPr>
                <w:sz w:val="15"/>
                <w:szCs w:val="15"/>
              </w:rPr>
              <w:t>Entonox</w:t>
            </w:r>
            <w:proofErr w:type="spellEnd"/>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3670184</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51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1.4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4900.-</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3</w:t>
            </w:r>
          </w:p>
        </w:tc>
      </w:tr>
      <w:tr w:rsidR="00971DF6">
        <w:trPr>
          <w:trHeight w:hRule="exact" w:val="209"/>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Vzduch med-</w:t>
            </w:r>
            <w:proofErr w:type="spellStart"/>
            <w:r>
              <w:rPr>
                <w:sz w:val="15"/>
                <w:szCs w:val="15"/>
              </w:rPr>
              <w:t>synt</w:t>
            </w:r>
            <w:proofErr w:type="spellEnd"/>
            <w:r>
              <w:rPr>
                <w:sz w:val="15"/>
                <w:szCs w:val="15"/>
              </w:rPr>
              <w:t>.</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4040152</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50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10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5280,-</w:t>
            </w:r>
          </w:p>
        </w:tc>
        <w:tc>
          <w:tcPr>
            <w:tcW w:w="2045" w:type="dxa"/>
            <w:tcBorders>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2</w:t>
            </w:r>
          </w:p>
        </w:tc>
      </w:tr>
      <w:tr w:rsidR="00971DF6">
        <w:trPr>
          <w:trHeight w:hRule="exact" w:val="209"/>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Vzduch med-</w:t>
            </w:r>
            <w:proofErr w:type="spellStart"/>
            <w:r>
              <w:rPr>
                <w:sz w:val="15"/>
                <w:szCs w:val="15"/>
              </w:rPr>
              <w:t>synt</w:t>
            </w:r>
            <w:proofErr w:type="spellEnd"/>
            <w:r>
              <w:rPr>
                <w:sz w:val="15"/>
                <w:szCs w:val="15"/>
              </w:rPr>
              <w:t>.</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4040172</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2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0.4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1402.-</w:t>
            </w:r>
          </w:p>
        </w:tc>
        <w:tc>
          <w:tcPr>
            <w:tcW w:w="2045" w:type="dxa"/>
            <w:tcBorders>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20</w:t>
            </w:r>
          </w:p>
        </w:tc>
      </w:tr>
      <w:tr w:rsidR="00971DF6">
        <w:trPr>
          <w:trHeight w:hRule="exact" w:val="223"/>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 xml:space="preserve">Dusík kapalný v </w:t>
            </w:r>
            <w:r>
              <w:rPr>
                <w:sz w:val="15"/>
                <w:szCs w:val="15"/>
                <w:lang w:val="en-US" w:eastAsia="en-US" w:bidi="en-US"/>
              </w:rPr>
              <w:t>Dewar.</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2210933</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proofErr w:type="spellStart"/>
            <w:r>
              <w:rPr>
                <w:sz w:val="15"/>
                <w:szCs w:val="15"/>
              </w:rPr>
              <w:t>Dew.nádoba</w:t>
            </w:r>
            <w:proofErr w:type="spellEnd"/>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Kg</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41,30</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140</w:t>
            </w:r>
          </w:p>
        </w:tc>
      </w:tr>
      <w:tr w:rsidR="00971DF6">
        <w:trPr>
          <w:trHeight w:hRule="exact" w:val="209"/>
          <w:jc w:val="center"/>
        </w:trPr>
        <w:tc>
          <w:tcPr>
            <w:tcW w:w="2513" w:type="dxa"/>
            <w:tcBorders>
              <w:lef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Oxid dusnatý (INOMAX)</w:t>
            </w:r>
          </w:p>
        </w:tc>
        <w:tc>
          <w:tcPr>
            <w:tcW w:w="1246" w:type="dxa"/>
            <w:tcBorders>
              <w:left w:val="single" w:sz="4" w:space="0" w:color="auto"/>
            </w:tcBorders>
            <w:shd w:val="clear" w:color="auto" w:fill="FFFFFF"/>
          </w:tcPr>
          <w:p w:rsidR="00971DF6" w:rsidRDefault="00971DF6">
            <w:pPr>
              <w:rPr>
                <w:sz w:val="10"/>
                <w:szCs w:val="10"/>
              </w:rPr>
            </w:pPr>
          </w:p>
        </w:tc>
        <w:tc>
          <w:tcPr>
            <w:tcW w:w="1490" w:type="dxa"/>
            <w:tcBorders>
              <w:left w:val="single" w:sz="4" w:space="0" w:color="auto"/>
            </w:tcBorders>
            <w:shd w:val="clear" w:color="auto" w:fill="FFFFFF"/>
          </w:tcPr>
          <w:p w:rsidR="00971DF6" w:rsidRDefault="00971DF6">
            <w:pPr>
              <w:rPr>
                <w:sz w:val="10"/>
                <w:szCs w:val="10"/>
              </w:rPr>
            </w:pPr>
          </w:p>
        </w:tc>
        <w:tc>
          <w:tcPr>
            <w:tcW w:w="1382" w:type="dxa"/>
            <w:tcBorders>
              <w:left w:val="single" w:sz="4" w:space="0" w:color="auto"/>
            </w:tcBorders>
            <w:shd w:val="clear" w:color="auto" w:fill="FFFFFF"/>
          </w:tcPr>
          <w:p w:rsidR="00971DF6" w:rsidRDefault="00971DF6">
            <w:pPr>
              <w:rPr>
                <w:sz w:val="10"/>
                <w:szCs w:val="10"/>
              </w:rPr>
            </w:pP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59600.-</w:t>
            </w:r>
          </w:p>
        </w:tc>
        <w:tc>
          <w:tcPr>
            <w:tcW w:w="2045" w:type="dxa"/>
            <w:tcBorders>
              <w:left w:val="single" w:sz="4" w:space="0" w:color="auto"/>
              <w:right w:val="single" w:sz="4" w:space="0" w:color="auto"/>
            </w:tcBorders>
            <w:shd w:val="clear" w:color="auto" w:fill="FFFFFF"/>
            <w:vAlign w:val="center"/>
          </w:tcPr>
          <w:p w:rsidR="00971DF6" w:rsidRDefault="009B2A9F">
            <w:pPr>
              <w:pStyle w:val="Other10"/>
              <w:shd w:val="clear" w:color="auto" w:fill="auto"/>
              <w:spacing w:after="0" w:line="240" w:lineRule="auto"/>
              <w:rPr>
                <w:sz w:val="15"/>
                <w:szCs w:val="15"/>
              </w:rPr>
            </w:pPr>
            <w:r>
              <w:rPr>
                <w:sz w:val="15"/>
                <w:szCs w:val="15"/>
              </w:rPr>
              <w:t>6</w:t>
            </w:r>
          </w:p>
        </w:tc>
      </w:tr>
      <w:tr w:rsidR="00971DF6">
        <w:trPr>
          <w:trHeight w:hRule="exact" w:val="187"/>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Dusík 5.0</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2210152</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50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9.6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3558,-</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3</w:t>
            </w:r>
          </w:p>
        </w:tc>
      </w:tr>
      <w:tr w:rsidR="00971DF6">
        <w:trPr>
          <w:trHeight w:hRule="exact" w:val="216"/>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Oxid uhličitý medicinální</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4150120</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20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20 kg</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4450,-</w:t>
            </w:r>
          </w:p>
        </w:tc>
        <w:tc>
          <w:tcPr>
            <w:tcW w:w="2045" w:type="dxa"/>
            <w:tcBorders>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2</w:t>
            </w:r>
          </w:p>
        </w:tc>
      </w:tr>
      <w:tr w:rsidR="00971DF6">
        <w:trPr>
          <w:trHeight w:hRule="exact" w:val="194"/>
          <w:jc w:val="center"/>
        </w:trPr>
        <w:tc>
          <w:tcPr>
            <w:tcW w:w="2513" w:type="dxa"/>
            <w:tcBorders>
              <w:left w:val="single" w:sz="4" w:space="0" w:color="auto"/>
            </w:tcBorders>
            <w:shd w:val="clear" w:color="auto" w:fill="FFFFFF"/>
          </w:tcPr>
          <w:p w:rsidR="00971DF6" w:rsidRDefault="00971DF6">
            <w:pPr>
              <w:rPr>
                <w:sz w:val="10"/>
                <w:szCs w:val="10"/>
              </w:rPr>
            </w:pP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4150177</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10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7,5 kg</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1850,-</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23</w:t>
            </w:r>
          </w:p>
        </w:tc>
      </w:tr>
      <w:tr w:rsidR="00971DF6">
        <w:trPr>
          <w:trHeight w:hRule="exact" w:val="209"/>
          <w:jc w:val="center"/>
        </w:trPr>
        <w:tc>
          <w:tcPr>
            <w:tcW w:w="2513" w:type="dxa"/>
            <w:tcBorders>
              <w:left w:val="single" w:sz="4" w:space="0" w:color="auto"/>
            </w:tcBorders>
            <w:shd w:val="clear" w:color="auto" w:fill="FFFFFF"/>
          </w:tcPr>
          <w:p w:rsidR="00971DF6" w:rsidRDefault="00971DF6">
            <w:pPr>
              <w:rPr>
                <w:sz w:val="10"/>
                <w:szCs w:val="10"/>
              </w:rPr>
            </w:pP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4150172</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2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1,5 kg</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1700.-</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4</w:t>
            </w:r>
          </w:p>
        </w:tc>
      </w:tr>
      <w:tr w:rsidR="00971DF6">
        <w:trPr>
          <w:trHeight w:hRule="exact" w:val="216"/>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proofErr w:type="spellStart"/>
            <w:r>
              <w:rPr>
                <w:sz w:val="15"/>
                <w:szCs w:val="15"/>
              </w:rPr>
              <w:t>Kalibr.směs</w:t>
            </w:r>
            <w:proofErr w:type="spellEnd"/>
            <w:r>
              <w:rPr>
                <w:sz w:val="15"/>
                <w:szCs w:val="15"/>
              </w:rPr>
              <w:t xml:space="preserve"> CO2+O2+N2</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CZ50CA20II</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2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1.4 m3</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6479,-</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5</w:t>
            </w:r>
          </w:p>
        </w:tc>
      </w:tr>
      <w:tr w:rsidR="00971DF6">
        <w:trPr>
          <w:trHeight w:hRule="exact" w:val="216"/>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proofErr w:type="spellStart"/>
            <w:r>
              <w:rPr>
                <w:sz w:val="15"/>
                <w:szCs w:val="15"/>
              </w:rPr>
              <w:t>Kalibr.směs</w:t>
            </w:r>
            <w:proofErr w:type="spellEnd"/>
            <w:r>
              <w:rPr>
                <w:sz w:val="15"/>
                <w:szCs w:val="15"/>
              </w:rPr>
              <w:t xml:space="preserve"> </w:t>
            </w:r>
            <w:proofErr w:type="spellStart"/>
            <w:r>
              <w:rPr>
                <w:sz w:val="15"/>
                <w:szCs w:val="15"/>
              </w:rPr>
              <w:t>CO+He+Synt.vz</w:t>
            </w:r>
            <w:proofErr w:type="spellEnd"/>
            <w:r>
              <w:rPr>
                <w:sz w:val="15"/>
                <w:szCs w:val="15"/>
              </w:rPr>
              <w:t>.</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CZ20CA2011</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10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8 kg</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7790,-</w:t>
            </w:r>
          </w:p>
        </w:tc>
        <w:tc>
          <w:tcPr>
            <w:tcW w:w="2045" w:type="dxa"/>
            <w:tcBorders>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4</w:t>
            </w:r>
          </w:p>
        </w:tc>
      </w:tr>
      <w:tr w:rsidR="00971DF6">
        <w:trPr>
          <w:trHeight w:hRule="exact" w:val="194"/>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proofErr w:type="spellStart"/>
            <w:r>
              <w:rPr>
                <w:sz w:val="15"/>
                <w:szCs w:val="15"/>
              </w:rPr>
              <w:t>Kalibr.směs</w:t>
            </w:r>
            <w:proofErr w:type="spellEnd"/>
            <w:r>
              <w:rPr>
                <w:sz w:val="15"/>
                <w:szCs w:val="15"/>
              </w:rPr>
              <w:t xml:space="preserve"> H2+CO2+N2</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CZ50CA20II</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50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20 kg</w:t>
            </w:r>
          </w:p>
        </w:tc>
        <w:tc>
          <w:tcPr>
            <w:tcW w:w="1361"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9115,-</w:t>
            </w:r>
          </w:p>
        </w:tc>
        <w:tc>
          <w:tcPr>
            <w:tcW w:w="2045" w:type="dxa"/>
            <w:tcBorders>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2</w:t>
            </w:r>
          </w:p>
        </w:tc>
      </w:tr>
      <w:tr w:rsidR="00971DF6">
        <w:trPr>
          <w:trHeight w:hRule="exact" w:val="216"/>
          <w:jc w:val="center"/>
        </w:trPr>
        <w:tc>
          <w:tcPr>
            <w:tcW w:w="2513"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Acetylen</w:t>
            </w:r>
          </w:p>
        </w:tc>
        <w:tc>
          <w:tcPr>
            <w:tcW w:w="1246" w:type="dxa"/>
            <w:tcBorders>
              <w:left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3020142</w:t>
            </w:r>
          </w:p>
        </w:tc>
        <w:tc>
          <w:tcPr>
            <w:tcW w:w="1490"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40 1</w:t>
            </w:r>
          </w:p>
        </w:tc>
        <w:tc>
          <w:tcPr>
            <w:tcW w:w="1382" w:type="dxa"/>
            <w:tcBorders>
              <w:lef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8 kg</w:t>
            </w:r>
          </w:p>
        </w:tc>
        <w:tc>
          <w:tcPr>
            <w:tcW w:w="1361" w:type="dxa"/>
            <w:tcBorders>
              <w:lef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2262,-</w:t>
            </w:r>
          </w:p>
        </w:tc>
        <w:tc>
          <w:tcPr>
            <w:tcW w:w="2045" w:type="dxa"/>
            <w:tcBorders>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rPr>
                <w:sz w:val="15"/>
                <w:szCs w:val="15"/>
              </w:rPr>
            </w:pPr>
            <w:r>
              <w:rPr>
                <w:sz w:val="15"/>
                <w:szCs w:val="15"/>
              </w:rPr>
              <w:t>2</w:t>
            </w:r>
          </w:p>
        </w:tc>
      </w:tr>
      <w:tr w:rsidR="00971DF6">
        <w:trPr>
          <w:trHeight w:hRule="exact" w:val="468"/>
          <w:jc w:val="center"/>
        </w:trPr>
        <w:tc>
          <w:tcPr>
            <w:tcW w:w="2513" w:type="dxa"/>
            <w:tcBorders>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Oxid uhličitý svařovací</w:t>
            </w:r>
          </w:p>
        </w:tc>
        <w:tc>
          <w:tcPr>
            <w:tcW w:w="1246" w:type="dxa"/>
            <w:tcBorders>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jc w:val="both"/>
              <w:rPr>
                <w:sz w:val="15"/>
                <w:szCs w:val="15"/>
              </w:rPr>
            </w:pPr>
            <w:r>
              <w:rPr>
                <w:sz w:val="15"/>
                <w:szCs w:val="15"/>
              </w:rPr>
              <w:t>3740120</w:t>
            </w:r>
          </w:p>
        </w:tc>
        <w:tc>
          <w:tcPr>
            <w:tcW w:w="1490" w:type="dxa"/>
            <w:tcBorders>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Láhev 20 1</w:t>
            </w:r>
          </w:p>
        </w:tc>
        <w:tc>
          <w:tcPr>
            <w:tcW w:w="1382" w:type="dxa"/>
            <w:tcBorders>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20 kg</w:t>
            </w:r>
          </w:p>
        </w:tc>
        <w:tc>
          <w:tcPr>
            <w:tcW w:w="1361" w:type="dxa"/>
            <w:tcBorders>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714,-</w:t>
            </w:r>
          </w:p>
        </w:tc>
        <w:tc>
          <w:tcPr>
            <w:tcW w:w="2045" w:type="dxa"/>
            <w:tcBorders>
              <w:left w:val="single" w:sz="4" w:space="0" w:color="auto"/>
              <w:bottom w:val="single" w:sz="4" w:space="0" w:color="auto"/>
              <w:right w:val="single" w:sz="4" w:space="0" w:color="auto"/>
            </w:tcBorders>
            <w:shd w:val="clear" w:color="auto" w:fill="FFFFFF"/>
          </w:tcPr>
          <w:p w:rsidR="00971DF6" w:rsidRDefault="009B2A9F">
            <w:pPr>
              <w:pStyle w:val="Other10"/>
              <w:shd w:val="clear" w:color="auto" w:fill="auto"/>
              <w:spacing w:after="0" w:line="240" w:lineRule="auto"/>
              <w:rPr>
                <w:sz w:val="15"/>
                <w:szCs w:val="15"/>
              </w:rPr>
            </w:pPr>
            <w:r>
              <w:rPr>
                <w:sz w:val="15"/>
                <w:szCs w:val="15"/>
              </w:rPr>
              <w:t>2</w:t>
            </w:r>
          </w:p>
        </w:tc>
      </w:tr>
    </w:tbl>
    <w:p w:rsidR="00971DF6" w:rsidRDefault="00971DF6">
      <w:pPr>
        <w:spacing w:after="139" w:line="1" w:lineRule="exact"/>
      </w:pPr>
    </w:p>
    <w:p w:rsidR="00971DF6" w:rsidRDefault="00971DF6">
      <w:pPr>
        <w:spacing w:line="1" w:lineRule="exact"/>
      </w:pPr>
    </w:p>
    <w:p w:rsidR="00971DF6" w:rsidRDefault="009B2A9F">
      <w:pPr>
        <w:pStyle w:val="Tablecaption10"/>
        <w:shd w:val="clear" w:color="auto" w:fill="auto"/>
        <w:spacing w:line="240" w:lineRule="auto"/>
      </w:pPr>
      <w:r>
        <w:rPr>
          <w:u w:val="single"/>
        </w:rPr>
        <w:t>Další 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82"/>
        <w:gridCol w:w="1541"/>
        <w:gridCol w:w="2750"/>
        <w:gridCol w:w="1750"/>
      </w:tblGrid>
      <w:tr w:rsidR="00971DF6">
        <w:trPr>
          <w:trHeight w:hRule="exact" w:val="295"/>
          <w:jc w:val="center"/>
        </w:trPr>
        <w:tc>
          <w:tcPr>
            <w:tcW w:w="3182"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pPr>
            <w:r>
              <w:t>Označení plnění</w:t>
            </w:r>
          </w:p>
        </w:tc>
        <w:tc>
          <w:tcPr>
            <w:tcW w:w="1541"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pPr>
            <w:r>
              <w:t>Podmínka</w:t>
            </w:r>
          </w:p>
        </w:tc>
        <w:tc>
          <w:tcPr>
            <w:tcW w:w="2750"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pPr>
            <w:r>
              <w:t>Cena</w:t>
            </w:r>
          </w:p>
        </w:tc>
        <w:tc>
          <w:tcPr>
            <w:tcW w:w="1750"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ind w:firstLine="260"/>
            </w:pPr>
            <w:r>
              <w:t>Měrná jednotka</w:t>
            </w:r>
          </w:p>
        </w:tc>
      </w:tr>
      <w:tr w:rsidR="00971DF6">
        <w:trPr>
          <w:trHeight w:hRule="exact" w:val="266"/>
          <w:jc w:val="center"/>
        </w:trPr>
        <w:tc>
          <w:tcPr>
            <w:tcW w:w="3182"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pPr>
            <w:r>
              <w:t>Poplatek ADR lahve</w:t>
            </w:r>
          </w:p>
        </w:tc>
        <w:tc>
          <w:tcPr>
            <w:tcW w:w="1541"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pPr>
            <w:r>
              <w:t>YP32</w:t>
            </w:r>
          </w:p>
        </w:tc>
        <w:tc>
          <w:tcPr>
            <w:tcW w:w="2750"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pPr>
            <w:r>
              <w:t>72,-</w:t>
            </w:r>
          </w:p>
        </w:tc>
        <w:tc>
          <w:tcPr>
            <w:tcW w:w="1750"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pPr>
            <w:r>
              <w:t>OBA</w:t>
            </w:r>
          </w:p>
        </w:tc>
      </w:tr>
      <w:tr w:rsidR="00971DF6">
        <w:trPr>
          <w:trHeight w:hRule="exact" w:val="259"/>
          <w:jc w:val="center"/>
        </w:trPr>
        <w:tc>
          <w:tcPr>
            <w:tcW w:w="3182"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pPr>
            <w:r>
              <w:t>Poplatek ADR cisterna</w:t>
            </w:r>
          </w:p>
        </w:tc>
        <w:tc>
          <w:tcPr>
            <w:tcW w:w="1541"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pPr>
            <w:r>
              <w:t>YH08</w:t>
            </w:r>
          </w:p>
        </w:tc>
        <w:tc>
          <w:tcPr>
            <w:tcW w:w="2750"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pPr>
            <w:r>
              <w:t>3335,-</w:t>
            </w:r>
          </w:p>
        </w:tc>
        <w:tc>
          <w:tcPr>
            <w:tcW w:w="1750"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pPr>
            <w:r>
              <w:t>závoz</w:t>
            </w:r>
          </w:p>
        </w:tc>
      </w:tr>
      <w:tr w:rsidR="00971DF6">
        <w:trPr>
          <w:trHeight w:hRule="exact" w:val="252"/>
          <w:jc w:val="center"/>
        </w:trPr>
        <w:tc>
          <w:tcPr>
            <w:tcW w:w="3182"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pPr>
            <w:r>
              <w:t>Silniční a energetický poplatek láhev</w:t>
            </w:r>
          </w:p>
        </w:tc>
        <w:tc>
          <w:tcPr>
            <w:tcW w:w="1541"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pPr>
            <w:r>
              <w:t>YP90</w:t>
            </w:r>
          </w:p>
        </w:tc>
        <w:tc>
          <w:tcPr>
            <w:tcW w:w="2750"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pPr>
            <w:r>
              <w:t>45,-</w:t>
            </w:r>
          </w:p>
        </w:tc>
        <w:tc>
          <w:tcPr>
            <w:tcW w:w="1750"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pPr>
            <w:r>
              <w:t>OBA</w:t>
            </w:r>
          </w:p>
        </w:tc>
      </w:tr>
      <w:tr w:rsidR="00971DF6">
        <w:trPr>
          <w:trHeight w:hRule="exact" w:val="310"/>
          <w:jc w:val="center"/>
        </w:trPr>
        <w:tc>
          <w:tcPr>
            <w:tcW w:w="3182" w:type="dxa"/>
            <w:tcBorders>
              <w:top w:val="single" w:sz="4" w:space="0" w:color="auto"/>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pPr>
            <w:r>
              <w:t>Silniční a energetický poplatek cisterna</w:t>
            </w:r>
          </w:p>
        </w:tc>
        <w:tc>
          <w:tcPr>
            <w:tcW w:w="1541" w:type="dxa"/>
            <w:tcBorders>
              <w:top w:val="single" w:sz="4" w:space="0" w:color="auto"/>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jc w:val="center"/>
            </w:pPr>
            <w:r>
              <w:t>YP94</w:t>
            </w:r>
          </w:p>
        </w:tc>
        <w:tc>
          <w:tcPr>
            <w:tcW w:w="2750" w:type="dxa"/>
            <w:tcBorders>
              <w:top w:val="single" w:sz="4" w:space="0" w:color="auto"/>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pPr>
            <w:r>
              <w:t>0,45</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971DF6" w:rsidRDefault="009B2A9F">
            <w:pPr>
              <w:pStyle w:val="Other10"/>
              <w:shd w:val="clear" w:color="auto" w:fill="auto"/>
              <w:spacing w:after="0" w:line="240" w:lineRule="auto"/>
            </w:pPr>
            <w:r>
              <w:t>kg</w:t>
            </w:r>
          </w:p>
        </w:tc>
      </w:tr>
      <w:tr w:rsidR="00DB57C9" w:rsidTr="00C56DEA">
        <w:trPr>
          <w:trHeight w:hRule="exact" w:val="310"/>
          <w:jc w:val="center"/>
        </w:trPr>
        <w:tc>
          <w:tcPr>
            <w:tcW w:w="3182" w:type="dxa"/>
            <w:tcBorders>
              <w:top w:val="single" w:sz="4" w:space="0" w:color="auto"/>
              <w:left w:val="single" w:sz="4" w:space="0" w:color="auto"/>
              <w:bottom w:val="single" w:sz="4" w:space="0" w:color="auto"/>
            </w:tcBorders>
            <w:shd w:val="clear" w:color="auto" w:fill="FFFFFF"/>
            <w:vAlign w:val="center"/>
          </w:tcPr>
          <w:p w:rsidR="00DB57C9" w:rsidRDefault="00DB57C9" w:rsidP="00DB57C9">
            <w:pPr>
              <w:pStyle w:val="Other10"/>
              <w:shd w:val="clear" w:color="auto" w:fill="auto"/>
              <w:spacing w:after="0" w:line="240" w:lineRule="auto"/>
            </w:pPr>
            <w:r>
              <w:t>Distribuční prostředek</w:t>
            </w:r>
          </w:p>
        </w:tc>
        <w:tc>
          <w:tcPr>
            <w:tcW w:w="1541" w:type="dxa"/>
            <w:tcBorders>
              <w:top w:val="single" w:sz="4" w:space="0" w:color="auto"/>
              <w:left w:val="single" w:sz="4" w:space="0" w:color="auto"/>
              <w:bottom w:val="single" w:sz="4" w:space="0" w:color="auto"/>
            </w:tcBorders>
            <w:shd w:val="clear" w:color="auto" w:fill="FFFFFF"/>
            <w:vAlign w:val="center"/>
          </w:tcPr>
          <w:p w:rsidR="00DB57C9" w:rsidRDefault="00DB57C9" w:rsidP="00DB57C9">
            <w:pPr>
              <w:pStyle w:val="Other10"/>
              <w:shd w:val="clear" w:color="auto" w:fill="auto"/>
              <w:spacing w:after="0" w:line="240" w:lineRule="auto"/>
            </w:pPr>
            <w:r>
              <w:t>Kategorie</w:t>
            </w:r>
          </w:p>
        </w:tc>
        <w:tc>
          <w:tcPr>
            <w:tcW w:w="2750"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Nájemné</w:t>
            </w:r>
          </w:p>
          <w:p w:rsidR="00DB57C9" w:rsidRDefault="00DB57C9" w:rsidP="00DB57C9">
            <w:pPr>
              <w:pStyle w:val="Other10"/>
              <w:shd w:val="clear" w:color="auto" w:fill="auto"/>
              <w:spacing w:after="0" w:line="240" w:lineRule="auto"/>
            </w:pPr>
            <w:r>
              <w:t>Kč/kus</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bottom"/>
          </w:tcPr>
          <w:p w:rsidR="00DB57C9" w:rsidRDefault="00DB57C9" w:rsidP="00DB57C9">
            <w:pPr>
              <w:pStyle w:val="Other10"/>
              <w:shd w:val="clear" w:color="auto" w:fill="auto"/>
              <w:spacing w:after="0"/>
            </w:pPr>
            <w:r>
              <w:t>Měrná jednotka</w:t>
            </w:r>
          </w:p>
        </w:tc>
      </w:tr>
      <w:tr w:rsidR="00DB57C9" w:rsidTr="00C56DEA">
        <w:trPr>
          <w:trHeight w:hRule="exact" w:val="310"/>
          <w:jc w:val="center"/>
        </w:trPr>
        <w:tc>
          <w:tcPr>
            <w:tcW w:w="3182"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 xml:space="preserve">Láhev technické plyny 15 a 20 </w:t>
            </w:r>
            <w:proofErr w:type="spellStart"/>
            <w:r>
              <w:t>MPa</w:t>
            </w:r>
            <w:proofErr w:type="spellEnd"/>
          </w:p>
        </w:tc>
        <w:tc>
          <w:tcPr>
            <w:tcW w:w="1541"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C01 / 6900000</w:t>
            </w:r>
          </w:p>
        </w:tc>
        <w:tc>
          <w:tcPr>
            <w:tcW w:w="2750"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9,-</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bottom"/>
          </w:tcPr>
          <w:p w:rsidR="00DB57C9" w:rsidRDefault="00DB57C9" w:rsidP="00DB57C9">
            <w:pPr>
              <w:pStyle w:val="Other10"/>
              <w:shd w:val="clear" w:color="auto" w:fill="auto"/>
              <w:spacing w:after="0" w:line="240" w:lineRule="auto"/>
            </w:pPr>
            <w:r>
              <w:t>ks / den</w:t>
            </w:r>
          </w:p>
        </w:tc>
      </w:tr>
      <w:tr w:rsidR="00DB57C9" w:rsidTr="00C56DEA">
        <w:trPr>
          <w:trHeight w:hRule="exact" w:val="310"/>
          <w:jc w:val="center"/>
        </w:trPr>
        <w:tc>
          <w:tcPr>
            <w:tcW w:w="3182"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 xml:space="preserve">Láhev acetylen + </w:t>
            </w:r>
            <w:proofErr w:type="spellStart"/>
            <w:proofErr w:type="gramStart"/>
            <w:r>
              <w:t>zvi.plyny</w:t>
            </w:r>
            <w:proofErr w:type="spellEnd"/>
            <w:proofErr w:type="gramEnd"/>
          </w:p>
        </w:tc>
        <w:tc>
          <w:tcPr>
            <w:tcW w:w="1541"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C11 / 6910000 + C12 / 6920000</w:t>
            </w:r>
          </w:p>
        </w:tc>
        <w:tc>
          <w:tcPr>
            <w:tcW w:w="2750"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9,-</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bottom"/>
          </w:tcPr>
          <w:p w:rsidR="00DB57C9" w:rsidRDefault="00DB57C9" w:rsidP="00DB57C9">
            <w:pPr>
              <w:pStyle w:val="Other10"/>
              <w:shd w:val="clear" w:color="auto" w:fill="auto"/>
              <w:spacing w:after="0" w:line="240" w:lineRule="auto"/>
            </w:pPr>
            <w:r>
              <w:t>ks / den</w:t>
            </w:r>
          </w:p>
        </w:tc>
      </w:tr>
      <w:tr w:rsidR="00DB57C9" w:rsidTr="00C56DEA">
        <w:trPr>
          <w:trHeight w:hRule="exact" w:val="310"/>
          <w:jc w:val="center"/>
        </w:trPr>
        <w:tc>
          <w:tcPr>
            <w:tcW w:w="3182"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Láhev medicinální plyny</w:t>
            </w:r>
          </w:p>
        </w:tc>
        <w:tc>
          <w:tcPr>
            <w:tcW w:w="1541"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C16/6960050</w:t>
            </w:r>
          </w:p>
        </w:tc>
        <w:tc>
          <w:tcPr>
            <w:tcW w:w="2750" w:type="dxa"/>
            <w:tcBorders>
              <w:top w:val="single" w:sz="4" w:space="0" w:color="auto"/>
              <w:left w:val="single" w:sz="4" w:space="0" w:color="auto"/>
              <w:bottom w:val="single" w:sz="4" w:space="0" w:color="auto"/>
            </w:tcBorders>
            <w:shd w:val="clear" w:color="auto" w:fill="FFFFFF"/>
            <w:vAlign w:val="bottom"/>
          </w:tcPr>
          <w:p w:rsidR="00DB57C9" w:rsidRDefault="00DB57C9" w:rsidP="00DB57C9">
            <w:pPr>
              <w:pStyle w:val="Other10"/>
              <w:shd w:val="clear" w:color="auto" w:fill="auto"/>
              <w:spacing w:after="0" w:line="240" w:lineRule="auto"/>
            </w:pPr>
            <w:r>
              <w:t>12,50</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bottom"/>
          </w:tcPr>
          <w:p w:rsidR="00DB57C9" w:rsidRDefault="00DB57C9" w:rsidP="00DB57C9">
            <w:pPr>
              <w:pStyle w:val="Other10"/>
              <w:shd w:val="clear" w:color="auto" w:fill="auto"/>
              <w:spacing w:after="0" w:line="240" w:lineRule="auto"/>
            </w:pPr>
            <w:r>
              <w:t>ks / den</w:t>
            </w:r>
          </w:p>
        </w:tc>
      </w:tr>
      <w:tr w:rsidR="00DB57C9" w:rsidTr="00C56DEA">
        <w:trPr>
          <w:trHeight w:hRule="exact" w:val="310"/>
          <w:jc w:val="center"/>
        </w:trPr>
        <w:tc>
          <w:tcPr>
            <w:tcW w:w="3182" w:type="dxa"/>
            <w:tcBorders>
              <w:top w:val="single" w:sz="4" w:space="0" w:color="auto"/>
              <w:left w:val="single" w:sz="4" w:space="0" w:color="auto"/>
              <w:bottom w:val="single" w:sz="4" w:space="0" w:color="auto"/>
            </w:tcBorders>
            <w:shd w:val="clear" w:color="auto" w:fill="FFFFFF"/>
          </w:tcPr>
          <w:p w:rsidR="00DB57C9" w:rsidRDefault="00DB57C9" w:rsidP="00DB57C9">
            <w:pPr>
              <w:pStyle w:val="Other10"/>
              <w:shd w:val="clear" w:color="auto" w:fill="auto"/>
              <w:spacing w:after="0" w:line="240" w:lineRule="auto"/>
            </w:pPr>
            <w:r>
              <w:t>Láhev LIV medicinální plyny</w:t>
            </w:r>
          </w:p>
        </w:tc>
        <w:tc>
          <w:tcPr>
            <w:tcW w:w="1541" w:type="dxa"/>
            <w:tcBorders>
              <w:top w:val="single" w:sz="4" w:space="0" w:color="auto"/>
              <w:left w:val="single" w:sz="4" w:space="0" w:color="auto"/>
              <w:bottom w:val="single" w:sz="4" w:space="0" w:color="auto"/>
            </w:tcBorders>
            <w:shd w:val="clear" w:color="auto" w:fill="FFFFFF"/>
          </w:tcPr>
          <w:p w:rsidR="00DB57C9" w:rsidRDefault="00DB57C9" w:rsidP="00DB57C9">
            <w:pPr>
              <w:pStyle w:val="Other10"/>
              <w:shd w:val="clear" w:color="auto" w:fill="auto"/>
              <w:spacing w:after="0" w:line="240" w:lineRule="auto"/>
            </w:pPr>
            <w:r>
              <w:t>C17/6960450</w:t>
            </w:r>
          </w:p>
        </w:tc>
        <w:tc>
          <w:tcPr>
            <w:tcW w:w="2750" w:type="dxa"/>
            <w:tcBorders>
              <w:top w:val="single" w:sz="4" w:space="0" w:color="auto"/>
              <w:left w:val="single" w:sz="4" w:space="0" w:color="auto"/>
              <w:bottom w:val="single" w:sz="4" w:space="0" w:color="auto"/>
            </w:tcBorders>
            <w:shd w:val="clear" w:color="auto" w:fill="FFFFFF"/>
          </w:tcPr>
          <w:p w:rsidR="00DB57C9" w:rsidRDefault="00DB57C9" w:rsidP="00DB57C9">
            <w:pPr>
              <w:pStyle w:val="Other10"/>
              <w:shd w:val="clear" w:color="auto" w:fill="auto"/>
              <w:spacing w:after="0" w:line="240" w:lineRule="auto"/>
            </w:pPr>
            <w:r>
              <w:t>13,50</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DB57C9" w:rsidRDefault="00DB57C9" w:rsidP="00DB57C9">
            <w:pPr>
              <w:pStyle w:val="Other10"/>
              <w:shd w:val="clear" w:color="auto" w:fill="auto"/>
              <w:spacing w:after="0" w:line="240" w:lineRule="auto"/>
            </w:pPr>
            <w:r>
              <w:t>ks / den</w:t>
            </w:r>
          </w:p>
        </w:tc>
      </w:tr>
    </w:tbl>
    <w:p w:rsidR="00971DF6" w:rsidRDefault="00971DF6">
      <w:pPr>
        <w:spacing w:after="259" w:line="1" w:lineRule="exact"/>
      </w:pPr>
    </w:p>
    <w:p w:rsidR="00971DF6" w:rsidRDefault="00971DF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945"/>
        <w:gridCol w:w="2088"/>
        <w:gridCol w:w="2390"/>
      </w:tblGrid>
      <w:tr w:rsidR="00971DF6">
        <w:trPr>
          <w:trHeight w:hRule="exact" w:val="425"/>
          <w:jc w:val="center"/>
        </w:trPr>
        <w:tc>
          <w:tcPr>
            <w:tcW w:w="2837" w:type="dxa"/>
            <w:tcBorders>
              <w:top w:val="single" w:sz="4" w:space="0" w:color="auto"/>
              <w:left w:val="single" w:sz="4" w:space="0" w:color="auto"/>
            </w:tcBorders>
            <w:shd w:val="clear" w:color="auto" w:fill="FFFFFF"/>
            <w:vAlign w:val="center"/>
          </w:tcPr>
          <w:p w:rsidR="00971DF6" w:rsidRDefault="009B2A9F">
            <w:pPr>
              <w:pStyle w:val="Other10"/>
              <w:shd w:val="clear" w:color="auto" w:fill="auto"/>
              <w:spacing w:after="0" w:line="240" w:lineRule="auto"/>
            </w:pPr>
            <w:r>
              <w:t>Distribuční prostředek</w:t>
            </w:r>
          </w:p>
        </w:tc>
        <w:tc>
          <w:tcPr>
            <w:tcW w:w="2945" w:type="dxa"/>
            <w:tcBorders>
              <w:top w:val="single" w:sz="4" w:space="0" w:color="auto"/>
              <w:left w:val="single" w:sz="4" w:space="0" w:color="auto"/>
            </w:tcBorders>
            <w:shd w:val="clear" w:color="auto" w:fill="FFFFFF"/>
            <w:vAlign w:val="center"/>
          </w:tcPr>
          <w:p w:rsidR="00971DF6" w:rsidRDefault="009B2A9F">
            <w:pPr>
              <w:pStyle w:val="Other10"/>
              <w:shd w:val="clear" w:color="auto" w:fill="auto"/>
              <w:spacing w:after="0" w:line="240" w:lineRule="auto"/>
            </w:pPr>
            <w:r>
              <w:t>Kategorie</w:t>
            </w:r>
          </w:p>
        </w:tc>
        <w:tc>
          <w:tcPr>
            <w:tcW w:w="2088"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Nájemné</w:t>
            </w:r>
          </w:p>
          <w:p w:rsidR="00971DF6" w:rsidRDefault="009B2A9F">
            <w:pPr>
              <w:pStyle w:val="Other10"/>
              <w:shd w:val="clear" w:color="auto" w:fill="auto"/>
              <w:spacing w:after="0" w:line="240" w:lineRule="auto"/>
            </w:pPr>
            <w:r>
              <w:t>Kč/kus</w:t>
            </w:r>
          </w:p>
        </w:tc>
        <w:tc>
          <w:tcPr>
            <w:tcW w:w="2390"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pPr>
            <w:r>
              <w:t>Měrná jednotka</w:t>
            </w:r>
          </w:p>
        </w:tc>
      </w:tr>
      <w:tr w:rsidR="00971DF6">
        <w:trPr>
          <w:trHeight w:hRule="exact" w:val="187"/>
          <w:jc w:val="center"/>
        </w:trPr>
        <w:tc>
          <w:tcPr>
            <w:tcW w:w="2837"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 xml:space="preserve">Láhev technické plyny 15 a 20 </w:t>
            </w:r>
            <w:proofErr w:type="spellStart"/>
            <w:r>
              <w:t>MPa</w:t>
            </w:r>
            <w:proofErr w:type="spellEnd"/>
          </w:p>
        </w:tc>
        <w:tc>
          <w:tcPr>
            <w:tcW w:w="294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C01 / 6900000</w:t>
            </w:r>
          </w:p>
        </w:tc>
        <w:tc>
          <w:tcPr>
            <w:tcW w:w="2088"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9,-</w:t>
            </w:r>
          </w:p>
        </w:tc>
        <w:tc>
          <w:tcPr>
            <w:tcW w:w="2390"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pPr>
            <w:r>
              <w:t>ks / den</w:t>
            </w:r>
          </w:p>
        </w:tc>
      </w:tr>
      <w:tr w:rsidR="00971DF6">
        <w:trPr>
          <w:trHeight w:hRule="exact" w:val="209"/>
          <w:jc w:val="center"/>
        </w:trPr>
        <w:tc>
          <w:tcPr>
            <w:tcW w:w="2837"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 xml:space="preserve">Láhev acetylen + </w:t>
            </w:r>
            <w:proofErr w:type="spellStart"/>
            <w:proofErr w:type="gramStart"/>
            <w:r>
              <w:t>zvi.plyny</w:t>
            </w:r>
            <w:proofErr w:type="spellEnd"/>
            <w:proofErr w:type="gramEnd"/>
          </w:p>
        </w:tc>
        <w:tc>
          <w:tcPr>
            <w:tcW w:w="294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C11 / 6910000 + C12 / 6920000</w:t>
            </w:r>
          </w:p>
        </w:tc>
        <w:tc>
          <w:tcPr>
            <w:tcW w:w="2088"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9,-</w:t>
            </w:r>
          </w:p>
        </w:tc>
        <w:tc>
          <w:tcPr>
            <w:tcW w:w="2390"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pPr>
            <w:r>
              <w:t>ks / den</w:t>
            </w:r>
          </w:p>
        </w:tc>
      </w:tr>
      <w:tr w:rsidR="00971DF6">
        <w:trPr>
          <w:trHeight w:hRule="exact" w:val="194"/>
          <w:jc w:val="center"/>
        </w:trPr>
        <w:tc>
          <w:tcPr>
            <w:tcW w:w="2837"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Láhev medicinální plyny</w:t>
            </w:r>
          </w:p>
        </w:tc>
        <w:tc>
          <w:tcPr>
            <w:tcW w:w="294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C16/6960050</w:t>
            </w:r>
          </w:p>
        </w:tc>
        <w:tc>
          <w:tcPr>
            <w:tcW w:w="2088"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pPr>
            <w:r>
              <w:t>12,50</w:t>
            </w:r>
          </w:p>
        </w:tc>
        <w:tc>
          <w:tcPr>
            <w:tcW w:w="2390"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pPr>
            <w:r>
              <w:t>ks / den</w:t>
            </w:r>
          </w:p>
        </w:tc>
      </w:tr>
      <w:tr w:rsidR="00971DF6">
        <w:trPr>
          <w:trHeight w:hRule="exact" w:val="245"/>
          <w:jc w:val="center"/>
        </w:trPr>
        <w:tc>
          <w:tcPr>
            <w:tcW w:w="2837" w:type="dxa"/>
            <w:tcBorders>
              <w:top w:val="single" w:sz="4" w:space="0" w:color="auto"/>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pPr>
            <w:r>
              <w:t>Láhev LIV medicinální plyny</w:t>
            </w:r>
          </w:p>
        </w:tc>
        <w:tc>
          <w:tcPr>
            <w:tcW w:w="2945" w:type="dxa"/>
            <w:tcBorders>
              <w:top w:val="single" w:sz="4" w:space="0" w:color="auto"/>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pPr>
            <w:r>
              <w:t>C17/6960450</w:t>
            </w:r>
          </w:p>
        </w:tc>
        <w:tc>
          <w:tcPr>
            <w:tcW w:w="2088" w:type="dxa"/>
            <w:tcBorders>
              <w:top w:val="single" w:sz="4" w:space="0" w:color="auto"/>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pPr>
            <w:r>
              <w:t>13,50</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71DF6" w:rsidRDefault="009B2A9F">
            <w:pPr>
              <w:pStyle w:val="Other10"/>
              <w:shd w:val="clear" w:color="auto" w:fill="auto"/>
              <w:spacing w:after="0" w:line="240" w:lineRule="auto"/>
            </w:pPr>
            <w:r>
              <w:t>ks / den</w:t>
            </w:r>
          </w:p>
        </w:tc>
      </w:tr>
    </w:tbl>
    <w:p w:rsidR="00971DF6" w:rsidRDefault="00971DF6">
      <w:pPr>
        <w:spacing w:after="259" w:line="1" w:lineRule="exact"/>
      </w:pPr>
    </w:p>
    <w:p w:rsidR="00971DF6" w:rsidRDefault="00971DF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50"/>
        <w:gridCol w:w="2117"/>
        <w:gridCol w:w="2549"/>
        <w:gridCol w:w="3701"/>
      </w:tblGrid>
      <w:tr w:rsidR="00971DF6">
        <w:trPr>
          <w:trHeight w:hRule="exact" w:val="389"/>
        </w:trPr>
        <w:tc>
          <w:tcPr>
            <w:tcW w:w="1850"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rPr>
                <w:sz w:val="18"/>
                <w:szCs w:val="18"/>
              </w:rPr>
            </w:pPr>
            <w:r>
              <w:rPr>
                <w:rFonts w:ascii="Times New Roman" w:eastAsia="Times New Roman" w:hAnsi="Times New Roman" w:cs="Times New Roman"/>
                <w:b/>
                <w:bCs/>
                <w:sz w:val="18"/>
                <w:szCs w:val="18"/>
              </w:rPr>
              <w:lastRenderedPageBreak/>
              <w:t>Typ láhve</w:t>
            </w:r>
          </w:p>
        </w:tc>
        <w:tc>
          <w:tcPr>
            <w:tcW w:w="2117"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rPr>
                <w:sz w:val="18"/>
                <w:szCs w:val="18"/>
              </w:rPr>
            </w:pPr>
            <w:r>
              <w:rPr>
                <w:rFonts w:ascii="Times New Roman" w:eastAsia="Times New Roman" w:hAnsi="Times New Roman" w:cs="Times New Roman"/>
                <w:b/>
                <w:bCs/>
                <w:sz w:val="18"/>
                <w:szCs w:val="18"/>
              </w:rPr>
              <w:t>Počet lahví</w:t>
            </w:r>
          </w:p>
        </w:tc>
        <w:tc>
          <w:tcPr>
            <w:tcW w:w="2549"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rPr>
                <w:sz w:val="18"/>
                <w:szCs w:val="18"/>
              </w:rPr>
            </w:pPr>
            <w:r>
              <w:rPr>
                <w:rFonts w:ascii="Times New Roman" w:eastAsia="Times New Roman" w:hAnsi="Times New Roman" w:cs="Times New Roman"/>
                <w:b/>
                <w:bCs/>
                <w:sz w:val="18"/>
                <w:szCs w:val="18"/>
              </w:rPr>
              <w:t>Cena lahve za 1 rok</w:t>
            </w:r>
          </w:p>
        </w:tc>
        <w:tc>
          <w:tcPr>
            <w:tcW w:w="3701" w:type="dxa"/>
            <w:tcBorders>
              <w:top w:val="single" w:sz="4" w:space="0" w:color="auto"/>
              <w:left w:val="single" w:sz="4" w:space="0" w:color="auto"/>
              <w:righ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rPr>
                <w:sz w:val="18"/>
                <w:szCs w:val="18"/>
              </w:rPr>
            </w:pPr>
            <w:r>
              <w:rPr>
                <w:rFonts w:ascii="Times New Roman" w:eastAsia="Times New Roman" w:hAnsi="Times New Roman" w:cs="Times New Roman"/>
                <w:b/>
                <w:bCs/>
                <w:sz w:val="18"/>
                <w:szCs w:val="18"/>
              </w:rPr>
              <w:t xml:space="preserve">Cena za </w:t>
            </w:r>
            <w:proofErr w:type="spellStart"/>
            <w:r>
              <w:rPr>
                <w:rFonts w:ascii="Times New Roman" w:eastAsia="Times New Roman" w:hAnsi="Times New Roman" w:cs="Times New Roman"/>
                <w:b/>
                <w:bCs/>
                <w:sz w:val="18"/>
                <w:szCs w:val="18"/>
              </w:rPr>
              <w:t>celk</w:t>
            </w:r>
            <w:proofErr w:type="spellEnd"/>
            <w:r>
              <w:rPr>
                <w:rFonts w:ascii="Times New Roman" w:eastAsia="Times New Roman" w:hAnsi="Times New Roman" w:cs="Times New Roman"/>
                <w:b/>
                <w:bCs/>
                <w:sz w:val="18"/>
                <w:szCs w:val="18"/>
              </w:rPr>
              <w:t>. množství za 1 rok</w:t>
            </w:r>
          </w:p>
        </w:tc>
      </w:tr>
      <w:tr w:rsidR="00971DF6">
        <w:trPr>
          <w:trHeight w:hRule="exact" w:val="324"/>
        </w:trPr>
        <w:tc>
          <w:tcPr>
            <w:tcW w:w="1850"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rPr>
                <w:sz w:val="15"/>
                <w:szCs w:val="15"/>
              </w:rPr>
            </w:pPr>
            <w:r>
              <w:rPr>
                <w:sz w:val="15"/>
                <w:szCs w:val="15"/>
              </w:rPr>
              <w:t>Láhve standard</w:t>
            </w:r>
          </w:p>
        </w:tc>
        <w:tc>
          <w:tcPr>
            <w:tcW w:w="2117"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jc w:val="center"/>
              <w:rPr>
                <w:sz w:val="15"/>
                <w:szCs w:val="15"/>
              </w:rPr>
            </w:pPr>
            <w:r>
              <w:rPr>
                <w:sz w:val="15"/>
                <w:szCs w:val="15"/>
              </w:rPr>
              <w:t>44</w:t>
            </w:r>
          </w:p>
        </w:tc>
        <w:tc>
          <w:tcPr>
            <w:tcW w:w="2549"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2700,-</w:t>
            </w:r>
          </w:p>
        </w:tc>
        <w:tc>
          <w:tcPr>
            <w:tcW w:w="3701" w:type="dxa"/>
            <w:tcBorders>
              <w:top w:val="single" w:sz="4" w:space="0" w:color="auto"/>
              <w:left w:val="single" w:sz="4" w:space="0" w:color="auto"/>
              <w:righ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118.800,-</w:t>
            </w:r>
          </w:p>
        </w:tc>
      </w:tr>
      <w:tr w:rsidR="00971DF6">
        <w:trPr>
          <w:trHeight w:hRule="exact" w:val="302"/>
        </w:trPr>
        <w:tc>
          <w:tcPr>
            <w:tcW w:w="1850" w:type="dxa"/>
            <w:tcBorders>
              <w:top w:val="single" w:sz="4" w:space="0" w:color="auto"/>
              <w:lef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rPr>
                <w:sz w:val="15"/>
                <w:szCs w:val="15"/>
              </w:rPr>
            </w:pPr>
            <w:r>
              <w:rPr>
                <w:sz w:val="15"/>
                <w:szCs w:val="15"/>
              </w:rPr>
              <w:t>Láhve léčiva</w:t>
            </w:r>
          </w:p>
        </w:tc>
        <w:tc>
          <w:tcPr>
            <w:tcW w:w="2117" w:type="dxa"/>
            <w:tcBorders>
              <w:top w:val="single" w:sz="4" w:space="0" w:color="auto"/>
              <w:lef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jc w:val="center"/>
              <w:rPr>
                <w:sz w:val="15"/>
                <w:szCs w:val="15"/>
              </w:rPr>
            </w:pPr>
            <w:r>
              <w:rPr>
                <w:sz w:val="15"/>
                <w:szCs w:val="15"/>
              </w:rPr>
              <w:t>95</w:t>
            </w:r>
          </w:p>
        </w:tc>
        <w:tc>
          <w:tcPr>
            <w:tcW w:w="2549" w:type="dxa"/>
            <w:tcBorders>
              <w:top w:val="single" w:sz="4" w:space="0" w:color="auto"/>
              <w:lef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4100,-</w:t>
            </w:r>
          </w:p>
        </w:tc>
        <w:tc>
          <w:tcPr>
            <w:tcW w:w="3701" w:type="dxa"/>
            <w:tcBorders>
              <w:top w:val="single" w:sz="4" w:space="0" w:color="auto"/>
              <w:left w:val="single" w:sz="4" w:space="0" w:color="auto"/>
              <w:righ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389.500,-</w:t>
            </w:r>
          </w:p>
        </w:tc>
      </w:tr>
      <w:tr w:rsidR="00971DF6">
        <w:trPr>
          <w:trHeight w:hRule="exact" w:val="302"/>
        </w:trPr>
        <w:tc>
          <w:tcPr>
            <w:tcW w:w="1850"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rPr>
                <w:sz w:val="15"/>
                <w:szCs w:val="15"/>
              </w:rPr>
            </w:pPr>
            <w:r>
              <w:rPr>
                <w:sz w:val="15"/>
                <w:szCs w:val="15"/>
              </w:rPr>
              <w:t>Láhve LIV</w:t>
            </w:r>
          </w:p>
        </w:tc>
        <w:tc>
          <w:tcPr>
            <w:tcW w:w="2117"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jc w:val="center"/>
              <w:rPr>
                <w:sz w:val="15"/>
                <w:szCs w:val="15"/>
              </w:rPr>
            </w:pPr>
            <w:r>
              <w:rPr>
                <w:sz w:val="15"/>
                <w:szCs w:val="15"/>
              </w:rPr>
              <w:t>150</w:t>
            </w:r>
          </w:p>
        </w:tc>
        <w:tc>
          <w:tcPr>
            <w:tcW w:w="2549" w:type="dxa"/>
            <w:tcBorders>
              <w:top w:val="single" w:sz="4" w:space="0" w:color="auto"/>
              <w:lef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4400,-</w:t>
            </w:r>
          </w:p>
        </w:tc>
        <w:tc>
          <w:tcPr>
            <w:tcW w:w="3701" w:type="dxa"/>
            <w:tcBorders>
              <w:top w:val="single" w:sz="4" w:space="0" w:color="auto"/>
              <w:left w:val="single" w:sz="4" w:space="0" w:color="auto"/>
              <w:right w:val="single" w:sz="4" w:space="0" w:color="auto"/>
            </w:tcBorders>
            <w:shd w:val="clear" w:color="auto" w:fill="FFFFFF"/>
            <w:vAlign w:val="center"/>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660.000,-</w:t>
            </w:r>
          </w:p>
        </w:tc>
      </w:tr>
      <w:tr w:rsidR="00971DF6">
        <w:trPr>
          <w:trHeight w:hRule="exact" w:val="302"/>
        </w:trPr>
        <w:tc>
          <w:tcPr>
            <w:tcW w:w="1850" w:type="dxa"/>
            <w:tcBorders>
              <w:top w:val="single" w:sz="4" w:space="0" w:color="auto"/>
              <w:lef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rPr>
                <w:sz w:val="15"/>
                <w:szCs w:val="15"/>
              </w:rPr>
            </w:pPr>
            <w:proofErr w:type="spellStart"/>
            <w:r>
              <w:rPr>
                <w:sz w:val="15"/>
                <w:szCs w:val="15"/>
              </w:rPr>
              <w:t>Entonox</w:t>
            </w:r>
            <w:proofErr w:type="spellEnd"/>
          </w:p>
        </w:tc>
        <w:tc>
          <w:tcPr>
            <w:tcW w:w="2117" w:type="dxa"/>
            <w:tcBorders>
              <w:top w:val="single" w:sz="4" w:space="0" w:color="auto"/>
              <w:lef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jc w:val="center"/>
              <w:rPr>
                <w:sz w:val="15"/>
                <w:szCs w:val="15"/>
              </w:rPr>
            </w:pPr>
            <w:r>
              <w:rPr>
                <w:sz w:val="15"/>
                <w:szCs w:val="15"/>
              </w:rPr>
              <w:t>3</w:t>
            </w:r>
          </w:p>
        </w:tc>
        <w:tc>
          <w:tcPr>
            <w:tcW w:w="2549" w:type="dxa"/>
            <w:tcBorders>
              <w:top w:val="single" w:sz="4" w:space="0" w:color="auto"/>
              <w:lef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2300,-</w:t>
            </w:r>
          </w:p>
        </w:tc>
        <w:tc>
          <w:tcPr>
            <w:tcW w:w="3701" w:type="dxa"/>
            <w:tcBorders>
              <w:top w:val="single" w:sz="4" w:space="0" w:color="auto"/>
              <w:left w:val="single" w:sz="4" w:space="0" w:color="auto"/>
              <w:righ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6.900,-</w:t>
            </w:r>
          </w:p>
        </w:tc>
      </w:tr>
      <w:tr w:rsidR="00971DF6">
        <w:trPr>
          <w:trHeight w:hRule="exact" w:val="274"/>
        </w:trPr>
        <w:tc>
          <w:tcPr>
            <w:tcW w:w="1850" w:type="dxa"/>
            <w:tcBorders>
              <w:top w:val="single" w:sz="4" w:space="0" w:color="auto"/>
              <w:left w:val="single" w:sz="4" w:space="0" w:color="auto"/>
              <w:bottom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rPr>
                <w:sz w:val="18"/>
                <w:szCs w:val="18"/>
              </w:rPr>
            </w:pPr>
            <w:r>
              <w:rPr>
                <w:rFonts w:ascii="Times New Roman" w:eastAsia="Times New Roman" w:hAnsi="Times New Roman" w:cs="Times New Roman"/>
                <w:b/>
                <w:bCs/>
                <w:sz w:val="18"/>
                <w:szCs w:val="18"/>
              </w:rPr>
              <w:t>Celkem cena bez DPH</w:t>
            </w:r>
          </w:p>
        </w:tc>
        <w:tc>
          <w:tcPr>
            <w:tcW w:w="4666" w:type="dxa"/>
            <w:gridSpan w:val="2"/>
            <w:tcBorders>
              <w:top w:val="single" w:sz="4" w:space="0" w:color="auto"/>
              <w:bottom w:val="single" w:sz="4" w:space="0" w:color="auto"/>
            </w:tcBorders>
            <w:shd w:val="clear" w:color="auto" w:fill="FFFFFF"/>
          </w:tcPr>
          <w:p w:rsidR="00971DF6" w:rsidRDefault="00971DF6">
            <w:pPr>
              <w:framePr w:w="10217" w:h="1894" w:hSpace="94" w:vSpace="763" w:wrap="notBeside" w:vAnchor="text" w:hAnchor="text" w:x="279" w:y="1"/>
              <w:rPr>
                <w:sz w:val="10"/>
                <w:szCs w:val="10"/>
              </w:rPr>
            </w:pP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971DF6" w:rsidRDefault="009B2A9F">
            <w:pPr>
              <w:pStyle w:val="Other10"/>
              <w:framePr w:w="10217" w:h="1894" w:hSpace="94" w:vSpace="763" w:wrap="notBeside" w:vAnchor="text" w:hAnchor="text" w:x="279" w:y="1"/>
              <w:shd w:val="clear" w:color="auto" w:fill="auto"/>
              <w:spacing w:after="0" w:line="240" w:lineRule="auto"/>
              <w:jc w:val="center"/>
              <w:rPr>
                <w:sz w:val="18"/>
                <w:szCs w:val="18"/>
              </w:rPr>
            </w:pPr>
            <w:r>
              <w:rPr>
                <w:rFonts w:ascii="Times New Roman" w:eastAsia="Times New Roman" w:hAnsi="Times New Roman" w:cs="Times New Roman"/>
                <w:b/>
                <w:bCs/>
                <w:sz w:val="18"/>
                <w:szCs w:val="18"/>
              </w:rPr>
              <w:t>1.175.200,-</w:t>
            </w:r>
          </w:p>
        </w:tc>
      </w:tr>
    </w:tbl>
    <w:p w:rsidR="00971DF6" w:rsidRDefault="009B2A9F">
      <w:pPr>
        <w:pStyle w:val="Tablecaption10"/>
        <w:framePr w:w="8208" w:h="612" w:hSpace="184" w:wrap="notBeside" w:vAnchor="text" w:hAnchor="text" w:x="185" w:y="2046"/>
        <w:shd w:val="clear" w:color="auto" w:fill="auto"/>
        <w:spacing w:line="290" w:lineRule="auto"/>
      </w:pPr>
      <w:r>
        <w:t>Ke všem výše uvedeným cenám bude připočtena DPH v platné výši. Další ujednání smluvních stran:</w:t>
      </w:r>
    </w:p>
    <w:p w:rsidR="00971DF6" w:rsidRDefault="009B2A9F">
      <w:pPr>
        <w:pStyle w:val="Tablecaption10"/>
        <w:framePr w:w="8208" w:h="612" w:hSpace="184" w:wrap="notBeside" w:vAnchor="text" w:hAnchor="text" w:x="185" w:y="2046"/>
        <w:shd w:val="clear" w:color="auto" w:fill="auto"/>
        <w:spacing w:line="240" w:lineRule="auto"/>
      </w:pPr>
      <w:r>
        <w:t xml:space="preserve">Způsob úhrady cen - převodem na základě elektronických faktur zasílaných na email </w:t>
      </w:r>
      <w:proofErr w:type="spellStart"/>
      <w:proofErr w:type="gramStart"/>
      <w:r>
        <w:t>zákazníka:</w:t>
      </w:r>
      <w:r w:rsidR="00DB57C9">
        <w:t>xxxxxxxxxxxxxxxxxxxxxxx</w:t>
      </w:r>
      <w:proofErr w:type="spellEnd"/>
      <w:proofErr w:type="gramEnd"/>
    </w:p>
    <w:p w:rsidR="00971DF6" w:rsidRDefault="00DB57C9" w:rsidP="00DB57C9">
      <w:pPr>
        <w:pStyle w:val="Bodytext30"/>
        <w:shd w:val="clear" w:color="auto" w:fill="auto"/>
        <w:ind w:left="0"/>
        <w:jc w:val="left"/>
      </w:pPr>
      <w:r>
        <w:rPr>
          <w:noProof/>
        </w:rPr>
        <mc:AlternateContent>
          <mc:Choice Requires="wps">
            <w:drawing>
              <wp:anchor distT="0" distB="0" distL="0" distR="0" simplePos="0" relativeHeight="251659264" behindDoc="0" locked="0" layoutInCell="1" allowOverlap="1" wp14:anchorId="2C9A4019" wp14:editId="3499BAE0">
                <wp:simplePos x="0" y="0"/>
                <wp:positionH relativeFrom="page">
                  <wp:posOffset>396240</wp:posOffset>
                </wp:positionH>
                <wp:positionV relativeFrom="paragraph">
                  <wp:posOffset>1694815</wp:posOffset>
                </wp:positionV>
                <wp:extent cx="6690360" cy="1706880"/>
                <wp:effectExtent l="0" t="0" r="0" b="0"/>
                <wp:wrapNone/>
                <wp:docPr id="13" name="Shape 13"/>
                <wp:cNvGraphicFramePr/>
                <a:graphic xmlns:a="http://schemas.openxmlformats.org/drawingml/2006/main">
                  <a:graphicData uri="http://schemas.microsoft.com/office/word/2010/wordprocessingShape">
                    <wps:wsp>
                      <wps:cNvSpPr txBox="1"/>
                      <wps:spPr>
                        <a:xfrm>
                          <a:off x="0" y="0"/>
                          <a:ext cx="6690360" cy="1706880"/>
                        </a:xfrm>
                        <a:prstGeom prst="rect">
                          <a:avLst/>
                        </a:prstGeom>
                        <a:noFill/>
                      </wps:spPr>
                      <wps:txbx>
                        <w:txbxContent>
                          <w:p w:rsidR="00DB57C9" w:rsidRDefault="00DB57C9" w:rsidP="00DB57C9">
                            <w:pPr>
                              <w:pStyle w:val="Picturecaption10"/>
                              <w:shd w:val="clear" w:color="auto" w:fill="auto"/>
                              <w:rPr>
                                <w:color w:val="000000"/>
                              </w:rPr>
                            </w:pPr>
                            <w:r>
                              <w:rPr>
                                <w:color w:val="000000"/>
                              </w:rPr>
                              <w:t>V Přerově dne 5.3.2020</w:t>
                            </w:r>
                          </w:p>
                          <w:p w:rsidR="00DB57C9" w:rsidRDefault="00DB57C9" w:rsidP="00DB57C9">
                            <w:pPr>
                              <w:pStyle w:val="Picturecaption10"/>
                              <w:shd w:val="clear" w:color="auto" w:fill="auto"/>
                            </w:pPr>
                          </w:p>
                          <w:p w:rsidR="00DB57C9" w:rsidRDefault="00DB57C9" w:rsidP="00DB57C9">
                            <w:pPr>
                              <w:pStyle w:val="Picturecaption10"/>
                              <w:shd w:val="clear" w:color="auto" w:fill="auto"/>
                            </w:pPr>
                          </w:p>
                          <w:p w:rsidR="00DB57C9" w:rsidRPr="00DB57C9" w:rsidRDefault="00DB57C9" w:rsidP="00DB57C9">
                            <w:pPr>
                              <w:pStyle w:val="Picturecaption10"/>
                              <w:shd w:val="clear" w:color="auto" w:fill="auto"/>
                              <w:rPr>
                                <w:color w:val="000000" w:themeColor="text1"/>
                              </w:rPr>
                            </w:pPr>
                            <w:r w:rsidRPr="00DB57C9">
                              <w:rPr>
                                <w:color w:val="000000" w:themeColor="text1"/>
                              </w:rPr>
                              <w:t>Za Linde Gas a.s.</w:t>
                            </w:r>
                            <w:r>
                              <w:tab/>
                            </w:r>
                            <w:r>
                              <w:tab/>
                            </w:r>
                            <w:r>
                              <w:tab/>
                            </w:r>
                            <w:r>
                              <w:tab/>
                            </w:r>
                            <w:r>
                              <w:tab/>
                            </w:r>
                            <w:r>
                              <w:tab/>
                            </w:r>
                            <w:r>
                              <w:tab/>
                            </w:r>
                            <w:r w:rsidRPr="00DB57C9">
                              <w:rPr>
                                <w:color w:val="000000" w:themeColor="text1"/>
                              </w:rPr>
                              <w:t xml:space="preserve">Za zákazníka: </w:t>
                            </w:r>
                          </w:p>
                          <w:p w:rsidR="00DB57C9" w:rsidRPr="00DB57C9" w:rsidRDefault="00DB57C9" w:rsidP="00DB57C9">
                            <w:pPr>
                              <w:pStyle w:val="Picturecaption10"/>
                              <w:shd w:val="clear" w:color="auto" w:fill="auto"/>
                              <w:rPr>
                                <w:color w:val="000000" w:themeColor="text1"/>
                              </w:rPr>
                            </w:pP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t>MUDr. Radomír Maráček předseda představenstva</w:t>
                            </w:r>
                          </w:p>
                          <w:p w:rsidR="00DB57C9" w:rsidRPr="00DB57C9" w:rsidRDefault="00DB57C9" w:rsidP="00DB57C9">
                            <w:pPr>
                              <w:pStyle w:val="Picturecaption10"/>
                              <w:shd w:val="clear" w:color="auto" w:fill="auto"/>
                              <w:rPr>
                                <w:color w:val="000000" w:themeColor="text1"/>
                              </w:rPr>
                            </w:pP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t>Mgr. Lucie Štěpánková, MBA, členka představenstva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C9A4019" id="_x0000_t202" coordsize="21600,21600" o:spt="202" path="m,l,21600r21600,l21600,xe">
                <v:stroke joinstyle="miter"/>
                <v:path gradientshapeok="t" o:connecttype="rect"/>
              </v:shapetype>
              <v:shape id="Shape 13" o:spid="_x0000_s1026" type="#_x0000_t202" style="position:absolute;margin-left:31.2pt;margin-top:133.45pt;width:526.8pt;height:134.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" filled="f" stroked="f">
                <v:textbox inset="0,0,0,0">
                  <w:txbxContent>
                    <w:p w:rsidR="00DB57C9" w:rsidRDefault="00DB57C9" w:rsidP="00DB57C9">
                      <w:pPr>
                        <w:pStyle w:val="Picturecaption10"/>
                        <w:shd w:val="clear" w:color="auto" w:fill="auto"/>
                        <w:rPr>
                          <w:color w:val="000000"/>
                        </w:rPr>
                      </w:pPr>
                      <w:r>
                        <w:rPr>
                          <w:color w:val="000000"/>
                        </w:rPr>
                        <w:t>V Přerově dne 5.3.2020</w:t>
                      </w:r>
                    </w:p>
                    <w:p w:rsidR="00DB57C9" w:rsidRDefault="00DB57C9" w:rsidP="00DB57C9">
                      <w:pPr>
                        <w:pStyle w:val="Picturecaption10"/>
                        <w:shd w:val="clear" w:color="auto" w:fill="auto"/>
                      </w:pPr>
                    </w:p>
                    <w:p w:rsidR="00DB57C9" w:rsidRDefault="00DB57C9" w:rsidP="00DB57C9">
                      <w:pPr>
                        <w:pStyle w:val="Picturecaption10"/>
                        <w:shd w:val="clear" w:color="auto" w:fill="auto"/>
                      </w:pPr>
                    </w:p>
                    <w:p w:rsidR="00DB57C9" w:rsidRPr="00DB57C9" w:rsidRDefault="00DB57C9" w:rsidP="00DB57C9">
                      <w:pPr>
                        <w:pStyle w:val="Picturecaption10"/>
                        <w:shd w:val="clear" w:color="auto" w:fill="auto"/>
                        <w:rPr>
                          <w:color w:val="000000" w:themeColor="text1"/>
                        </w:rPr>
                      </w:pPr>
                      <w:r w:rsidRPr="00DB57C9">
                        <w:rPr>
                          <w:color w:val="000000" w:themeColor="text1"/>
                        </w:rPr>
                        <w:t xml:space="preserve">Za Linde </w:t>
                      </w:r>
                      <w:proofErr w:type="spellStart"/>
                      <w:r w:rsidRPr="00DB57C9">
                        <w:rPr>
                          <w:color w:val="000000" w:themeColor="text1"/>
                        </w:rPr>
                        <w:t>Gas</w:t>
                      </w:r>
                      <w:proofErr w:type="spellEnd"/>
                      <w:r w:rsidRPr="00DB57C9">
                        <w:rPr>
                          <w:color w:val="000000" w:themeColor="text1"/>
                        </w:rPr>
                        <w:t xml:space="preserve"> a.s.</w:t>
                      </w:r>
                      <w:r>
                        <w:tab/>
                      </w:r>
                      <w:r>
                        <w:tab/>
                      </w:r>
                      <w:r>
                        <w:tab/>
                      </w:r>
                      <w:r>
                        <w:tab/>
                      </w:r>
                      <w:r>
                        <w:tab/>
                      </w:r>
                      <w:r>
                        <w:tab/>
                      </w:r>
                      <w:r>
                        <w:tab/>
                      </w:r>
                      <w:r w:rsidRPr="00DB57C9">
                        <w:rPr>
                          <w:color w:val="000000" w:themeColor="text1"/>
                        </w:rPr>
                        <w:t xml:space="preserve">Za zákazníka: </w:t>
                      </w:r>
                    </w:p>
                    <w:p w:rsidR="00DB57C9" w:rsidRPr="00DB57C9" w:rsidRDefault="00DB57C9" w:rsidP="00DB57C9">
                      <w:pPr>
                        <w:pStyle w:val="Picturecaption10"/>
                        <w:shd w:val="clear" w:color="auto" w:fill="auto"/>
                        <w:rPr>
                          <w:color w:val="000000" w:themeColor="text1"/>
                        </w:rPr>
                      </w:pP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t>MUDr. Radomír Maráček předseda představenstva</w:t>
                      </w:r>
                    </w:p>
                    <w:p w:rsidR="00DB57C9" w:rsidRPr="00DB57C9" w:rsidRDefault="00DB57C9" w:rsidP="00DB57C9">
                      <w:pPr>
                        <w:pStyle w:val="Picturecaption10"/>
                        <w:shd w:val="clear" w:color="auto" w:fill="auto"/>
                        <w:rPr>
                          <w:color w:val="000000" w:themeColor="text1"/>
                        </w:rPr>
                      </w:pP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r>
                      <w:r w:rsidRPr="00DB57C9">
                        <w:rPr>
                          <w:color w:val="000000" w:themeColor="text1"/>
                        </w:rPr>
                        <w:tab/>
                        <w:t>Mgr. Lucie Štěpánková, MBA, členka představenstva</w:t>
                      </w:r>
                    </w:p>
                  </w:txbxContent>
                </v:textbox>
                <w10:wrap anchorx="page"/>
              </v:shape>
            </w:pict>
          </mc:Fallback>
        </mc:AlternateContent>
      </w:r>
      <w:r w:rsidR="009B2A9F">
        <w:br w:type="page"/>
      </w:r>
    </w:p>
    <w:p w:rsidR="00971DF6" w:rsidRDefault="009B2A9F">
      <w:pPr>
        <w:pStyle w:val="Bodytext40"/>
        <w:shd w:val="clear" w:color="auto" w:fill="auto"/>
        <w:ind w:firstLine="780"/>
      </w:pPr>
      <w:r>
        <w:rPr>
          <w:noProof/>
        </w:rPr>
        <w:lastRenderedPageBreak/>
        <mc:AlternateContent>
          <mc:Choice Requires="wps">
            <w:drawing>
              <wp:anchor distT="0" distB="0" distL="114300" distR="114300" simplePos="0" relativeHeight="125829384" behindDoc="0" locked="0" layoutInCell="1" allowOverlap="1">
                <wp:simplePos x="0" y="0"/>
                <wp:positionH relativeFrom="page">
                  <wp:posOffset>6033770</wp:posOffset>
                </wp:positionH>
                <wp:positionV relativeFrom="paragraph">
                  <wp:posOffset>12700</wp:posOffset>
                </wp:positionV>
                <wp:extent cx="658495" cy="17399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658495" cy="173990"/>
                        </a:xfrm>
                        <a:prstGeom prst="rect">
                          <a:avLst/>
                        </a:prstGeom>
                        <a:noFill/>
                      </wps:spPr>
                      <wps:txbx>
                        <w:txbxContent>
                          <w:p w:rsidR="009B2A9F" w:rsidRDefault="009B2A9F">
                            <w:pPr>
                              <w:pStyle w:val="Bodytext40"/>
                              <w:shd w:val="clear" w:color="auto" w:fill="auto"/>
                              <w:spacing w:after="0"/>
                              <w:ind w:firstLine="0"/>
                            </w:pPr>
                            <w:r>
                              <w:t>Příloha č. 1</w:t>
                            </w:r>
                          </w:p>
                        </w:txbxContent>
                      </wps:txbx>
                      <wps:bodyPr wrap="none" lIns="0" tIns="0" rIns="0" bIns="0"/>
                    </wps:wsp>
                  </a:graphicData>
                </a:graphic>
              </wp:anchor>
            </w:drawing>
          </mc:Choice>
          <mc:Fallback>
            <w:pict>
              <v:shape id="Shape 21" o:spid="_x0000_s1027" type="#_x0000_t202" style="position:absolute;left:0;text-align:left;margin-left:475.1pt;margin-top:1pt;width:51.85pt;height:13.7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" filled="f" stroked="f">
                <v:textbox inset="0,0,0,0">
                  <w:txbxContent>
                    <w:p w:rsidR="009B2A9F" w:rsidRDefault="009B2A9F">
                      <w:pPr>
                        <w:pStyle w:val="Bodytext40"/>
                        <w:shd w:val="clear" w:color="auto" w:fill="auto"/>
                        <w:spacing w:after="0"/>
                        <w:ind w:firstLine="0"/>
                      </w:pPr>
                      <w:r>
                        <w:t>Příloha č. 1</w:t>
                      </w:r>
                    </w:p>
                  </w:txbxContent>
                </v:textbox>
                <w10:wrap type="square" side="left" anchorx="page"/>
              </v:shape>
            </w:pict>
          </mc:Fallback>
        </mc:AlternateContent>
      </w:r>
      <w:r>
        <w:t>Krajská nemocnice T. Bati, a. s.</w:t>
      </w:r>
    </w:p>
    <w:p w:rsidR="00971DF6" w:rsidRDefault="009B2A9F">
      <w:pPr>
        <w:pStyle w:val="Heading110"/>
        <w:keepNext/>
        <w:keepLines/>
        <w:shd w:val="clear" w:color="auto" w:fill="auto"/>
      </w:pPr>
      <w:bookmarkStart w:id="1" w:name="bookmark2"/>
      <w:bookmarkStart w:id="2" w:name="bookmark3"/>
      <w:r>
        <w:t>Cenová nabídka</w:t>
      </w:r>
      <w:bookmarkEnd w:id="1"/>
      <w:bookmarkEnd w:id="2"/>
    </w:p>
    <w:p w:rsidR="00971DF6" w:rsidRDefault="009B2A9F">
      <w:pPr>
        <w:pStyle w:val="Heading210"/>
        <w:keepNext/>
        <w:keepLines/>
        <w:shd w:val="clear" w:color="auto" w:fill="auto"/>
        <w:ind w:firstLine="0"/>
        <w:jc w:val="center"/>
      </w:pPr>
      <w:bookmarkStart w:id="3" w:name="bookmark4"/>
      <w:bookmarkStart w:id="4" w:name="bookmark5"/>
      <w:r>
        <w:t>na dodávky medicinálních a technických plynů včetně pronájmu lahví</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655"/>
        <w:gridCol w:w="3103"/>
        <w:gridCol w:w="1433"/>
        <w:gridCol w:w="1282"/>
        <w:gridCol w:w="1094"/>
        <w:gridCol w:w="1886"/>
      </w:tblGrid>
      <w:tr w:rsidR="00971DF6">
        <w:trPr>
          <w:trHeight w:hRule="exact" w:val="338"/>
          <w:jc w:val="center"/>
        </w:trPr>
        <w:tc>
          <w:tcPr>
            <w:tcW w:w="655" w:type="dxa"/>
            <w:vMerge w:val="restart"/>
            <w:tcBorders>
              <w:top w:val="single" w:sz="4" w:space="0" w:color="auto"/>
              <w:left w:val="single" w:sz="4" w:space="0" w:color="auto"/>
            </w:tcBorders>
            <w:shd w:val="clear" w:color="auto" w:fill="FFFFFF"/>
            <w:vAlign w:val="center"/>
          </w:tcPr>
          <w:p w:rsidR="00971DF6" w:rsidRDefault="009B2A9F">
            <w:pPr>
              <w:pStyle w:val="Other10"/>
              <w:shd w:val="clear" w:color="auto" w:fill="auto"/>
              <w:spacing w:after="0" w:line="240" w:lineRule="auto"/>
              <w:ind w:firstLine="300"/>
              <w:rPr>
                <w:sz w:val="20"/>
                <w:szCs w:val="20"/>
              </w:rPr>
            </w:pPr>
            <w:r>
              <w:rPr>
                <w:sz w:val="20"/>
                <w:szCs w:val="20"/>
              </w:rPr>
              <w:t>Pol.</w:t>
            </w:r>
          </w:p>
        </w:tc>
        <w:tc>
          <w:tcPr>
            <w:tcW w:w="3103" w:type="dxa"/>
            <w:vMerge w:val="restart"/>
            <w:tcBorders>
              <w:top w:val="single" w:sz="4" w:space="0" w:color="auto"/>
              <w:left w:val="single" w:sz="4" w:space="0" w:color="auto"/>
            </w:tcBorders>
            <w:shd w:val="clear" w:color="auto" w:fill="FFFFFF"/>
            <w:vAlign w:val="center"/>
          </w:tcPr>
          <w:p w:rsidR="00971DF6" w:rsidRDefault="009B2A9F">
            <w:pPr>
              <w:pStyle w:val="Other10"/>
              <w:shd w:val="clear" w:color="auto" w:fill="auto"/>
              <w:spacing w:after="0" w:line="240" w:lineRule="auto"/>
              <w:ind w:firstLine="320"/>
              <w:rPr>
                <w:sz w:val="20"/>
                <w:szCs w:val="20"/>
              </w:rPr>
            </w:pPr>
            <w:r>
              <w:rPr>
                <w:sz w:val="20"/>
                <w:szCs w:val="20"/>
              </w:rPr>
              <w:t>Specifikace předmětu plnění</w:t>
            </w:r>
          </w:p>
        </w:tc>
        <w:tc>
          <w:tcPr>
            <w:tcW w:w="1433" w:type="dxa"/>
            <w:vMerge w:val="restart"/>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83" w:lineRule="auto"/>
              <w:jc w:val="center"/>
              <w:rPr>
                <w:sz w:val="20"/>
                <w:szCs w:val="20"/>
              </w:rPr>
            </w:pPr>
            <w:r>
              <w:rPr>
                <w:sz w:val="20"/>
                <w:szCs w:val="20"/>
              </w:rPr>
              <w:t xml:space="preserve">Typ </w:t>
            </w:r>
            <w:proofErr w:type="gramStart"/>
            <w:r>
              <w:rPr>
                <w:sz w:val="20"/>
                <w:szCs w:val="20"/>
              </w:rPr>
              <w:t>obalu - měrná</w:t>
            </w:r>
            <w:proofErr w:type="gramEnd"/>
            <w:r>
              <w:rPr>
                <w:sz w:val="20"/>
                <w:szCs w:val="20"/>
              </w:rPr>
              <w:t xml:space="preserve"> jednotka</w:t>
            </w:r>
          </w:p>
        </w:tc>
        <w:tc>
          <w:tcPr>
            <w:tcW w:w="1282" w:type="dxa"/>
            <w:vMerge w:val="restart"/>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86" w:lineRule="auto"/>
              <w:ind w:firstLine="420"/>
              <w:jc w:val="both"/>
              <w:rPr>
                <w:sz w:val="20"/>
                <w:szCs w:val="20"/>
              </w:rPr>
            </w:pPr>
            <w:r>
              <w:rPr>
                <w:sz w:val="20"/>
                <w:szCs w:val="20"/>
              </w:rPr>
              <w:t>Počet</w:t>
            </w:r>
          </w:p>
          <w:p w:rsidR="00971DF6" w:rsidRDefault="009B2A9F">
            <w:pPr>
              <w:pStyle w:val="Other10"/>
              <w:shd w:val="clear" w:color="auto" w:fill="auto"/>
              <w:spacing w:after="0" w:line="286" w:lineRule="auto"/>
              <w:jc w:val="center"/>
              <w:rPr>
                <w:sz w:val="20"/>
                <w:szCs w:val="20"/>
              </w:rPr>
            </w:pPr>
            <w:r>
              <w:rPr>
                <w:sz w:val="20"/>
                <w:szCs w:val="20"/>
              </w:rPr>
              <w:t>náplní za jeden rok</w:t>
            </w:r>
          </w:p>
        </w:tc>
        <w:tc>
          <w:tcPr>
            <w:tcW w:w="2980" w:type="dxa"/>
            <w:gridSpan w:val="2"/>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Nabídková cena v Kč bez DPH</w:t>
            </w:r>
          </w:p>
        </w:tc>
      </w:tr>
      <w:tr w:rsidR="00971DF6">
        <w:trPr>
          <w:trHeight w:hRule="exact" w:val="814"/>
          <w:jc w:val="center"/>
        </w:trPr>
        <w:tc>
          <w:tcPr>
            <w:tcW w:w="655" w:type="dxa"/>
            <w:vMerge/>
            <w:tcBorders>
              <w:left w:val="single" w:sz="4" w:space="0" w:color="auto"/>
            </w:tcBorders>
            <w:shd w:val="clear" w:color="auto" w:fill="FFFFFF"/>
            <w:vAlign w:val="center"/>
          </w:tcPr>
          <w:p w:rsidR="00971DF6" w:rsidRDefault="00971DF6"/>
        </w:tc>
        <w:tc>
          <w:tcPr>
            <w:tcW w:w="3103" w:type="dxa"/>
            <w:vMerge/>
            <w:tcBorders>
              <w:left w:val="single" w:sz="4" w:space="0" w:color="auto"/>
            </w:tcBorders>
            <w:shd w:val="clear" w:color="auto" w:fill="FFFFFF"/>
            <w:vAlign w:val="center"/>
          </w:tcPr>
          <w:p w:rsidR="00971DF6" w:rsidRDefault="00971DF6"/>
        </w:tc>
        <w:tc>
          <w:tcPr>
            <w:tcW w:w="1433" w:type="dxa"/>
            <w:vMerge/>
            <w:tcBorders>
              <w:left w:val="single" w:sz="4" w:space="0" w:color="auto"/>
            </w:tcBorders>
            <w:shd w:val="clear" w:color="auto" w:fill="FFFFFF"/>
            <w:vAlign w:val="bottom"/>
          </w:tcPr>
          <w:p w:rsidR="00971DF6" w:rsidRDefault="00971DF6"/>
        </w:tc>
        <w:tc>
          <w:tcPr>
            <w:tcW w:w="1282" w:type="dxa"/>
            <w:vMerge/>
            <w:tcBorders>
              <w:left w:val="single" w:sz="4" w:space="0" w:color="auto"/>
            </w:tcBorders>
            <w:shd w:val="clear" w:color="auto" w:fill="FFFFFF"/>
            <w:vAlign w:val="bottom"/>
          </w:tcPr>
          <w:p w:rsidR="00971DF6" w:rsidRDefault="00971DF6"/>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83" w:lineRule="auto"/>
              <w:jc w:val="center"/>
              <w:rPr>
                <w:sz w:val="20"/>
                <w:szCs w:val="20"/>
              </w:rPr>
            </w:pPr>
            <w:r>
              <w:rPr>
                <w:sz w:val="20"/>
                <w:szCs w:val="20"/>
              </w:rPr>
              <w:t>Za měrnou jednotku</w:t>
            </w:r>
          </w:p>
        </w:tc>
        <w:tc>
          <w:tcPr>
            <w:tcW w:w="1886"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jc w:val="center"/>
              <w:rPr>
                <w:sz w:val="20"/>
                <w:szCs w:val="20"/>
              </w:rPr>
            </w:pPr>
            <w:r>
              <w:rPr>
                <w:sz w:val="20"/>
                <w:szCs w:val="20"/>
              </w:rPr>
              <w:t>Za orientační množství</w:t>
            </w:r>
          </w:p>
        </w:tc>
      </w:tr>
      <w:tr w:rsidR="00971DF6">
        <w:trPr>
          <w:trHeight w:hRule="exact" w:val="288"/>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sz w:val="20"/>
                <w:szCs w:val="20"/>
              </w:rPr>
              <w:t>1.</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Kyslík medicinální 0,8 m3</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620"/>
              <w:rPr>
                <w:sz w:val="20"/>
                <w:szCs w:val="20"/>
              </w:rPr>
            </w:pPr>
            <w:r>
              <w:rPr>
                <w:sz w:val="20"/>
                <w:szCs w:val="20"/>
              </w:rPr>
              <w:t xml:space="preserve">3 </w:t>
            </w:r>
            <w:r>
              <w:rPr>
                <w:sz w:val="20"/>
                <w:szCs w:val="20"/>
                <w:lang w:val="en-US" w:eastAsia="en-US" w:bidi="en-US"/>
              </w:rPr>
              <w:t>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30</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839</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left="1100"/>
              <w:rPr>
                <w:sz w:val="20"/>
                <w:szCs w:val="20"/>
              </w:rPr>
            </w:pPr>
            <w:r>
              <w:rPr>
                <w:sz w:val="20"/>
                <w:szCs w:val="20"/>
              </w:rPr>
              <w:t>25170</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sz w:val="20"/>
                <w:szCs w:val="20"/>
              </w:rPr>
              <w:t>2.</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Kyslík medicinální 1,5 m3</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20"/>
              <w:rPr>
                <w:sz w:val="20"/>
                <w:szCs w:val="20"/>
              </w:rPr>
            </w:pPr>
            <w:r>
              <w:rPr>
                <w:sz w:val="20"/>
                <w:szCs w:val="20"/>
              </w:rPr>
              <w:t xml:space="preserve">10 </w:t>
            </w:r>
            <w:r>
              <w:rPr>
                <w:sz w:val="20"/>
                <w:szCs w:val="20"/>
                <w:lang w:val="en-US" w:eastAsia="en-US" w:bidi="en-US"/>
              </w:rPr>
              <w:t>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600"/>
              <w:jc w:val="both"/>
              <w:rPr>
                <w:sz w:val="20"/>
                <w:szCs w:val="20"/>
              </w:rPr>
            </w:pPr>
            <w:r>
              <w:rPr>
                <w:sz w:val="20"/>
                <w:szCs w:val="20"/>
              </w:rPr>
              <w:t>7</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1486</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left="1100"/>
              <w:rPr>
                <w:sz w:val="20"/>
                <w:szCs w:val="20"/>
              </w:rPr>
            </w:pPr>
            <w:r>
              <w:rPr>
                <w:sz w:val="20"/>
                <w:szCs w:val="20"/>
              </w:rPr>
              <w:t>10402</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sz w:val="20"/>
                <w:szCs w:val="20"/>
              </w:rPr>
              <w:t>3.</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Kyslík medicinální 10,8 m2</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20"/>
              <w:rPr>
                <w:sz w:val="20"/>
                <w:szCs w:val="20"/>
              </w:rPr>
            </w:pPr>
            <w:r>
              <w:rPr>
                <w:sz w:val="20"/>
                <w:szCs w:val="20"/>
              </w:rPr>
              <w:t xml:space="preserve">50 </w:t>
            </w:r>
            <w:r>
              <w:rPr>
                <w:sz w:val="20"/>
                <w:szCs w:val="20"/>
                <w:lang w:val="en-US" w:eastAsia="en-US" w:bidi="en-US"/>
              </w:rPr>
              <w:t>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4</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2246</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left="1100"/>
              <w:rPr>
                <w:sz w:val="20"/>
                <w:szCs w:val="20"/>
              </w:rPr>
            </w:pPr>
            <w:r>
              <w:rPr>
                <w:sz w:val="20"/>
                <w:szCs w:val="20"/>
              </w:rPr>
              <w:t>8984</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sz w:val="20"/>
                <w:szCs w:val="20"/>
              </w:rPr>
              <w:t>4.</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Kyslík medicinální LIV</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20"/>
              <w:rPr>
                <w:sz w:val="20"/>
                <w:szCs w:val="20"/>
              </w:rPr>
            </w:pPr>
            <w:r>
              <w:rPr>
                <w:sz w:val="20"/>
                <w:szCs w:val="20"/>
              </w:rPr>
              <w:t xml:space="preserve">2 </w:t>
            </w:r>
            <w:r>
              <w:rPr>
                <w:sz w:val="20"/>
                <w:szCs w:val="20"/>
                <w:lang w:val="en-US" w:eastAsia="en-US" w:bidi="en-US"/>
              </w:rPr>
              <w:t>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1400</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550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left="1020"/>
              <w:rPr>
                <w:sz w:val="20"/>
                <w:szCs w:val="20"/>
              </w:rPr>
            </w:pPr>
            <w:r>
              <w:rPr>
                <w:sz w:val="20"/>
                <w:szCs w:val="20"/>
              </w:rPr>
              <w:t>770000</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sz w:val="20"/>
                <w:szCs w:val="20"/>
              </w:rPr>
              <w:t>5.</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Kyslík medicinální LIV</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20"/>
              <w:rPr>
                <w:sz w:val="20"/>
                <w:szCs w:val="20"/>
              </w:rPr>
            </w:pPr>
            <w:r>
              <w:rPr>
                <w:sz w:val="20"/>
                <w:szCs w:val="20"/>
                <w:lang w:val="en-US" w:eastAsia="en-US" w:bidi="en-US"/>
              </w:rPr>
              <w:t>10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90</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1486</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left="1020"/>
              <w:rPr>
                <w:sz w:val="20"/>
                <w:szCs w:val="20"/>
              </w:rPr>
            </w:pPr>
            <w:r>
              <w:rPr>
                <w:sz w:val="20"/>
                <w:szCs w:val="20"/>
              </w:rPr>
              <w:t>133740</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sz w:val="20"/>
                <w:szCs w:val="20"/>
              </w:rPr>
              <w:t>6.</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Kyslík kapalný medicinální</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lang w:val="en-US" w:eastAsia="en-US" w:bidi="en-US"/>
              </w:rPr>
              <w:t>kg</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280"/>
              <w:rPr>
                <w:sz w:val="20"/>
                <w:szCs w:val="20"/>
              </w:rPr>
            </w:pPr>
            <w:r>
              <w:rPr>
                <w:sz w:val="20"/>
                <w:szCs w:val="20"/>
              </w:rPr>
              <w:t>240000</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11,40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2736000</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sz w:val="20"/>
                <w:szCs w:val="20"/>
              </w:rPr>
              <w:t>7.</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Oxid dusný</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30 kg</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13</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6228</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80964</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sz w:val="20"/>
                <w:szCs w:val="20"/>
              </w:rPr>
              <w:t>8.</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Oxid dusný</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7,5 kg</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10</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3248</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32480</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300"/>
              <w:rPr>
                <w:sz w:val="20"/>
                <w:szCs w:val="20"/>
              </w:rPr>
            </w:pPr>
            <w:r>
              <w:rPr>
                <w:b/>
                <w:bCs/>
                <w:sz w:val="20"/>
                <w:szCs w:val="20"/>
              </w:rPr>
              <w:t>9.</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proofErr w:type="spellStart"/>
            <w:r>
              <w:rPr>
                <w:sz w:val="20"/>
                <w:szCs w:val="20"/>
              </w:rPr>
              <w:t>Entonox</w:t>
            </w:r>
            <w:proofErr w:type="spellEnd"/>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lang w:val="en-US" w:eastAsia="en-US" w:bidi="en-US"/>
              </w:rPr>
              <w:t>5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3</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4900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14700</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10.</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Vzduch medicinální syntetický</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lang w:val="en-US" w:eastAsia="en-US" w:bidi="en-US"/>
              </w:rPr>
              <w:t>50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2</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5280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10560</w:t>
            </w:r>
          </w:p>
        </w:tc>
      </w:tr>
      <w:tr w:rsidR="00971DF6">
        <w:trPr>
          <w:trHeight w:hRule="exact" w:val="288"/>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11.</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Vzduch medicinální syntetický</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lang w:val="en-US" w:eastAsia="en-US" w:bidi="en-US"/>
              </w:rPr>
              <w:t>3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20</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1402</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28040</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12.</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 xml:space="preserve">Dusík kapalný v </w:t>
            </w:r>
            <w:proofErr w:type="spellStart"/>
            <w:r>
              <w:rPr>
                <w:sz w:val="20"/>
                <w:szCs w:val="20"/>
                <w:lang w:val="en-US" w:eastAsia="en-US" w:bidi="en-US"/>
              </w:rPr>
              <w:t>Dewart</w:t>
            </w:r>
            <w:proofErr w:type="spellEnd"/>
            <w:r>
              <w:rPr>
                <w:sz w:val="20"/>
                <w:szCs w:val="20"/>
                <w:lang w:val="en-US" w:eastAsia="en-US" w:bidi="en-US"/>
              </w:rPr>
              <w:t>.</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lang w:val="en-US" w:eastAsia="en-US" w:bidi="en-US"/>
              </w:rPr>
              <w:t>kg</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140</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41,30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5782</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13.</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Oxid dusnatý</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lang w:val="en-US" w:eastAsia="en-US" w:bidi="en-US"/>
              </w:rPr>
              <w:t>10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6</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59600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357600</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14.</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Dusík 5.0</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40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3</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rPr>
                <w:sz w:val="20"/>
                <w:szCs w:val="20"/>
              </w:rPr>
            </w:pPr>
            <w:r>
              <w:rPr>
                <w:sz w:val="20"/>
                <w:szCs w:val="20"/>
              </w:rPr>
              <w:t>3558</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10674</w:t>
            </w:r>
          </w:p>
        </w:tc>
      </w:tr>
      <w:tr w:rsidR="00971DF6">
        <w:trPr>
          <w:trHeight w:hRule="exact" w:val="288"/>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15.</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Oxid uhličitý medicinální</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20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2</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4450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8900</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18.</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Oxid uhličitý medicinální</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7,5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23</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rPr>
                <w:sz w:val="20"/>
                <w:szCs w:val="20"/>
              </w:rPr>
            </w:pPr>
            <w:r>
              <w:rPr>
                <w:sz w:val="20"/>
                <w:szCs w:val="20"/>
              </w:rPr>
              <w:t>1850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42550</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19.</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Oxid uhličitý medicinální</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1,5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4</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rPr>
                <w:sz w:val="20"/>
                <w:szCs w:val="20"/>
              </w:rPr>
            </w:pPr>
            <w:r>
              <w:rPr>
                <w:sz w:val="20"/>
                <w:szCs w:val="20"/>
              </w:rPr>
              <w:t>1700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6800</w:t>
            </w:r>
          </w:p>
        </w:tc>
      </w:tr>
      <w:tr w:rsidR="00971DF6">
        <w:trPr>
          <w:trHeight w:hRule="exact" w:val="288"/>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20.</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Kalibr, směs CO-He-</w:t>
            </w:r>
            <w:proofErr w:type="spellStart"/>
            <w:r>
              <w:rPr>
                <w:sz w:val="20"/>
                <w:szCs w:val="20"/>
              </w:rPr>
              <w:t>synt</w:t>
            </w:r>
            <w:proofErr w:type="spellEnd"/>
            <w:r>
              <w:rPr>
                <w:sz w:val="20"/>
                <w:szCs w:val="20"/>
              </w:rPr>
              <w:t>. vzduch</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10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5</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rPr>
                <w:sz w:val="20"/>
                <w:szCs w:val="20"/>
              </w:rPr>
            </w:pPr>
            <w:r>
              <w:rPr>
                <w:sz w:val="20"/>
                <w:szCs w:val="20"/>
              </w:rPr>
              <w:t>6479</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32395</w:t>
            </w:r>
          </w:p>
        </w:tc>
      </w:tr>
      <w:tr w:rsidR="00971DF6">
        <w:trPr>
          <w:trHeight w:hRule="exact" w:val="266"/>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21.</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Kalibr, směs H2-CO2-N2</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50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4</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rPr>
                <w:sz w:val="20"/>
                <w:szCs w:val="20"/>
              </w:rPr>
            </w:pPr>
            <w:r>
              <w:rPr>
                <w:sz w:val="20"/>
                <w:szCs w:val="20"/>
              </w:rPr>
              <w:t>7790</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31160</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22.</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Kalibr, směs CO2-O2-N2</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2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jc w:val="both"/>
              <w:rPr>
                <w:sz w:val="20"/>
                <w:szCs w:val="20"/>
              </w:rPr>
            </w:pPr>
            <w:r>
              <w:rPr>
                <w:sz w:val="20"/>
                <w:szCs w:val="20"/>
              </w:rPr>
              <w:t>2</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9115</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18230</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23.</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Acetylen</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8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rPr>
                <w:sz w:val="20"/>
                <w:szCs w:val="20"/>
              </w:rPr>
            </w:pPr>
            <w:r>
              <w:rPr>
                <w:sz w:val="20"/>
                <w:szCs w:val="20"/>
              </w:rPr>
              <w:t>2</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2262</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4524</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24.</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Oxid uhličitý pro svařování</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40"/>
              <w:rPr>
                <w:sz w:val="20"/>
                <w:szCs w:val="20"/>
              </w:rPr>
            </w:pPr>
            <w:r>
              <w:rPr>
                <w:sz w:val="20"/>
                <w:szCs w:val="20"/>
                <w:lang w:val="en-US" w:eastAsia="en-US" w:bidi="en-US"/>
              </w:rPr>
              <w:t>20 It</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rPr>
                <w:sz w:val="20"/>
                <w:szCs w:val="20"/>
              </w:rPr>
            </w:pPr>
            <w:r>
              <w:rPr>
                <w:sz w:val="20"/>
                <w:szCs w:val="20"/>
              </w:rPr>
              <w:t>2</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714</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1428</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25.</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Silniční poplatek 02 kapalina</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20"/>
              <w:rPr>
                <w:sz w:val="20"/>
                <w:szCs w:val="20"/>
              </w:rPr>
            </w:pPr>
            <w:r>
              <w:rPr>
                <w:sz w:val="20"/>
                <w:szCs w:val="20"/>
                <w:lang w:val="en-US" w:eastAsia="en-US" w:bidi="en-US"/>
              </w:rPr>
              <w:t>kg</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220"/>
              <w:rPr>
                <w:sz w:val="20"/>
                <w:szCs w:val="20"/>
              </w:rPr>
            </w:pPr>
            <w:r>
              <w:rPr>
                <w:sz w:val="20"/>
                <w:szCs w:val="20"/>
              </w:rPr>
              <w:t>240000</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00"/>
              <w:rPr>
                <w:sz w:val="20"/>
                <w:szCs w:val="20"/>
              </w:rPr>
            </w:pPr>
            <w:r>
              <w:rPr>
                <w:sz w:val="20"/>
                <w:szCs w:val="20"/>
              </w:rPr>
              <w:t>0,45</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140"/>
              <w:jc w:val="right"/>
              <w:rPr>
                <w:sz w:val="20"/>
                <w:szCs w:val="20"/>
              </w:rPr>
            </w:pPr>
            <w:r>
              <w:rPr>
                <w:sz w:val="20"/>
                <w:szCs w:val="20"/>
              </w:rPr>
              <w:t>108000</w:t>
            </w:r>
          </w:p>
        </w:tc>
      </w:tr>
      <w:tr w:rsidR="00971DF6">
        <w:trPr>
          <w:trHeight w:hRule="exact" w:val="281"/>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sz w:val="20"/>
                <w:szCs w:val="20"/>
              </w:rPr>
              <w:t>26.</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Silniční poplatek lahve</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520"/>
              <w:rPr>
                <w:sz w:val="20"/>
                <w:szCs w:val="20"/>
              </w:rPr>
            </w:pPr>
            <w:proofErr w:type="spellStart"/>
            <w:r>
              <w:rPr>
                <w:sz w:val="20"/>
                <w:szCs w:val="20"/>
                <w:lang w:val="en-US" w:eastAsia="en-US" w:bidi="en-US"/>
              </w:rPr>
              <w:t>ks</w:t>
            </w:r>
            <w:proofErr w:type="spellEnd"/>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280"/>
              <w:rPr>
                <w:sz w:val="20"/>
                <w:szCs w:val="20"/>
              </w:rPr>
            </w:pPr>
            <w:r>
              <w:rPr>
                <w:sz w:val="20"/>
                <w:szCs w:val="20"/>
              </w:rPr>
              <w:t>1638</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45</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left="1020"/>
              <w:rPr>
                <w:sz w:val="20"/>
                <w:szCs w:val="20"/>
              </w:rPr>
            </w:pPr>
            <w:r>
              <w:rPr>
                <w:sz w:val="20"/>
                <w:szCs w:val="20"/>
              </w:rPr>
              <w:t>73710</w:t>
            </w:r>
          </w:p>
        </w:tc>
      </w:tr>
      <w:tr w:rsidR="00971DF6">
        <w:trPr>
          <w:trHeight w:hRule="exact" w:val="274"/>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sz w:val="20"/>
                <w:szCs w:val="20"/>
              </w:rPr>
              <w:t>27.</w:t>
            </w:r>
          </w:p>
        </w:tc>
        <w:tc>
          <w:tcPr>
            <w:tcW w:w="310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sz w:val="20"/>
                <w:szCs w:val="20"/>
              </w:rPr>
              <w:t>Poplatek ADR kapalina</w:t>
            </w:r>
          </w:p>
        </w:tc>
        <w:tc>
          <w:tcPr>
            <w:tcW w:w="143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260"/>
              <w:rPr>
                <w:sz w:val="20"/>
                <w:szCs w:val="20"/>
              </w:rPr>
            </w:pPr>
            <w:r>
              <w:rPr>
                <w:sz w:val="20"/>
                <w:szCs w:val="20"/>
              </w:rPr>
              <w:t>cisterna</w:t>
            </w:r>
          </w:p>
        </w:tc>
        <w:tc>
          <w:tcPr>
            <w:tcW w:w="1282"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420"/>
              <w:jc w:val="both"/>
              <w:rPr>
                <w:sz w:val="20"/>
                <w:szCs w:val="20"/>
              </w:rPr>
            </w:pPr>
            <w:r>
              <w:rPr>
                <w:sz w:val="20"/>
                <w:szCs w:val="20"/>
              </w:rPr>
              <w:t>14</w:t>
            </w:r>
          </w:p>
        </w:tc>
        <w:tc>
          <w:tcPr>
            <w:tcW w:w="109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right"/>
              <w:rPr>
                <w:sz w:val="20"/>
                <w:szCs w:val="20"/>
              </w:rPr>
            </w:pPr>
            <w:r>
              <w:rPr>
                <w:sz w:val="20"/>
                <w:szCs w:val="20"/>
              </w:rPr>
              <w:t>3335</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left="1020"/>
              <w:rPr>
                <w:sz w:val="20"/>
                <w:szCs w:val="20"/>
              </w:rPr>
            </w:pPr>
            <w:r>
              <w:rPr>
                <w:sz w:val="20"/>
                <w:szCs w:val="20"/>
              </w:rPr>
              <w:t>46690</w:t>
            </w:r>
          </w:p>
        </w:tc>
      </w:tr>
      <w:tr w:rsidR="00971DF6">
        <w:trPr>
          <w:trHeight w:hRule="exact" w:val="295"/>
          <w:jc w:val="center"/>
        </w:trPr>
        <w:tc>
          <w:tcPr>
            <w:tcW w:w="655"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160"/>
              <w:rPr>
                <w:sz w:val="20"/>
                <w:szCs w:val="20"/>
              </w:rPr>
            </w:pPr>
            <w:r>
              <w:rPr>
                <w:b/>
                <w:bCs/>
                <w:sz w:val="20"/>
                <w:szCs w:val="20"/>
              </w:rPr>
              <w:t>28.</w:t>
            </w:r>
          </w:p>
        </w:tc>
        <w:tc>
          <w:tcPr>
            <w:tcW w:w="3103"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20"/>
                <w:szCs w:val="20"/>
              </w:rPr>
            </w:pPr>
            <w:r>
              <w:rPr>
                <w:sz w:val="20"/>
                <w:szCs w:val="20"/>
              </w:rPr>
              <w:t>Poplatek ADR lahve</w:t>
            </w:r>
          </w:p>
        </w:tc>
        <w:tc>
          <w:tcPr>
            <w:tcW w:w="1433"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ind w:firstLine="520"/>
              <w:rPr>
                <w:sz w:val="20"/>
                <w:szCs w:val="20"/>
              </w:rPr>
            </w:pPr>
            <w:proofErr w:type="spellStart"/>
            <w:r>
              <w:rPr>
                <w:sz w:val="20"/>
                <w:szCs w:val="20"/>
                <w:lang w:val="en-US" w:eastAsia="en-US" w:bidi="en-US"/>
              </w:rPr>
              <w:t>ks</w:t>
            </w:r>
            <w:proofErr w:type="spellEnd"/>
          </w:p>
        </w:tc>
        <w:tc>
          <w:tcPr>
            <w:tcW w:w="1282"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ind w:firstLine="280"/>
              <w:rPr>
                <w:sz w:val="20"/>
                <w:szCs w:val="20"/>
              </w:rPr>
            </w:pPr>
            <w:r>
              <w:rPr>
                <w:sz w:val="20"/>
                <w:szCs w:val="20"/>
              </w:rPr>
              <w:t>1638</w:t>
            </w:r>
          </w:p>
        </w:tc>
        <w:tc>
          <w:tcPr>
            <w:tcW w:w="1094"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right"/>
              <w:rPr>
                <w:sz w:val="20"/>
                <w:szCs w:val="20"/>
              </w:rPr>
            </w:pPr>
            <w:r>
              <w:rPr>
                <w:sz w:val="20"/>
                <w:szCs w:val="20"/>
              </w:rPr>
              <w:t>72</w:t>
            </w:r>
          </w:p>
        </w:tc>
        <w:tc>
          <w:tcPr>
            <w:tcW w:w="1886"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ind w:firstLine="920"/>
              <w:rPr>
                <w:sz w:val="20"/>
                <w:szCs w:val="20"/>
              </w:rPr>
            </w:pPr>
            <w:r>
              <w:rPr>
                <w:sz w:val="20"/>
                <w:szCs w:val="20"/>
              </w:rPr>
              <w:t>117936</w:t>
            </w:r>
          </w:p>
        </w:tc>
      </w:tr>
      <w:tr w:rsidR="00971DF6">
        <w:trPr>
          <w:trHeight w:hRule="exact" w:val="302"/>
          <w:jc w:val="center"/>
        </w:trPr>
        <w:tc>
          <w:tcPr>
            <w:tcW w:w="7567" w:type="dxa"/>
            <w:gridSpan w:val="5"/>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b/>
                <w:bCs/>
                <w:sz w:val="20"/>
                <w:szCs w:val="20"/>
              </w:rPr>
              <w:t>Celkem cena bez DPH</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220"/>
              <w:jc w:val="right"/>
              <w:rPr>
                <w:sz w:val="20"/>
                <w:szCs w:val="20"/>
              </w:rPr>
            </w:pPr>
            <w:r>
              <w:rPr>
                <w:b/>
                <w:bCs/>
                <w:sz w:val="20"/>
                <w:szCs w:val="20"/>
              </w:rPr>
              <w:t>4717419</w:t>
            </w:r>
          </w:p>
        </w:tc>
      </w:tr>
      <w:tr w:rsidR="00971DF6">
        <w:trPr>
          <w:trHeight w:hRule="exact" w:val="295"/>
          <w:jc w:val="center"/>
        </w:trPr>
        <w:tc>
          <w:tcPr>
            <w:tcW w:w="7567" w:type="dxa"/>
            <w:gridSpan w:val="5"/>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b/>
                <w:bCs/>
                <w:sz w:val="20"/>
                <w:szCs w:val="20"/>
              </w:rPr>
              <w:t>DPH 15 %</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right="220"/>
              <w:jc w:val="right"/>
              <w:rPr>
                <w:sz w:val="20"/>
                <w:szCs w:val="20"/>
              </w:rPr>
            </w:pPr>
            <w:r>
              <w:rPr>
                <w:b/>
                <w:bCs/>
                <w:sz w:val="20"/>
                <w:szCs w:val="20"/>
              </w:rPr>
              <w:t>682421,55</w:t>
            </w:r>
          </w:p>
        </w:tc>
      </w:tr>
      <w:tr w:rsidR="00971DF6">
        <w:trPr>
          <w:trHeight w:hRule="exact" w:val="302"/>
          <w:jc w:val="center"/>
        </w:trPr>
        <w:tc>
          <w:tcPr>
            <w:tcW w:w="7567" w:type="dxa"/>
            <w:gridSpan w:val="5"/>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rPr>
                <w:sz w:val="20"/>
                <w:szCs w:val="20"/>
              </w:rPr>
            </w:pPr>
            <w:r>
              <w:rPr>
                <w:b/>
                <w:bCs/>
                <w:sz w:val="20"/>
                <w:szCs w:val="20"/>
              </w:rPr>
              <w:t>DPH 21 %</w:t>
            </w:r>
          </w:p>
        </w:tc>
        <w:tc>
          <w:tcPr>
            <w:tcW w:w="1886"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ind w:firstLine="740"/>
              <w:rPr>
                <w:sz w:val="20"/>
                <w:szCs w:val="20"/>
              </w:rPr>
            </w:pPr>
            <w:r>
              <w:rPr>
                <w:b/>
                <w:bCs/>
                <w:sz w:val="20"/>
                <w:szCs w:val="20"/>
              </w:rPr>
              <w:t>35267,82</w:t>
            </w:r>
          </w:p>
        </w:tc>
      </w:tr>
      <w:tr w:rsidR="00971DF6">
        <w:trPr>
          <w:trHeight w:hRule="exact" w:val="324"/>
          <w:jc w:val="center"/>
        </w:trPr>
        <w:tc>
          <w:tcPr>
            <w:tcW w:w="7567" w:type="dxa"/>
            <w:gridSpan w:val="5"/>
            <w:tcBorders>
              <w:top w:val="single" w:sz="4" w:space="0" w:color="auto"/>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rPr>
                <w:sz w:val="20"/>
                <w:szCs w:val="20"/>
              </w:rPr>
            </w:pPr>
            <w:r>
              <w:rPr>
                <w:b/>
                <w:bCs/>
                <w:sz w:val="20"/>
                <w:szCs w:val="20"/>
              </w:rPr>
              <w:t>CELKEM cena včetně DPH</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971DF6" w:rsidRDefault="009B2A9F">
            <w:pPr>
              <w:pStyle w:val="Other10"/>
              <w:shd w:val="clear" w:color="auto" w:fill="auto"/>
              <w:spacing w:after="0" w:line="240" w:lineRule="auto"/>
              <w:ind w:right="220"/>
              <w:jc w:val="right"/>
              <w:rPr>
                <w:sz w:val="20"/>
                <w:szCs w:val="20"/>
              </w:rPr>
            </w:pPr>
            <w:r>
              <w:rPr>
                <w:b/>
                <w:bCs/>
                <w:sz w:val="20"/>
                <w:szCs w:val="20"/>
              </w:rPr>
              <w:t>5435108,37</w:t>
            </w:r>
          </w:p>
        </w:tc>
      </w:tr>
    </w:tbl>
    <w:p w:rsidR="00971DF6" w:rsidRDefault="00971DF6">
      <w:pPr>
        <w:spacing w:after="299" w:line="1" w:lineRule="exact"/>
      </w:pPr>
    </w:p>
    <w:p w:rsidR="00971DF6" w:rsidRDefault="009B2A9F">
      <w:pPr>
        <w:pStyle w:val="Heading210"/>
        <w:keepNext/>
        <w:keepLines/>
        <w:shd w:val="clear" w:color="auto" w:fill="auto"/>
        <w:ind w:firstLine="580"/>
      </w:pPr>
      <w:bookmarkStart w:id="5" w:name="bookmark6"/>
      <w:bookmarkStart w:id="6" w:name="bookmark7"/>
      <w:r>
        <w:t xml:space="preserve">Dlouhodobý pro nájem </w:t>
      </w:r>
      <w:r w:rsidR="00672EC8">
        <w:t>tl</w:t>
      </w:r>
      <w:r>
        <w:t>akových lahví</w:t>
      </w:r>
      <w:bookmarkEnd w:id="5"/>
      <w:bookmarkEnd w:id="6"/>
    </w:p>
    <w:p w:rsidR="00971DF6" w:rsidRDefault="00971DF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4"/>
        <w:gridCol w:w="1066"/>
        <w:gridCol w:w="2563"/>
        <w:gridCol w:w="3578"/>
      </w:tblGrid>
      <w:tr w:rsidR="00971DF6">
        <w:trPr>
          <w:trHeight w:hRule="exact" w:val="310"/>
          <w:jc w:val="center"/>
        </w:trPr>
        <w:tc>
          <w:tcPr>
            <w:tcW w:w="2124"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ind w:firstLine="260"/>
              <w:rPr>
                <w:sz w:val="20"/>
                <w:szCs w:val="20"/>
              </w:rPr>
            </w:pPr>
            <w:r>
              <w:rPr>
                <w:b/>
                <w:bCs/>
                <w:sz w:val="20"/>
                <w:szCs w:val="20"/>
              </w:rPr>
              <w:t>Typ tlakové láhve</w:t>
            </w:r>
          </w:p>
        </w:tc>
        <w:tc>
          <w:tcPr>
            <w:tcW w:w="1066"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b/>
                <w:bCs/>
                <w:sz w:val="20"/>
                <w:szCs w:val="20"/>
              </w:rPr>
              <w:t>Počet</w:t>
            </w:r>
          </w:p>
        </w:tc>
        <w:tc>
          <w:tcPr>
            <w:tcW w:w="2563" w:type="dxa"/>
            <w:tcBorders>
              <w:top w:val="single" w:sz="4" w:space="0" w:color="auto"/>
              <w:lef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b/>
                <w:bCs/>
                <w:sz w:val="20"/>
                <w:szCs w:val="20"/>
              </w:rPr>
              <w:t>Cena za 1 ks za 1 rok</w:t>
            </w:r>
          </w:p>
        </w:tc>
        <w:tc>
          <w:tcPr>
            <w:tcW w:w="3578" w:type="dxa"/>
            <w:tcBorders>
              <w:top w:val="single" w:sz="4" w:space="0" w:color="auto"/>
              <w:left w:val="single" w:sz="4" w:space="0" w:color="auto"/>
              <w:right w:val="single" w:sz="4" w:space="0" w:color="auto"/>
            </w:tcBorders>
            <w:shd w:val="clear" w:color="auto" w:fill="FFFFFF"/>
            <w:vAlign w:val="bottom"/>
          </w:tcPr>
          <w:p w:rsidR="00971DF6" w:rsidRDefault="009B2A9F">
            <w:pPr>
              <w:pStyle w:val="Other10"/>
              <w:shd w:val="clear" w:color="auto" w:fill="auto"/>
              <w:spacing w:after="0" w:line="240" w:lineRule="auto"/>
              <w:jc w:val="center"/>
              <w:rPr>
                <w:sz w:val="20"/>
                <w:szCs w:val="20"/>
              </w:rPr>
            </w:pPr>
            <w:r>
              <w:rPr>
                <w:b/>
                <w:bCs/>
                <w:sz w:val="20"/>
                <w:szCs w:val="20"/>
              </w:rPr>
              <w:t>Cena za celkové množství za 1 rok</w:t>
            </w:r>
          </w:p>
        </w:tc>
      </w:tr>
      <w:tr w:rsidR="00971DF6">
        <w:trPr>
          <w:trHeight w:hRule="exact" w:val="302"/>
          <w:jc w:val="center"/>
        </w:trPr>
        <w:tc>
          <w:tcPr>
            <w:tcW w:w="2124"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20"/>
                <w:szCs w:val="20"/>
              </w:rPr>
            </w:pPr>
            <w:r>
              <w:rPr>
                <w:sz w:val="20"/>
                <w:szCs w:val="20"/>
              </w:rPr>
              <w:t>Láhve standart</w:t>
            </w:r>
          </w:p>
        </w:tc>
        <w:tc>
          <w:tcPr>
            <w:tcW w:w="1066"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sz w:val="20"/>
                <w:szCs w:val="20"/>
              </w:rPr>
              <w:t>44</w:t>
            </w:r>
          </w:p>
        </w:tc>
        <w:tc>
          <w:tcPr>
            <w:tcW w:w="2563"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2700</w:t>
            </w:r>
          </w:p>
        </w:tc>
        <w:tc>
          <w:tcPr>
            <w:tcW w:w="3578" w:type="dxa"/>
            <w:tcBorders>
              <w:top w:val="single" w:sz="4" w:space="0" w:color="auto"/>
              <w:left w:val="single" w:sz="4" w:space="0" w:color="auto"/>
              <w:right w:val="single" w:sz="4" w:space="0" w:color="auto"/>
            </w:tcBorders>
            <w:shd w:val="clear" w:color="auto" w:fill="FFFFFF"/>
            <w:vAlign w:val="center"/>
          </w:tcPr>
          <w:p w:rsidR="00971DF6" w:rsidRDefault="009B2A9F">
            <w:pPr>
              <w:pStyle w:val="Other10"/>
              <w:shd w:val="clear" w:color="auto" w:fill="auto"/>
              <w:spacing w:after="0" w:line="240" w:lineRule="auto"/>
              <w:jc w:val="center"/>
              <w:rPr>
                <w:sz w:val="20"/>
                <w:szCs w:val="20"/>
              </w:rPr>
            </w:pPr>
            <w:r>
              <w:rPr>
                <w:b/>
                <w:bCs/>
                <w:sz w:val="20"/>
                <w:szCs w:val="20"/>
              </w:rPr>
              <w:t>118800</w:t>
            </w:r>
          </w:p>
        </w:tc>
      </w:tr>
      <w:tr w:rsidR="00971DF6">
        <w:trPr>
          <w:trHeight w:hRule="exact" w:val="295"/>
          <w:jc w:val="center"/>
        </w:trPr>
        <w:tc>
          <w:tcPr>
            <w:tcW w:w="2124"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20"/>
                <w:szCs w:val="20"/>
              </w:rPr>
            </w:pPr>
            <w:r>
              <w:rPr>
                <w:sz w:val="20"/>
                <w:szCs w:val="20"/>
              </w:rPr>
              <w:t>Láhve léčiva</w:t>
            </w:r>
          </w:p>
        </w:tc>
        <w:tc>
          <w:tcPr>
            <w:tcW w:w="1066"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sz w:val="20"/>
                <w:szCs w:val="20"/>
              </w:rPr>
              <w:t>95</w:t>
            </w:r>
          </w:p>
        </w:tc>
        <w:tc>
          <w:tcPr>
            <w:tcW w:w="2563"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4100</w:t>
            </w:r>
          </w:p>
        </w:tc>
        <w:tc>
          <w:tcPr>
            <w:tcW w:w="3578"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389500</w:t>
            </w:r>
          </w:p>
        </w:tc>
      </w:tr>
      <w:tr w:rsidR="00971DF6">
        <w:trPr>
          <w:trHeight w:hRule="exact" w:val="302"/>
          <w:jc w:val="center"/>
        </w:trPr>
        <w:tc>
          <w:tcPr>
            <w:tcW w:w="2124"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20"/>
                <w:szCs w:val="20"/>
              </w:rPr>
            </w:pPr>
            <w:r>
              <w:rPr>
                <w:sz w:val="20"/>
                <w:szCs w:val="20"/>
              </w:rPr>
              <w:t>Láhve LIV</w:t>
            </w:r>
          </w:p>
        </w:tc>
        <w:tc>
          <w:tcPr>
            <w:tcW w:w="1066"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sz w:val="20"/>
                <w:szCs w:val="20"/>
              </w:rPr>
              <w:t>150</w:t>
            </w:r>
          </w:p>
        </w:tc>
        <w:tc>
          <w:tcPr>
            <w:tcW w:w="2563"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4400</w:t>
            </w:r>
          </w:p>
        </w:tc>
        <w:tc>
          <w:tcPr>
            <w:tcW w:w="3578" w:type="dxa"/>
            <w:tcBorders>
              <w:top w:val="single" w:sz="4" w:space="0" w:color="auto"/>
              <w:left w:val="single" w:sz="4" w:space="0" w:color="auto"/>
              <w:right w:val="single" w:sz="4" w:space="0" w:color="auto"/>
            </w:tcBorders>
            <w:shd w:val="clear" w:color="auto" w:fill="FFFFFF"/>
            <w:vAlign w:val="center"/>
          </w:tcPr>
          <w:p w:rsidR="00971DF6" w:rsidRDefault="009B2A9F">
            <w:pPr>
              <w:pStyle w:val="Other10"/>
              <w:shd w:val="clear" w:color="auto" w:fill="auto"/>
              <w:spacing w:after="0" w:line="240" w:lineRule="auto"/>
              <w:jc w:val="center"/>
              <w:rPr>
                <w:sz w:val="20"/>
                <w:szCs w:val="20"/>
              </w:rPr>
            </w:pPr>
            <w:r>
              <w:rPr>
                <w:b/>
                <w:bCs/>
                <w:sz w:val="20"/>
                <w:szCs w:val="20"/>
              </w:rPr>
              <w:t>660000</w:t>
            </w:r>
          </w:p>
        </w:tc>
      </w:tr>
      <w:tr w:rsidR="00971DF6">
        <w:trPr>
          <w:trHeight w:hRule="exact" w:val="295"/>
          <w:jc w:val="center"/>
        </w:trPr>
        <w:tc>
          <w:tcPr>
            <w:tcW w:w="2124"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20"/>
                <w:szCs w:val="20"/>
              </w:rPr>
            </w:pPr>
            <w:proofErr w:type="spellStart"/>
            <w:r>
              <w:rPr>
                <w:sz w:val="20"/>
                <w:szCs w:val="20"/>
              </w:rPr>
              <w:t>Entonox</w:t>
            </w:r>
            <w:proofErr w:type="spellEnd"/>
          </w:p>
        </w:tc>
        <w:tc>
          <w:tcPr>
            <w:tcW w:w="1066"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sz w:val="20"/>
                <w:szCs w:val="20"/>
              </w:rPr>
              <w:t>3</w:t>
            </w:r>
          </w:p>
        </w:tc>
        <w:tc>
          <w:tcPr>
            <w:tcW w:w="2563" w:type="dxa"/>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2300</w:t>
            </w:r>
          </w:p>
        </w:tc>
        <w:tc>
          <w:tcPr>
            <w:tcW w:w="3578"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6900</w:t>
            </w:r>
          </w:p>
        </w:tc>
      </w:tr>
      <w:tr w:rsidR="00971DF6">
        <w:trPr>
          <w:trHeight w:hRule="exact" w:val="302"/>
          <w:jc w:val="center"/>
        </w:trPr>
        <w:tc>
          <w:tcPr>
            <w:tcW w:w="5753" w:type="dxa"/>
            <w:gridSpan w:val="3"/>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20"/>
                <w:szCs w:val="20"/>
              </w:rPr>
            </w:pPr>
            <w:r>
              <w:rPr>
                <w:b/>
                <w:bCs/>
                <w:sz w:val="20"/>
                <w:szCs w:val="20"/>
              </w:rPr>
              <w:t>Celkem cena bez DPH</w:t>
            </w:r>
          </w:p>
        </w:tc>
        <w:tc>
          <w:tcPr>
            <w:tcW w:w="3578"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1175200</w:t>
            </w:r>
          </w:p>
        </w:tc>
      </w:tr>
      <w:tr w:rsidR="00971DF6">
        <w:trPr>
          <w:trHeight w:hRule="exact" w:val="302"/>
          <w:jc w:val="center"/>
        </w:trPr>
        <w:tc>
          <w:tcPr>
            <w:tcW w:w="5753" w:type="dxa"/>
            <w:gridSpan w:val="3"/>
            <w:tcBorders>
              <w:top w:val="single" w:sz="4" w:space="0" w:color="auto"/>
              <w:left w:val="single" w:sz="4" w:space="0" w:color="auto"/>
            </w:tcBorders>
            <w:shd w:val="clear" w:color="auto" w:fill="FFFFFF"/>
          </w:tcPr>
          <w:p w:rsidR="00971DF6" w:rsidRDefault="009B2A9F">
            <w:pPr>
              <w:pStyle w:val="Other10"/>
              <w:shd w:val="clear" w:color="auto" w:fill="auto"/>
              <w:spacing w:after="0" w:line="240" w:lineRule="auto"/>
              <w:rPr>
                <w:sz w:val="20"/>
                <w:szCs w:val="20"/>
              </w:rPr>
            </w:pPr>
            <w:r>
              <w:rPr>
                <w:b/>
                <w:bCs/>
                <w:sz w:val="20"/>
                <w:szCs w:val="20"/>
              </w:rPr>
              <w:t>DPH 21 %</w:t>
            </w:r>
          </w:p>
        </w:tc>
        <w:tc>
          <w:tcPr>
            <w:tcW w:w="3578" w:type="dxa"/>
            <w:tcBorders>
              <w:top w:val="single" w:sz="4" w:space="0" w:color="auto"/>
              <w:left w:val="single" w:sz="4" w:space="0" w:color="auto"/>
              <w:righ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246792</w:t>
            </w:r>
          </w:p>
        </w:tc>
      </w:tr>
      <w:tr w:rsidR="00971DF6">
        <w:trPr>
          <w:trHeight w:hRule="exact" w:val="317"/>
          <w:jc w:val="center"/>
        </w:trPr>
        <w:tc>
          <w:tcPr>
            <w:tcW w:w="5753" w:type="dxa"/>
            <w:gridSpan w:val="3"/>
            <w:tcBorders>
              <w:top w:val="single" w:sz="4" w:space="0" w:color="auto"/>
              <w:left w:val="single" w:sz="4" w:space="0" w:color="auto"/>
              <w:bottom w:val="single" w:sz="4" w:space="0" w:color="auto"/>
            </w:tcBorders>
            <w:shd w:val="clear" w:color="auto" w:fill="FFFFFF"/>
          </w:tcPr>
          <w:p w:rsidR="00971DF6" w:rsidRDefault="009B2A9F">
            <w:pPr>
              <w:pStyle w:val="Other10"/>
              <w:shd w:val="clear" w:color="auto" w:fill="auto"/>
              <w:spacing w:after="0" w:line="240" w:lineRule="auto"/>
              <w:rPr>
                <w:sz w:val="20"/>
                <w:szCs w:val="20"/>
              </w:rPr>
            </w:pPr>
            <w:r>
              <w:rPr>
                <w:b/>
                <w:bCs/>
                <w:sz w:val="20"/>
                <w:szCs w:val="20"/>
              </w:rPr>
              <w:t>CELKEM cena včetně DPH</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971DF6" w:rsidRDefault="009B2A9F">
            <w:pPr>
              <w:pStyle w:val="Other10"/>
              <w:shd w:val="clear" w:color="auto" w:fill="auto"/>
              <w:spacing w:after="0" w:line="240" w:lineRule="auto"/>
              <w:jc w:val="center"/>
              <w:rPr>
                <w:sz w:val="20"/>
                <w:szCs w:val="20"/>
              </w:rPr>
            </w:pPr>
            <w:r>
              <w:rPr>
                <w:b/>
                <w:bCs/>
                <w:sz w:val="20"/>
                <w:szCs w:val="20"/>
              </w:rPr>
              <w:t>1421992</w:t>
            </w:r>
          </w:p>
        </w:tc>
      </w:tr>
    </w:tbl>
    <w:p w:rsidR="00971DF6" w:rsidRDefault="00971DF6">
      <w:pPr>
        <w:sectPr w:rsidR="00971DF6">
          <w:footerReference w:type="default" r:id="rId9"/>
          <w:footerReference w:type="first" r:id="rId10"/>
          <w:pgSz w:w="11900" w:h="16840"/>
          <w:pgMar w:top="631" w:right="598" w:bottom="94" w:left="624" w:header="0" w:footer="3" w:gutter="0"/>
          <w:cols w:space="720"/>
          <w:noEndnote/>
          <w:titlePg/>
          <w:docGrid w:linePitch="360"/>
        </w:sectPr>
      </w:pPr>
    </w:p>
    <w:p w:rsidR="00971DF6" w:rsidRDefault="009B2A9F">
      <w:pPr>
        <w:spacing w:line="1" w:lineRule="exact"/>
      </w:pPr>
      <w:r>
        <w:rPr>
          <w:noProof/>
        </w:rPr>
        <w:lastRenderedPageBreak/>
        <mc:AlternateContent>
          <mc:Choice Requires="wps">
            <w:drawing>
              <wp:anchor distT="0" distB="0" distL="0" distR="0" simplePos="0" relativeHeight="125829387" behindDoc="0" locked="0" layoutInCell="1" allowOverlap="1">
                <wp:simplePos x="0" y="0"/>
                <wp:positionH relativeFrom="page">
                  <wp:posOffset>387985</wp:posOffset>
                </wp:positionH>
                <wp:positionV relativeFrom="paragraph">
                  <wp:posOffset>306070</wp:posOffset>
                </wp:positionV>
                <wp:extent cx="4114800" cy="23304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4114800" cy="233045"/>
                        </a:xfrm>
                        <a:prstGeom prst="rect">
                          <a:avLst/>
                        </a:prstGeom>
                        <a:noFill/>
                      </wps:spPr>
                      <wps:txbx>
                        <w:txbxContent>
                          <w:p w:rsidR="009B2A9F" w:rsidRDefault="009B2A9F">
                            <w:pPr>
                              <w:pStyle w:val="Bodytext10"/>
                              <w:shd w:val="clear" w:color="auto" w:fill="auto"/>
                              <w:spacing w:after="0" w:line="233" w:lineRule="auto"/>
                              <w:jc w:val="center"/>
                              <w:rPr>
                                <w:sz w:val="12"/>
                                <w:szCs w:val="12"/>
                              </w:rPr>
                            </w:pPr>
                            <w:r>
                              <w:t xml:space="preserve">VŠEOBECNÉ PODMÍNKY </w:t>
                            </w:r>
                            <w:r>
                              <w:rPr>
                                <w:lang w:val="en-US" w:eastAsia="en-US" w:bidi="en-US"/>
                              </w:rPr>
                              <w:t xml:space="preserve">LINDE PRO </w:t>
                            </w:r>
                            <w:r>
                              <w:t>PRODEJ PLYNŮ A NÁJEM DISTRIBUČNÍCH PROSTŘEDKŮ</w:t>
                            </w:r>
                            <w:r>
                              <w:br/>
                            </w:r>
                            <w:r>
                              <w:rPr>
                                <w:sz w:val="12"/>
                                <w:szCs w:val="12"/>
                              </w:rPr>
                              <w:t xml:space="preserve">(dále </w:t>
                            </w:r>
                            <w:r>
                              <w:rPr>
                                <w:sz w:val="12"/>
                                <w:szCs w:val="12"/>
                              </w:rPr>
                              <w:t>jen .Podmínky)</w:t>
                            </w:r>
                          </w:p>
                        </w:txbxContent>
                      </wps:txbx>
                      <wps:bodyPr lIns="0" tIns="0" rIns="0" bIns="0"/>
                    </wps:wsp>
                  </a:graphicData>
                </a:graphic>
              </wp:anchor>
            </w:drawing>
          </mc:Choice>
          <mc:Fallback>
            <w:pict>
              <v:shape id="Shape 27" o:spid="_x0000_s1028" type="#_x0000_t202" style="position:absolute;margin-left:30.55pt;margin-top:24.1pt;width:324pt;height:18.35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" filled="f" stroked="f">
                <v:textbox inset="0,0,0,0">
                  <w:txbxContent>
                    <w:p w:rsidR="009B2A9F" w:rsidRDefault="009B2A9F">
                      <w:pPr>
                        <w:pStyle w:val="Bodytext10"/>
                        <w:shd w:val="clear" w:color="auto" w:fill="auto"/>
                        <w:spacing w:after="0" w:line="233" w:lineRule="auto"/>
                        <w:jc w:val="center"/>
                        <w:rPr>
                          <w:sz w:val="12"/>
                          <w:szCs w:val="12"/>
                        </w:rPr>
                      </w:pPr>
                      <w:r>
                        <w:t xml:space="preserve">VŠEOBECNÉ PODMÍNKY </w:t>
                      </w:r>
                      <w:r>
                        <w:rPr>
                          <w:lang w:val="en-US" w:eastAsia="en-US" w:bidi="en-US"/>
                        </w:rPr>
                        <w:t xml:space="preserve">LINDE PRO </w:t>
                      </w:r>
                      <w:r>
                        <w:t>PRODEJ PLYNŮ A NÁJEM DISTRIBUČNÍCH PROSTŘEDKŮ</w:t>
                      </w:r>
                      <w:r>
                        <w:br/>
                      </w:r>
                      <w:r>
                        <w:rPr>
                          <w:sz w:val="12"/>
                          <w:szCs w:val="12"/>
                        </w:rPr>
                        <w:t xml:space="preserve">(dále </w:t>
                      </w:r>
                      <w:proofErr w:type="gramStart"/>
                      <w:r>
                        <w:rPr>
                          <w:sz w:val="12"/>
                          <w:szCs w:val="12"/>
                        </w:rPr>
                        <w:t>jen .Podmínky</w:t>
                      </w:r>
                      <w:proofErr w:type="gramEnd"/>
                      <w:r>
                        <w:rPr>
                          <w:sz w:val="12"/>
                          <w:szCs w:val="12"/>
                        </w:rPr>
                        <w:t>)</w:t>
                      </w:r>
                    </w:p>
                  </w:txbxContent>
                </v:textbox>
                <w10:wrap type="square" side="right" anchorx="page"/>
              </v:shape>
            </w:pict>
          </mc:Fallback>
        </mc:AlternateContent>
      </w:r>
      <w:r>
        <w:rPr>
          <w:noProof/>
        </w:rPr>
        <w:drawing>
          <wp:anchor distT="0" distB="0" distL="38100" distR="38100" simplePos="0" relativeHeight="125829389" behindDoc="0" locked="0" layoutInCell="1" allowOverlap="1">
            <wp:simplePos x="0" y="0"/>
            <wp:positionH relativeFrom="page">
              <wp:posOffset>6235700</wp:posOffset>
            </wp:positionH>
            <wp:positionV relativeFrom="paragraph">
              <wp:posOffset>12700</wp:posOffset>
            </wp:positionV>
            <wp:extent cx="1054735" cy="536575"/>
            <wp:effectExtent l="0" t="0" r="0" b="0"/>
            <wp:wrapSquare wrapText="bothSides"/>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1"/>
                    <a:stretch/>
                  </pic:blipFill>
                  <pic:spPr>
                    <a:xfrm>
                      <a:off x="0" y="0"/>
                      <a:ext cx="1054735" cy="536575"/>
                    </a:xfrm>
                    <a:prstGeom prst="rect">
                      <a:avLst/>
                    </a:prstGeom>
                  </pic:spPr>
                </pic:pic>
              </a:graphicData>
            </a:graphic>
          </wp:anchor>
        </w:drawing>
      </w:r>
    </w:p>
    <w:p w:rsidR="00971DF6" w:rsidRDefault="009B2A9F">
      <w:pPr>
        <w:pStyle w:val="Bodytext30"/>
        <w:shd w:val="clear" w:color="auto" w:fill="auto"/>
        <w:spacing w:before="0" w:line="271" w:lineRule="auto"/>
        <w:ind w:left="1500"/>
        <w:jc w:val="right"/>
        <w:rPr>
          <w:sz w:val="15"/>
          <w:szCs w:val="15"/>
        </w:rPr>
      </w:pPr>
      <w:r>
        <w:rPr>
          <w:color w:val="89BBD0"/>
          <w:sz w:val="15"/>
          <w:szCs w:val="15"/>
          <w:lang w:val="en-US" w:eastAsia="en-US" w:bidi="en-US"/>
        </w:rPr>
        <w:t>Making our world more productive</w:t>
      </w:r>
    </w:p>
    <w:p w:rsidR="00971DF6" w:rsidRDefault="009B2A9F">
      <w:pPr>
        <w:pStyle w:val="Bodytext10"/>
        <w:numPr>
          <w:ilvl w:val="0"/>
          <w:numId w:val="1"/>
        </w:numPr>
        <w:shd w:val="clear" w:color="auto" w:fill="auto"/>
        <w:tabs>
          <w:tab w:val="left" w:pos="401"/>
        </w:tabs>
        <w:spacing w:after="0" w:line="240" w:lineRule="auto"/>
        <w:ind w:firstLine="160"/>
        <w:jc w:val="both"/>
      </w:pPr>
      <w:r>
        <w:t>ZÁKLADNÍ USTANOVENÍ</w:t>
      </w:r>
    </w:p>
    <w:p w:rsidR="00971DF6" w:rsidRDefault="009B2A9F">
      <w:pPr>
        <w:pStyle w:val="Bodytext10"/>
        <w:shd w:val="clear" w:color="auto" w:fill="auto"/>
        <w:spacing w:after="0" w:line="240" w:lineRule="auto"/>
        <w:ind w:left="160" w:firstLine="40"/>
      </w:pPr>
      <w:r>
        <w:t xml:space="preserve">Tyto Podmínky jsou součásti každé smlouvy, na základě které se </w:t>
      </w:r>
      <w:r>
        <w:rPr>
          <w:lang w:val="en-US" w:eastAsia="en-US" w:bidi="en-US"/>
        </w:rPr>
        <w:t xml:space="preserve">Linde </w:t>
      </w:r>
      <w:r>
        <w:t xml:space="preserve">zavazuje dodávat zákazníkovi technický, medicinální či speciální plyn/y v jakémkoliv skupenství v Distribučním prostředku nebo do Zásobovacího zařízení (dále </w:t>
      </w:r>
      <w:proofErr w:type="gramStart"/>
      <w:r>
        <w:t>jen .Plyn</w:t>
      </w:r>
      <w:proofErr w:type="gramEnd"/>
      <w:r>
        <w:t xml:space="preserve">/y“) a/nebo mu pronajmout Distribuční prostředek </w:t>
      </w:r>
      <w:r>
        <w:rPr>
          <w:lang w:val="en-US" w:eastAsia="en-US" w:bidi="en-US"/>
        </w:rPr>
        <w:t>Linde.</w:t>
      </w:r>
    </w:p>
    <w:p w:rsidR="00971DF6" w:rsidRDefault="009B2A9F">
      <w:pPr>
        <w:pStyle w:val="Bodytext10"/>
        <w:shd w:val="clear" w:color="auto" w:fill="auto"/>
        <w:spacing w:line="240" w:lineRule="auto"/>
        <w:ind w:left="160" w:firstLine="40"/>
        <w:jc w:val="both"/>
      </w:pPr>
      <w:r>
        <w:t xml:space="preserve">Jednotlivé smlouvy vznikají akceptací nabídky </w:t>
      </w:r>
      <w:r>
        <w:rPr>
          <w:lang w:val="en-US" w:eastAsia="en-US" w:bidi="en-US"/>
        </w:rPr>
        <w:t xml:space="preserve">Linde </w:t>
      </w:r>
      <w:r>
        <w:t xml:space="preserve">(zástupce </w:t>
      </w:r>
      <w:r>
        <w:rPr>
          <w:lang w:val="en-US" w:eastAsia="en-US" w:bidi="en-US"/>
        </w:rPr>
        <w:t xml:space="preserve">Linde) </w:t>
      </w:r>
      <w:r>
        <w:t xml:space="preserve">zákazníkem, a to prostřednictvím smluv, objednávek zákazníka potvrzených ze strany </w:t>
      </w:r>
      <w:r>
        <w:rPr>
          <w:lang w:val="en-US" w:eastAsia="en-US" w:bidi="en-US"/>
        </w:rPr>
        <w:t xml:space="preserve">Linde, </w:t>
      </w:r>
      <w:r>
        <w:t xml:space="preserve">a/nebo pouhým převzetím Distribučního prostředku zákazníkem (dále </w:t>
      </w:r>
      <w:proofErr w:type="gramStart"/>
      <w:r>
        <w:t>jen .Smlouva</w:t>
      </w:r>
      <w:proofErr w:type="gramEnd"/>
      <w:r>
        <w:t xml:space="preserve">"). Právní úkony směřující ke změně či ukončeni Smlouvy vyžadují písemnou formu, která však není dodržena </w:t>
      </w:r>
      <w:proofErr w:type="spellStart"/>
      <w:r>
        <w:t>pn</w:t>
      </w:r>
      <w:proofErr w:type="spellEnd"/>
      <w:r>
        <w:t xml:space="preserve"> elektronické formě komunikace, elektronická forma písemnosti však postačuje pro změny cen ze strany </w:t>
      </w:r>
      <w:r>
        <w:rPr>
          <w:lang w:val="en-US" w:eastAsia="en-US" w:bidi="en-US"/>
        </w:rPr>
        <w:t xml:space="preserve">Linde. </w:t>
      </w:r>
      <w:r>
        <w:t xml:space="preserve">Změnu cen Plynů, dalších produktů či nájemného </w:t>
      </w:r>
      <w:r>
        <w:rPr>
          <w:lang w:val="en-US" w:eastAsia="en-US" w:bidi="en-US"/>
        </w:rPr>
        <w:t xml:space="preserve">Linde </w:t>
      </w:r>
      <w:r>
        <w:t xml:space="preserve">oznámí zákazníkovi min. 15 dní předem prostřednictvím zejm. e-mailu a/nebo zveřejněním nového ceníku v Prodejních místech </w:t>
      </w:r>
      <w:r>
        <w:rPr>
          <w:lang w:val="en-US" w:eastAsia="en-US" w:bidi="en-US"/>
        </w:rPr>
        <w:t xml:space="preserve">Linde </w:t>
      </w:r>
      <w:r>
        <w:t xml:space="preserve">Zákazník souhlasí s tím, že </w:t>
      </w:r>
      <w:r>
        <w:rPr>
          <w:lang w:val="en-US" w:eastAsia="en-US" w:bidi="en-US"/>
        </w:rPr>
        <w:t xml:space="preserve">Linde </w:t>
      </w:r>
      <w:r>
        <w:t xml:space="preserve">může plnit své smluvní závazky prostřednictvím třetích osob, zejména .Partnerů Lindě", </w:t>
      </w:r>
      <w:proofErr w:type="spellStart"/>
      <w:r>
        <w:t>tj</w:t>
      </w:r>
      <w:proofErr w:type="spellEnd"/>
      <w:r>
        <w:t xml:space="preserve"> osob které </w:t>
      </w:r>
      <w:r>
        <w:rPr>
          <w:lang w:val="en-US" w:eastAsia="en-US" w:bidi="en-US"/>
        </w:rPr>
        <w:t xml:space="preserve">Linde </w:t>
      </w:r>
      <w:r>
        <w:t xml:space="preserve">zmocnila k prodeji zboží, služeb a Distribučních prostředků s Plynem a jejich převozu k/od zákazníků a/nebo .Prodejních míst </w:t>
      </w:r>
      <w:r>
        <w:rPr>
          <w:lang w:val="en-US" w:eastAsia="en-US" w:bidi="en-US"/>
        </w:rPr>
        <w:t xml:space="preserve">Linde", </w:t>
      </w:r>
      <w:r>
        <w:t xml:space="preserve">což jsou prodejny provozované ze strany </w:t>
      </w:r>
      <w:r>
        <w:rPr>
          <w:lang w:val="en-US" w:eastAsia="en-US" w:bidi="en-US"/>
        </w:rPr>
        <w:t xml:space="preserve">Linde </w:t>
      </w:r>
      <w:r>
        <w:t xml:space="preserve">nebo Partnerů </w:t>
      </w:r>
      <w:r>
        <w:rPr>
          <w:lang w:val="en-US" w:eastAsia="en-US" w:bidi="en-US"/>
        </w:rPr>
        <w:t xml:space="preserve">Linde </w:t>
      </w:r>
      <w:r>
        <w:t>Smluvní strany jsou povinny své identifikační a kontaktní údaje při uzavření Smlouvy uvádět správné a pravdivé a bez zbytečného odkladu informovat druhou smluvní stranu o změně těchto údajů</w:t>
      </w:r>
    </w:p>
    <w:p w:rsidR="00971DF6" w:rsidRDefault="009B2A9F">
      <w:pPr>
        <w:pStyle w:val="Bodytext10"/>
        <w:numPr>
          <w:ilvl w:val="0"/>
          <w:numId w:val="1"/>
        </w:numPr>
        <w:shd w:val="clear" w:color="auto" w:fill="auto"/>
        <w:tabs>
          <w:tab w:val="left" w:pos="401"/>
        </w:tabs>
        <w:spacing w:after="0" w:line="240" w:lineRule="auto"/>
        <w:ind w:firstLine="160"/>
      </w:pPr>
      <w:r>
        <w:t>DODÁVKY PLYNŮ V DISTRIBUČNÍCH PROSTŘEDCÍCH</w:t>
      </w:r>
    </w:p>
    <w:p w:rsidR="00971DF6" w:rsidRDefault="009B2A9F">
      <w:pPr>
        <w:pStyle w:val="Bodytext10"/>
        <w:shd w:val="clear" w:color="auto" w:fill="auto"/>
        <w:spacing w:after="0" w:line="240" w:lineRule="auto"/>
        <w:ind w:left="160" w:firstLine="40"/>
        <w:jc w:val="both"/>
      </w:pPr>
      <w:proofErr w:type="gramStart"/>
      <w:r>
        <w:t>.Distribučním</w:t>
      </w:r>
      <w:proofErr w:type="gramEnd"/>
      <w:r>
        <w:t xml:space="preserve"> prostředkem" se rozumí přenosná tlaková nádoba k zásobování Plynem v podobě Lahví, Palet. Pevných svazků lahví, Kontejnerů a Trajlerů. </w:t>
      </w:r>
      <w:proofErr w:type="gramStart"/>
      <w:r>
        <w:t>.Lahví</w:t>
      </w:r>
      <w:proofErr w:type="gramEnd"/>
      <w:r>
        <w:t xml:space="preserve">“ se rozumí kovová tlaková nádoba pro přepravu Plynů do 90 I vodního objemu. </w:t>
      </w:r>
      <w:proofErr w:type="gramStart"/>
      <w:r>
        <w:t>.Paletou</w:t>
      </w:r>
      <w:proofErr w:type="gramEnd"/>
      <w:r>
        <w:t xml:space="preserve">" se rozumí přepravní zařízení, uzpůsobené pro přepravu jednotlivých Lahví. </w:t>
      </w:r>
      <w:proofErr w:type="gramStart"/>
      <w:r>
        <w:t>.Pevným</w:t>
      </w:r>
      <w:proofErr w:type="gramEnd"/>
      <w:r>
        <w:t xml:space="preserve"> svazkem lahví“ se rozumí několik vzájemné propojených Lahví na společném přepravním základě .Kontejnerem" se rozumí mobilní nádoba pro přepravu Plynů o objemu větším než 90 I vodního objemu .Trajlerem“ se rozumí silniční vůz přepravující Pevné svazky lahvi, které jsou navzájem propojeny</w:t>
      </w:r>
    </w:p>
    <w:p w:rsidR="00971DF6" w:rsidRDefault="009B2A9F">
      <w:pPr>
        <w:pStyle w:val="Bodytext10"/>
        <w:shd w:val="clear" w:color="auto" w:fill="auto"/>
        <w:spacing w:line="240" w:lineRule="auto"/>
        <w:ind w:left="160" w:firstLine="40"/>
        <w:jc w:val="both"/>
      </w:pPr>
      <w:r>
        <w:t xml:space="preserve">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w:t>
      </w:r>
      <w:r>
        <w:rPr>
          <w:lang w:val="en-US" w:eastAsia="en-US" w:bidi="en-US"/>
        </w:rPr>
        <w:t xml:space="preserve">Linde. </w:t>
      </w:r>
      <w:r>
        <w:t xml:space="preserve">Pokud nebyl dohodnut termín dodání, bude dopravu Distribučního prostředku k zákazníkovi provádět Partner </w:t>
      </w:r>
      <w:r>
        <w:rPr>
          <w:lang w:val="en-US" w:eastAsia="en-US" w:bidi="en-US"/>
        </w:rPr>
        <w:t xml:space="preserve">Linde, </w:t>
      </w:r>
      <w:r>
        <w:t xml:space="preserve">přičemž doručí Plyny v Lahvích, Paletách, Pevných svazcích lahví či Kontejnerech do dvou pracovních dnů a Plyny </w:t>
      </w:r>
      <w:proofErr w:type="spellStart"/>
      <w:r>
        <w:t>vTrajlerech</w:t>
      </w:r>
      <w:proofErr w:type="spellEnd"/>
      <w:r>
        <w:t xml:space="preserve"> do tří pracovních dnů. Nepřevezme-li zákazník Distribuční prostředek s Plynem ve sjednaném termínu, splní </w:t>
      </w:r>
      <w:r>
        <w:rPr>
          <w:lang w:val="en-US" w:eastAsia="en-US" w:bidi="en-US"/>
        </w:rPr>
        <w:t xml:space="preserve">Linde </w:t>
      </w:r>
      <w:r>
        <w:t xml:space="preserve">svou povinnost tím, že zákazníkovi umožní převzít si Distribuční prostředek s Plynem v Prodejním místě </w:t>
      </w:r>
      <w:r>
        <w:rPr>
          <w:lang w:val="en-US" w:eastAsia="en-US" w:bidi="en-US"/>
        </w:rPr>
        <w:t xml:space="preserve">Linde. </w:t>
      </w:r>
      <w:r>
        <w:t xml:space="preserve">Jestliže si zákazník či jím určený dopravce vyzvedává Distribuční prostředek v Prodejním místě </w:t>
      </w:r>
      <w:r>
        <w:rPr>
          <w:lang w:val="en-US" w:eastAsia="en-US" w:bidi="en-US"/>
        </w:rPr>
        <w:t xml:space="preserve">Linde, </w:t>
      </w:r>
      <w:r>
        <w:t xml:space="preserve">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w:t>
      </w:r>
      <w:r>
        <w:rPr>
          <w:lang w:val="en-US" w:eastAsia="en-US" w:bidi="en-US"/>
        </w:rPr>
        <w:t xml:space="preserve">Linde) </w:t>
      </w:r>
      <w:r>
        <w:t xml:space="preserve">je zástupce zákazníka povinen se prokázat zákaznickou kartou </w:t>
      </w:r>
      <w:r>
        <w:rPr>
          <w:lang w:val="en-US" w:eastAsia="en-US" w:bidi="en-US"/>
        </w:rPr>
        <w:t xml:space="preserve">Linde, </w:t>
      </w:r>
      <w:r>
        <w:t xml:space="preserve">na které je uvedeno číslo zákazníka. U Plynu podléhajícího spotřební dani (např. LPG) je zákazník povinen sdělit </w:t>
      </w:r>
      <w:r>
        <w:rPr>
          <w:lang w:val="en-US" w:eastAsia="en-US" w:bidi="en-US"/>
        </w:rPr>
        <w:t xml:space="preserve">Linde </w:t>
      </w:r>
      <w:r>
        <w:t>účel jeho použití</w:t>
      </w:r>
    </w:p>
    <w:p w:rsidR="00971DF6" w:rsidRDefault="009B2A9F">
      <w:pPr>
        <w:pStyle w:val="Bodytext10"/>
        <w:numPr>
          <w:ilvl w:val="0"/>
          <w:numId w:val="1"/>
        </w:numPr>
        <w:shd w:val="clear" w:color="auto" w:fill="auto"/>
        <w:tabs>
          <w:tab w:val="left" w:pos="401"/>
        </w:tabs>
        <w:spacing w:after="0" w:line="240" w:lineRule="auto"/>
        <w:ind w:firstLine="160"/>
        <w:jc w:val="both"/>
      </w:pPr>
      <w:r>
        <w:t>DODÁVKY PLYNŮ DO ZÁSOBOVACÍCH ZAŘÍZENÍ</w:t>
      </w:r>
    </w:p>
    <w:p w:rsidR="00971DF6" w:rsidRDefault="009B2A9F">
      <w:pPr>
        <w:pStyle w:val="Bodytext10"/>
        <w:shd w:val="clear" w:color="auto" w:fill="auto"/>
        <w:spacing w:after="0" w:line="240" w:lineRule="auto"/>
        <w:ind w:left="160" w:firstLine="40"/>
        <w:jc w:val="both"/>
      </w:pPr>
      <w:proofErr w:type="gramStart"/>
      <w:r>
        <w:t>.Zásobovacím</w:t>
      </w:r>
      <w:proofErr w:type="gramEnd"/>
      <w:r>
        <w:t xml:space="preserve"> zařízení" se rozumí velkoobjemový zásobník, do kterého </w:t>
      </w:r>
      <w:r>
        <w:rPr>
          <w:lang w:val="en-US" w:eastAsia="en-US" w:bidi="en-US"/>
        </w:rPr>
        <w:t xml:space="preserve">Linde </w:t>
      </w:r>
      <w:r>
        <w:t xml:space="preserve">dodává zpravidla kapalné Plyny. </w:t>
      </w:r>
      <w:proofErr w:type="gramStart"/>
      <w:r>
        <w:t>.Zásobovací</w:t>
      </w:r>
      <w:proofErr w:type="gramEnd"/>
      <w:r>
        <w:t xml:space="preserve"> zařízení Lindě“, které </w:t>
      </w:r>
      <w:r>
        <w:rPr>
          <w:lang w:val="en-US" w:eastAsia="en-US" w:bidi="en-US"/>
        </w:rPr>
        <w:t xml:space="preserve">Linde </w:t>
      </w:r>
      <w:r>
        <w:t>na základě samostatné Smlouvy pronajalo zákazníkovi, se nestává se součástí nemovitosti, na které je postaveno, i když je s ní pevné spojeno</w:t>
      </w:r>
    </w:p>
    <w:p w:rsidR="00971DF6" w:rsidRDefault="009B2A9F">
      <w:pPr>
        <w:pStyle w:val="Bodytext10"/>
        <w:shd w:val="clear" w:color="auto" w:fill="auto"/>
        <w:spacing w:line="240" w:lineRule="auto"/>
        <w:ind w:firstLine="200"/>
        <w:jc w:val="both"/>
      </w:pPr>
      <w:r>
        <w:rPr>
          <w:lang w:val="en-US" w:eastAsia="en-US" w:bidi="en-US"/>
        </w:rPr>
        <w:t xml:space="preserve">Linde </w:t>
      </w:r>
      <w:r>
        <w:t xml:space="preserve">dodává Plyn do Zásobovacího zařízeni průběžně zpravidla na základě zařízení na dálkové sledování stavu tak, aby měl zákazník v Zásobovacím zařízení dostatečnou zásobu Plynu, s přihlédnutím k jeho obvyklé spotřebě Zákazník zajisti bezplatně vhodný a bezpečný přístup </w:t>
      </w:r>
      <w:r>
        <w:rPr>
          <w:lang w:val="en-US" w:eastAsia="en-US" w:bidi="en-US"/>
        </w:rPr>
        <w:t xml:space="preserve">Linde </w:t>
      </w:r>
      <w:r>
        <w:t xml:space="preserve">k Zásobovacímu zařízení 24 hod denně a umožní </w:t>
      </w:r>
      <w:r>
        <w:rPr>
          <w:lang w:val="en-US" w:eastAsia="en-US" w:bidi="en-US"/>
        </w:rPr>
        <w:t xml:space="preserve">Linde </w:t>
      </w:r>
      <w:r>
        <w:t xml:space="preserve">užívat příjezdovou cestu k Zásobovacímu zařízení pro vozidla do 44 t. Zákazník se zavazuje umožnit </w:t>
      </w:r>
      <w:r>
        <w:rPr>
          <w:lang w:val="en-US" w:eastAsia="en-US" w:bidi="en-US"/>
        </w:rPr>
        <w:t xml:space="preserve">Linde </w:t>
      </w:r>
      <w:r>
        <w:t xml:space="preserve">řádné a včasné plnění Zásobovacího zařízení Plynem, zejména udržovat Zásobovací zařízení v řádném a provozuschopném stavu, bez vnitřních nečistot, a neprodleně hlásit </w:t>
      </w:r>
      <w:r>
        <w:rPr>
          <w:lang w:val="en-US" w:eastAsia="en-US" w:bidi="en-US"/>
        </w:rPr>
        <w:t xml:space="preserve">Linde </w:t>
      </w:r>
      <w:r>
        <w:t xml:space="preserve">skutečnosti, které mohou mít vliv na plnění závazků </w:t>
      </w:r>
      <w:r>
        <w:rPr>
          <w:lang w:val="en-US" w:eastAsia="en-US" w:bidi="en-US"/>
        </w:rPr>
        <w:t xml:space="preserve">Linde </w:t>
      </w:r>
      <w:r>
        <w:t xml:space="preserve">ze Smlouvy. Pokud </w:t>
      </w:r>
      <w:r>
        <w:rPr>
          <w:lang w:val="en-US" w:eastAsia="en-US" w:bidi="en-US"/>
        </w:rPr>
        <w:t xml:space="preserve">Linde </w:t>
      </w:r>
      <w:r>
        <w:t xml:space="preserve">nemůže provést dodávku Plynu do Zásobovacího zařízení kvůli </w:t>
      </w:r>
      <w:proofErr w:type="spellStart"/>
      <w:r>
        <w:t>nesoučmnosti</w:t>
      </w:r>
      <w:proofErr w:type="spellEnd"/>
      <w:r>
        <w:t xml:space="preserve"> zákazníka, může vyúčtovat zákazníkovi neúspěšnou jízdu a náklady na uskladnění Plynu až do okamžiku jeho dodání 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w:t>
      </w:r>
      <w:r>
        <w:rPr>
          <w:lang w:val="en-US" w:eastAsia="en-US" w:bidi="en-US"/>
        </w:rPr>
        <w:t xml:space="preserve">Linde </w:t>
      </w:r>
      <w:r>
        <w:t xml:space="preserve">písemné sdělit, </w:t>
      </w:r>
      <w:proofErr w:type="spellStart"/>
      <w:r>
        <w:t>nejpozdéji</w:t>
      </w:r>
      <w:proofErr w:type="spellEnd"/>
      <w:r>
        <w:t xml:space="preserve"> 24 hodin předem s uvedením důvodu a doby trvání takové situace</w:t>
      </w:r>
    </w:p>
    <w:p w:rsidR="00971DF6" w:rsidRDefault="009B2A9F">
      <w:pPr>
        <w:pStyle w:val="Bodytext10"/>
        <w:numPr>
          <w:ilvl w:val="0"/>
          <w:numId w:val="1"/>
        </w:numPr>
        <w:shd w:val="clear" w:color="auto" w:fill="auto"/>
        <w:tabs>
          <w:tab w:val="left" w:pos="248"/>
        </w:tabs>
        <w:spacing w:after="0" w:line="259" w:lineRule="auto"/>
        <w:jc w:val="both"/>
      </w:pPr>
      <w:r>
        <w:t>PRONÁJEM DISTRIBUČNÍCH PROSTŘEDKŮ</w:t>
      </w:r>
    </w:p>
    <w:p w:rsidR="00971DF6" w:rsidRDefault="009B2A9F">
      <w:pPr>
        <w:pStyle w:val="Bodytext10"/>
        <w:shd w:val="clear" w:color="auto" w:fill="auto"/>
        <w:spacing w:line="240" w:lineRule="auto"/>
        <w:jc w:val="both"/>
      </w:pPr>
      <w:r>
        <w:t xml:space="preserve">Nájemní vztah mezi </w:t>
      </w:r>
      <w:r>
        <w:rPr>
          <w:lang w:val="en-US" w:eastAsia="en-US" w:bidi="en-US"/>
        </w:rPr>
        <w:t xml:space="preserve">Linde </w:t>
      </w:r>
      <w:r>
        <w:t xml:space="preserve">a zákazníkem vzniká podpisem Smlouvy, dodacího či přepravního listu k Distribučnímu prostředku zákazníkem či jeho zástupcem Za užívání Distribučních prostředků </w:t>
      </w:r>
      <w:r>
        <w:rPr>
          <w:lang w:val="en-US" w:eastAsia="en-US" w:bidi="en-US"/>
        </w:rPr>
        <w:t xml:space="preserve">Linde </w:t>
      </w:r>
      <w:r>
        <w:t xml:space="preserve">je zákazník povinen platit denní nájemné, které bude účtováno ze strany </w:t>
      </w:r>
      <w:r>
        <w:rPr>
          <w:lang w:val="en-US" w:eastAsia="en-US" w:bidi="en-US"/>
        </w:rPr>
        <w:t xml:space="preserve">Linde </w:t>
      </w:r>
      <w:r>
        <w:t xml:space="preserve">při převzetí Distribučního prostředku a/nebo nejméně jednou měsíčné. U dlouhodobého nájmu Distribučního prostředku je nájemné za celou dobu nájmu vyúčtováno ihned po uzavření Smlouvy. U Distribučních prostředků </w:t>
      </w:r>
      <w:r>
        <w:rPr>
          <w:lang w:val="en-US" w:eastAsia="en-US" w:bidi="en-US"/>
        </w:rPr>
        <w:t xml:space="preserve">Linde, </w:t>
      </w:r>
      <w:r>
        <w:t>které má zákazník v držení déle než tři měsíce bez obrátky (</w:t>
      </w:r>
      <w:proofErr w:type="spellStart"/>
      <w:r>
        <w:t>tzn</w:t>
      </w:r>
      <w:proofErr w:type="spellEnd"/>
      <w:r>
        <w:t xml:space="preserve"> výměny prázdných za plné), je Lindě oprávněna účtovat zákazníkovi dodatkové nájemné. Výše denního nájemného a dodatkového nájemného se řídí dle ceníku </w:t>
      </w:r>
      <w:r>
        <w:rPr>
          <w:lang w:val="en-US" w:eastAsia="en-US" w:bidi="en-US"/>
        </w:rPr>
        <w:t xml:space="preserve">Linde </w:t>
      </w:r>
      <w:r>
        <w:t xml:space="preserve">zveřejněného v Prodejních místech </w:t>
      </w:r>
      <w:r>
        <w:rPr>
          <w:lang w:val="en-US" w:eastAsia="en-US" w:bidi="en-US"/>
        </w:rPr>
        <w:t xml:space="preserve">Linde. Linde </w:t>
      </w:r>
      <w:r>
        <w:t xml:space="preserve">je oprávněna sazby nájemného upravovat i v průběhu nájemního vztahu, a to doručením oznámení o zvýšení nájemného zákazníkovi, a to aspoň 15 dní před jeho účinností. </w:t>
      </w:r>
      <w:r>
        <w:rPr>
          <w:lang w:val="en-US" w:eastAsia="en-US" w:bidi="en-US"/>
        </w:rPr>
        <w:t xml:space="preserve">Linde </w:t>
      </w:r>
      <w:r>
        <w:t xml:space="preserve">je oprávněna požadovat po zákazníkovi neúročenou kauci až do výše pořizovací ceny Distribučního prostředku. </w:t>
      </w:r>
      <w:r>
        <w:rPr>
          <w:lang w:val="en-US" w:eastAsia="en-US" w:bidi="en-US"/>
        </w:rPr>
        <w:t xml:space="preserve">Linde </w:t>
      </w:r>
      <w:r>
        <w:t xml:space="preserve">vrátí kauci zákazníkovi po předání Distribučního prostředku a kaučního lístku Prodejnímu místu </w:t>
      </w:r>
      <w:r>
        <w:rPr>
          <w:lang w:val="en-US" w:eastAsia="en-US" w:bidi="en-US"/>
        </w:rPr>
        <w:t xml:space="preserve">Linde, </w:t>
      </w:r>
      <w:r>
        <w:t xml:space="preserve">přičemž je oprávněna započíst si proti kauci své pohledávky za zákazníkem, zejména náklady na odstraňování škod na Distribučním prostředku </w:t>
      </w:r>
      <w:proofErr w:type="spellStart"/>
      <w:r>
        <w:t>vč</w:t>
      </w:r>
      <w:proofErr w:type="spellEnd"/>
      <w:r>
        <w:t xml:space="preserve"> vnitřního znečištění. Distribuční prostředky zákazník vrací na své náklady v Prodejním místě </w:t>
      </w:r>
      <w:r>
        <w:rPr>
          <w:lang w:val="en-US" w:eastAsia="en-US" w:bidi="en-US"/>
        </w:rPr>
        <w:t xml:space="preserve">Linde </w:t>
      </w:r>
      <w:r>
        <w:t xml:space="preserve">v jeho prodejní době; </w:t>
      </w:r>
      <w:proofErr w:type="spellStart"/>
      <w:r>
        <w:t>pň</w:t>
      </w:r>
      <w:proofErr w:type="spellEnd"/>
      <w:r>
        <w:t xml:space="preserve"> vrácení nevzniká zákazníkovi nárok na úhradu za Plyny obsažené ve vráceném Distribučním prostředku ani na vracení nevyčerpaného nájemného Zadržovací právo na pronajaté Distribuční prostředky se po dobu trváni Smlouvy vylučuje Zákazník odpovídá </w:t>
      </w:r>
      <w:r>
        <w:rPr>
          <w:lang w:val="en-US" w:eastAsia="en-US" w:bidi="en-US"/>
        </w:rPr>
        <w:t xml:space="preserve">Linde </w:t>
      </w:r>
      <w:r>
        <w:t xml:space="preserve">za zcizení, ztrátu, poškození, zničení nebo včasné nevrácení Distribučního prostředku, jeho příslušenství či čárového kódu a jiných označení na něm umístěných. Přenecháni Distribučních prostředků třetí osobě není dovoleno Distribuční prostředky </w:t>
      </w:r>
      <w:r>
        <w:rPr>
          <w:lang w:val="en-US" w:eastAsia="en-US" w:bidi="en-US"/>
        </w:rPr>
        <w:t xml:space="preserve">Linde </w:t>
      </w:r>
      <w:r>
        <w:t xml:space="preserve">se mohou používat pouze pro Plyn dodaný </w:t>
      </w:r>
      <w:r>
        <w:rPr>
          <w:lang w:val="en-US" w:eastAsia="en-US" w:bidi="en-US"/>
        </w:rPr>
        <w:t xml:space="preserve">Linde </w:t>
      </w:r>
      <w:r>
        <w:t>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p w:rsidR="00971DF6" w:rsidRDefault="009B2A9F">
      <w:pPr>
        <w:pStyle w:val="Bodytext10"/>
        <w:numPr>
          <w:ilvl w:val="0"/>
          <w:numId w:val="1"/>
        </w:numPr>
        <w:shd w:val="clear" w:color="auto" w:fill="auto"/>
        <w:tabs>
          <w:tab w:val="left" w:pos="248"/>
        </w:tabs>
        <w:spacing w:after="0" w:line="240" w:lineRule="auto"/>
        <w:jc w:val="both"/>
      </w:pPr>
      <w:r>
        <w:t>DISTRIBUČNÍ PROSTŘEDKY ZÁKAZNÍKŮ</w:t>
      </w:r>
    </w:p>
    <w:p w:rsidR="00971DF6" w:rsidRDefault="009B2A9F">
      <w:pPr>
        <w:pStyle w:val="Bodytext10"/>
        <w:shd w:val="clear" w:color="auto" w:fill="auto"/>
        <w:spacing w:line="240" w:lineRule="auto"/>
        <w:jc w:val="both"/>
      </w:pPr>
      <w:r>
        <w:t xml:space="preserve">V případě dohody bude Lindě plnit Plynem i Distribuční prostředky zákazníků, které jsou svým označením odlišitelné od Distribučních prostředků </w:t>
      </w:r>
      <w:r>
        <w:rPr>
          <w:lang w:val="en-US" w:eastAsia="en-US" w:bidi="en-US"/>
        </w:rPr>
        <w:t xml:space="preserve">Linde </w:t>
      </w:r>
      <w:r>
        <w:t xml:space="preserve">Zákazník souhlasí s tím, že součástí plnění </w:t>
      </w:r>
      <w:r>
        <w:rPr>
          <w:lang w:val="en-US" w:eastAsia="en-US" w:bidi="en-US"/>
        </w:rPr>
        <w:t xml:space="preserve">Linde </w:t>
      </w:r>
      <w:r>
        <w:t xml:space="preserve">bude i přezkoušení </w:t>
      </w:r>
      <w:proofErr w:type="spellStart"/>
      <w:r>
        <w:t>Distnbučního</w:t>
      </w:r>
      <w:proofErr w:type="spellEnd"/>
      <w:r>
        <w:t xml:space="preserve"> prostředku podle platných předpisů před jeho naplněním, a zavazuje se uhradit </w:t>
      </w:r>
      <w:r>
        <w:rPr>
          <w:lang w:val="en-US" w:eastAsia="en-US" w:bidi="en-US"/>
        </w:rPr>
        <w:t xml:space="preserve">Linde </w:t>
      </w:r>
      <w:r>
        <w:t>cenu tohoto přezkoušení.</w:t>
      </w:r>
    </w:p>
    <w:p w:rsidR="00971DF6" w:rsidRDefault="009B2A9F">
      <w:pPr>
        <w:pStyle w:val="Bodytext10"/>
        <w:numPr>
          <w:ilvl w:val="0"/>
          <w:numId w:val="1"/>
        </w:numPr>
        <w:shd w:val="clear" w:color="auto" w:fill="auto"/>
        <w:tabs>
          <w:tab w:val="left" w:pos="248"/>
        </w:tabs>
        <w:spacing w:after="0" w:line="240" w:lineRule="auto"/>
        <w:jc w:val="both"/>
      </w:pPr>
      <w:r>
        <w:t>CENY A PLATEBNÍ PODMÍNKY</w:t>
      </w:r>
    </w:p>
    <w:p w:rsidR="00971DF6" w:rsidRDefault="009B2A9F">
      <w:pPr>
        <w:pStyle w:val="Bodytext10"/>
        <w:shd w:val="clear" w:color="auto" w:fill="auto"/>
        <w:spacing w:line="240" w:lineRule="auto"/>
        <w:jc w:val="both"/>
      </w:pPr>
      <w:r>
        <w:t xml:space="preserve">Pokud není cena Plynů či ostatních plnění uvedena ve Smlouvě, řídí se dle aktuálního ceníku </w:t>
      </w:r>
      <w:r>
        <w:rPr>
          <w:lang w:val="en-US" w:eastAsia="en-US" w:bidi="en-US"/>
        </w:rPr>
        <w:t xml:space="preserve">Linde, </w:t>
      </w:r>
      <w:r>
        <w:t xml:space="preserve">který je k dispozici v Prodejních místech </w:t>
      </w:r>
      <w:r>
        <w:rPr>
          <w:lang w:val="en-US" w:eastAsia="en-US" w:bidi="en-US"/>
        </w:rPr>
        <w:t xml:space="preserve">Linde </w:t>
      </w:r>
      <w:proofErr w:type="spellStart"/>
      <w:r>
        <w:t>Pn</w:t>
      </w:r>
      <w:proofErr w:type="spellEnd"/>
      <w:r>
        <w:t xml:space="preserve"> nedostatku Plynu způsobeného </w:t>
      </w:r>
      <w:proofErr w:type="spellStart"/>
      <w:r>
        <w:t>zejm</w:t>
      </w:r>
      <w:proofErr w:type="spellEnd"/>
      <w:r>
        <w:t xml:space="preserve"> poruchami či odstávkami výrobních zdrojů, je </w:t>
      </w:r>
      <w:r>
        <w:rPr>
          <w:lang w:val="en-US" w:eastAsia="en-US" w:bidi="en-US"/>
        </w:rPr>
        <w:t xml:space="preserve">Linde </w:t>
      </w:r>
      <w:r>
        <w:t xml:space="preserve">oprávněna aplikovat měsíční limit dodávek Plynu odvozený od smluveného množství dodávek Plynu s tím, že pokud zákazník odebere Plyn nad určený měsíční limit, je </w:t>
      </w:r>
      <w:r>
        <w:rPr>
          <w:lang w:val="en-US" w:eastAsia="en-US" w:bidi="en-US"/>
        </w:rPr>
        <w:t xml:space="preserve">Linde </w:t>
      </w:r>
      <w:r>
        <w:t xml:space="preserve">oprávněna mu vyúčtovat poplatek určený </w:t>
      </w:r>
      <w:r>
        <w:rPr>
          <w:lang w:val="en-US" w:eastAsia="en-US" w:bidi="en-US"/>
        </w:rPr>
        <w:t xml:space="preserve">Linde </w:t>
      </w:r>
      <w:r>
        <w:t xml:space="preserve">pro tuto situaci. Společně s cenou dodaného Plynu je </w:t>
      </w:r>
      <w:r>
        <w:rPr>
          <w:lang w:val="en-US" w:eastAsia="en-US" w:bidi="en-US"/>
        </w:rPr>
        <w:t xml:space="preserve">Linde </w:t>
      </w:r>
      <w:r>
        <w:t xml:space="preserve">oprávněna zákazníkovi účtovat poplatky ve výši dle platného ceníku </w:t>
      </w:r>
      <w:r>
        <w:rPr>
          <w:lang w:val="en-US" w:eastAsia="en-US" w:bidi="en-US"/>
        </w:rPr>
        <w:t xml:space="preserve">Linde </w:t>
      </w:r>
      <w:r>
        <w:t xml:space="preserve">zveřejněného v Prodejních místech </w:t>
      </w:r>
      <w:r>
        <w:rPr>
          <w:lang w:val="en-US" w:eastAsia="en-US" w:bidi="en-US"/>
        </w:rPr>
        <w:t xml:space="preserve">Linde, </w:t>
      </w:r>
      <w:r>
        <w:t xml:space="preserve">zejména poplatek ADR, silniční a energetický poplatek za každý Distribuční prostředek a dodávku kapalných Plynů do Zásobovacího zařízení, sezónní příplatek za kapalný oxid uhličitý a poplatek za příslušný atest. Je-li tak stanoveno Smlouvou či právními předpisy, bude </w:t>
      </w:r>
      <w:r>
        <w:rPr>
          <w:lang w:val="en-US" w:eastAsia="en-US" w:bidi="en-US"/>
        </w:rPr>
        <w:t xml:space="preserve">Linde </w:t>
      </w:r>
      <w:r>
        <w:t xml:space="preserve">vystavovat zákazníkovi po dodání produktu (Plyn, zboží, služba) vyúčtování s náležitostmi daňového dokladu, které obsahuje cenu produktů, poplatky a jiné částky, na které má </w:t>
      </w:r>
      <w:r>
        <w:rPr>
          <w:lang w:val="en-US" w:eastAsia="en-US" w:bidi="en-US"/>
        </w:rPr>
        <w:t xml:space="preserve">Linde </w:t>
      </w:r>
      <w:r>
        <w:t xml:space="preserve">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w:t>
      </w:r>
      <w:r>
        <w:rPr>
          <w:lang w:val="en-US" w:eastAsia="en-US" w:bidi="en-US"/>
        </w:rPr>
        <w:t xml:space="preserve">Linde </w:t>
      </w:r>
      <w:r>
        <w:t xml:space="preserve">je zákazník oprávněn vznést pouze do 30 dnů od doručení vyúčtování Sdělením své e-mailové adresy zákazník uděluje </w:t>
      </w:r>
      <w:r>
        <w:rPr>
          <w:lang w:val="en-US" w:eastAsia="en-US" w:bidi="en-US"/>
        </w:rPr>
        <w:t xml:space="preserve">Linde </w:t>
      </w:r>
      <w:r>
        <w:t xml:space="preserve">právo zasílat zákazníkovi faktury za dodané produkty e-mailem V případě prodlení zákazníka se zaplacením splatné platby vyúčtované mu ze strany </w:t>
      </w:r>
      <w:r>
        <w:rPr>
          <w:lang w:val="en-US" w:eastAsia="en-US" w:bidi="en-US"/>
        </w:rPr>
        <w:t xml:space="preserve">Linde, </w:t>
      </w:r>
      <w:r>
        <w:t xml:space="preserve">je </w:t>
      </w:r>
      <w:r>
        <w:rPr>
          <w:lang w:val="en-US" w:eastAsia="en-US" w:bidi="en-US"/>
        </w:rPr>
        <w:t xml:space="preserve">Linde </w:t>
      </w:r>
      <w:r>
        <w:t xml:space="preserve">oprávněna požadovat smluvní pokutu ve výši 0,03 % z dlužné částky za každý den prodlení a dále náhradu způsobené škody U zákazníků, kteří </w:t>
      </w:r>
      <w:r>
        <w:rPr>
          <w:lang w:val="en-US" w:eastAsia="en-US" w:bidi="en-US"/>
        </w:rPr>
        <w:t xml:space="preserve">Linde </w:t>
      </w:r>
      <w:r>
        <w:t xml:space="preserve">neprokáží spolehlivé svou platební schopnost nebo platební morálku, může </w:t>
      </w:r>
      <w:r>
        <w:rPr>
          <w:lang w:val="en-US" w:eastAsia="en-US" w:bidi="en-US"/>
        </w:rPr>
        <w:t xml:space="preserve">Linde </w:t>
      </w:r>
      <w:r>
        <w:t xml:space="preserve">požadovat zálohovou platbu s tím, že tuto zálohou platbu je </w:t>
      </w:r>
      <w:r>
        <w:rPr>
          <w:lang w:val="en-US" w:eastAsia="en-US" w:bidi="en-US"/>
        </w:rPr>
        <w:t xml:space="preserve">Linde </w:t>
      </w:r>
      <w:r>
        <w:t xml:space="preserve">oprávněna vyúčtovat proti svým pohledávkám za zákazníkem. Až do úplného uhrazení plateb za Plyn či jiný produkt dodaný ze strany </w:t>
      </w:r>
      <w:r>
        <w:rPr>
          <w:lang w:val="en-US" w:eastAsia="en-US" w:bidi="en-US"/>
        </w:rPr>
        <w:t xml:space="preserve">Linde </w:t>
      </w:r>
      <w:r>
        <w:t xml:space="preserve">zákazníkovi, zůstává dodaný produkt ve vlastnictví </w:t>
      </w:r>
      <w:r>
        <w:rPr>
          <w:lang w:val="en-US" w:eastAsia="en-US" w:bidi="en-US"/>
        </w:rPr>
        <w:t>Linde.</w:t>
      </w:r>
    </w:p>
    <w:p w:rsidR="00971DF6" w:rsidRDefault="009B2A9F">
      <w:pPr>
        <w:pStyle w:val="Bodytext10"/>
        <w:numPr>
          <w:ilvl w:val="0"/>
          <w:numId w:val="1"/>
        </w:numPr>
        <w:shd w:val="clear" w:color="auto" w:fill="auto"/>
        <w:tabs>
          <w:tab w:val="left" w:pos="248"/>
        </w:tabs>
        <w:spacing w:after="0" w:line="240" w:lineRule="auto"/>
        <w:jc w:val="both"/>
      </w:pPr>
      <w:r>
        <w:t>ODPOVĚDNOST ZA VADY A ŠKODY</w:t>
      </w:r>
    </w:p>
    <w:p w:rsidR="00971DF6" w:rsidRDefault="009B2A9F">
      <w:pPr>
        <w:pStyle w:val="Bodytext10"/>
        <w:shd w:val="clear" w:color="auto" w:fill="auto"/>
        <w:spacing w:after="0" w:line="240" w:lineRule="auto"/>
        <w:jc w:val="both"/>
      </w:pPr>
      <w:r>
        <w:rPr>
          <w:lang w:val="en-US" w:eastAsia="en-US" w:bidi="en-US"/>
        </w:rPr>
        <w:t xml:space="preserve">Linde </w:t>
      </w:r>
      <w:r>
        <w:t>dodává zákazníkovi Plyny v množství a kvalitě určené ve Smlouvě, jinak v kvalitě a množství odpovídající podobným dodávkám. Jestliže je ve Smlouvě na dodávku Plynu v Distribučních prostředcích smluvené množství Plynu určeno v "m</w:t>
      </w:r>
      <w:r>
        <w:rPr>
          <w:vertAlign w:val="superscript"/>
        </w:rPr>
        <w:t>3</w:t>
      </w:r>
      <w:r>
        <w:t xml:space="preserve">", pak se vztahuje na stav Plynu </w:t>
      </w:r>
      <w:proofErr w:type="spellStart"/>
      <w:r>
        <w:t>pň</w:t>
      </w:r>
      <w:proofErr w:type="spellEnd"/>
      <w:r>
        <w:t xml:space="preserve"> 15 °C a tlaku 0,1 </w:t>
      </w:r>
      <w:proofErr w:type="spellStart"/>
      <w:r>
        <w:t>MPa</w:t>
      </w:r>
      <w:proofErr w:type="spellEnd"/>
      <w:r>
        <w:t xml:space="preserve">. Pokud je Plyn dodaný zákazníkovi vadný nebo neodpovídá množství dodaného Plynu, má zákazník právo uplatnit reklamaci, která se řídi reklamačním řádem </w:t>
      </w:r>
      <w:r>
        <w:rPr>
          <w:lang w:val="en-US" w:eastAsia="en-US" w:bidi="en-US"/>
        </w:rPr>
        <w:t xml:space="preserve">Linde, </w:t>
      </w:r>
      <w:r>
        <w:t xml:space="preserve">který je k dispozici na webových stránkách </w:t>
      </w:r>
      <w:r>
        <w:rPr>
          <w:lang w:val="en-US" w:eastAsia="en-US" w:bidi="en-US"/>
        </w:rPr>
        <w:t xml:space="preserve">Linde. </w:t>
      </w:r>
      <w:r>
        <w:t xml:space="preserve">Pro reklamaci kvality Plynů nesmí být spotřebováno více než 50 % náplně, a to z důvodu možného provedení řádných kontrolních analýz. Distribuční prostředky s vadným Plynem nesmějí být dále používány a po nápadném označení musí být vráceny Prodejnímu místu </w:t>
      </w:r>
      <w:r>
        <w:rPr>
          <w:lang w:val="en-US" w:eastAsia="en-US" w:bidi="en-US"/>
        </w:rPr>
        <w:t xml:space="preserve">Linde </w:t>
      </w:r>
      <w:r>
        <w:t xml:space="preserve">V případě opožděných dodávek nebo výpadku v dodávkách Plynu může zákazník, pokud </w:t>
      </w:r>
      <w:r>
        <w:rPr>
          <w:lang w:val="en-US" w:eastAsia="en-US" w:bidi="en-US"/>
        </w:rPr>
        <w:t xml:space="preserve">Linde </w:t>
      </w:r>
      <w:r>
        <w:t xml:space="preserve">nesplní dodávku v dodatečné lhůtě po výzvě zákazníka, odstoupit od Smlouvy V případě, že je zákazník spotřebitelem, je subjektem příslušným pro mimosoudní řešení sporu zákazníka s </w:t>
      </w:r>
      <w:r>
        <w:rPr>
          <w:lang w:val="en-US" w:eastAsia="en-US" w:bidi="en-US"/>
        </w:rPr>
        <w:t xml:space="preserve">Linde </w:t>
      </w:r>
      <w:r>
        <w:t xml:space="preserve">česká obchodní inspekce, bližší informace na </w:t>
      </w:r>
      <w:hyperlink r:id="rId12" w:history="1">
        <w:r>
          <w:rPr>
            <w:lang w:val="en-US" w:eastAsia="en-US" w:bidi="en-US"/>
          </w:rPr>
          <w:t>www.coi.cz</w:t>
        </w:r>
      </w:hyperlink>
      <w:r>
        <w:rPr>
          <w:lang w:val="en-US" w:eastAsia="en-US" w:bidi="en-US"/>
        </w:rPr>
        <w:t xml:space="preserve">. </w:t>
      </w:r>
      <w:r>
        <w:t xml:space="preserve">Je-li zákazník v prodlení s úhradou jakékoli platby vyúčtované mu ze strany </w:t>
      </w:r>
      <w:r>
        <w:rPr>
          <w:lang w:val="en-US" w:eastAsia="en-US" w:bidi="en-US"/>
        </w:rPr>
        <w:t xml:space="preserve">Linde, </w:t>
      </w:r>
      <w:r>
        <w:t xml:space="preserve">je </w:t>
      </w:r>
      <w:r>
        <w:rPr>
          <w:lang w:val="en-US" w:eastAsia="en-US" w:bidi="en-US"/>
        </w:rPr>
        <w:t xml:space="preserve">Linde </w:t>
      </w:r>
      <w:r>
        <w:t xml:space="preserve">oprávněna zastavit dodávky Plynu, další nájem Distribučních prostředků či prodej jiných produktů (zboží, služeb) zákazníkovi, a to až do úplného zaplacení dlužné částky. </w:t>
      </w:r>
      <w:proofErr w:type="spellStart"/>
      <w:r>
        <w:t>Pn</w:t>
      </w:r>
      <w:proofErr w:type="spellEnd"/>
      <w:r>
        <w:t xml:space="preserve"> zcizení, poškození, nebo nevrácení Distribučního prostředku je zákazník povinen uhradit </w:t>
      </w:r>
      <w:r>
        <w:rPr>
          <w:lang w:val="en-US" w:eastAsia="en-US" w:bidi="en-US"/>
        </w:rPr>
        <w:t xml:space="preserve">Linde </w:t>
      </w:r>
      <w:r>
        <w:t xml:space="preserve">smluvní pokutu za každou Láhev 4.000,- Kč, za každou Paletu 5.000,- Kč, za každý Pevný svazek 80.000,- Kč a za každý Kontejner či Trajler 100.000,- Kč, a vedle toho je </w:t>
      </w:r>
      <w:r>
        <w:rPr>
          <w:lang w:val="en-US" w:eastAsia="en-US" w:bidi="en-US"/>
        </w:rPr>
        <w:t xml:space="preserve">Linde </w:t>
      </w:r>
      <w:r>
        <w:t xml:space="preserve">oprávněna požadovat po zákazníkovi způsobenou škodu. Pokud v souvislosti se plněním Smlouvy vznikne jedné smluvní straně povinnost nahradit újmu druhé smluvní straně, která nebude způsobena úmyslné, z hrubé nedbalosti či na </w:t>
      </w:r>
      <w:proofErr w:type="spellStart"/>
      <w:r>
        <w:t>pňrozených</w:t>
      </w:r>
      <w:proofErr w:type="spellEnd"/>
      <w:r>
        <w:t xml:space="preserve"> právech člověka, pak si smluvní strany navzájem odpovídají za újmu pouze v podobě přímé škody s tím, že nepřímé, následné škody či ušlý zisk jsou vyloučeny. Celková újma vzniklá z všech dílčích škodných událostí v průběhu trvání Smlouvy je omezena na dvacet milionů Kč. Právo na náhradu újmy a vydání bezdůvodného obohacení se promlčuje v tříleté promlčecí době, která běží od okamžiku vzniku škody</w:t>
      </w:r>
    </w:p>
    <w:p w:rsidR="00971DF6" w:rsidRDefault="009B2A9F">
      <w:pPr>
        <w:pStyle w:val="Bodytext10"/>
        <w:shd w:val="clear" w:color="auto" w:fill="auto"/>
        <w:spacing w:line="240" w:lineRule="auto"/>
        <w:jc w:val="both"/>
      </w:pPr>
      <w: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 smluvních stran</w:t>
      </w:r>
    </w:p>
    <w:p w:rsidR="00971DF6" w:rsidRDefault="009B2A9F">
      <w:pPr>
        <w:pStyle w:val="Bodytext10"/>
        <w:numPr>
          <w:ilvl w:val="0"/>
          <w:numId w:val="1"/>
        </w:numPr>
        <w:shd w:val="clear" w:color="auto" w:fill="auto"/>
        <w:tabs>
          <w:tab w:val="left" w:pos="248"/>
        </w:tabs>
        <w:spacing w:after="0" w:line="240" w:lineRule="auto"/>
        <w:jc w:val="both"/>
      </w:pPr>
      <w:r>
        <w:t>ZPRACOVÁNÍ OSOBNÍCH ÚDAJŮ</w:t>
      </w:r>
    </w:p>
    <w:p w:rsidR="00971DF6" w:rsidRDefault="009B2A9F">
      <w:pPr>
        <w:pStyle w:val="Bodytext10"/>
        <w:shd w:val="clear" w:color="auto" w:fill="auto"/>
        <w:spacing w:line="240" w:lineRule="auto"/>
        <w:jc w:val="both"/>
      </w:pPr>
      <w:r>
        <w:t>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obecného nařízení o ochraně osobních údajů EU/2016/679 („GDPR“).</w:t>
      </w:r>
    </w:p>
    <w:p w:rsidR="00971DF6" w:rsidRDefault="009B2A9F">
      <w:pPr>
        <w:pStyle w:val="Bodytext10"/>
        <w:numPr>
          <w:ilvl w:val="0"/>
          <w:numId w:val="1"/>
        </w:numPr>
        <w:shd w:val="clear" w:color="auto" w:fill="auto"/>
        <w:tabs>
          <w:tab w:val="left" w:pos="248"/>
        </w:tabs>
        <w:spacing w:after="0" w:line="240" w:lineRule="auto"/>
        <w:jc w:val="both"/>
      </w:pPr>
      <w:r>
        <w:t>ZMĚNY PODMÍNEK</w:t>
      </w:r>
    </w:p>
    <w:p w:rsidR="00971DF6" w:rsidRDefault="009B2A9F">
      <w:pPr>
        <w:pStyle w:val="Bodytext10"/>
        <w:shd w:val="clear" w:color="auto" w:fill="auto"/>
        <w:spacing w:after="140" w:line="240" w:lineRule="auto"/>
      </w:pPr>
      <w:r>
        <w:t xml:space="preserve">Tyto Podmínky jsou účinné od 1.9.2019. </w:t>
      </w:r>
      <w:r>
        <w:rPr>
          <w:lang w:val="en-US" w:eastAsia="en-US" w:bidi="en-US"/>
        </w:rPr>
        <w:t xml:space="preserve">Linde </w:t>
      </w:r>
      <w:r>
        <w:t xml:space="preserve">je oprávněna změnit či doplnit tyto Podmínky, je však povinna seznámit zákazníka s novým zněním Podmínek alespoň 15 dní předem, například vyvěšením na webových stránkách </w:t>
      </w:r>
      <w:r>
        <w:rPr>
          <w:lang w:val="en-US" w:eastAsia="en-US" w:bidi="en-US"/>
        </w:rPr>
        <w:t xml:space="preserve">Linde </w:t>
      </w:r>
      <w:r>
        <w:t>či zasláním nového znění Podmínek e-mailem, na dodacím listu či na faktuře. Jestliže zákazník nové znění Podmínek do 30 dnů písemné odmítne, nové znění se u něj neuplatní.</w:t>
      </w:r>
    </w:p>
    <w:p w:rsidR="00971DF6" w:rsidRDefault="009B2A9F">
      <w:pPr>
        <w:pStyle w:val="Bodytext20"/>
        <w:shd w:val="clear" w:color="auto" w:fill="auto"/>
        <w:jc w:val="both"/>
      </w:pPr>
      <w:r>
        <w:rPr>
          <w:lang w:val="en-US" w:eastAsia="en-US" w:bidi="en-US"/>
        </w:rPr>
        <w:t xml:space="preserve">Linde </w:t>
      </w:r>
      <w:proofErr w:type="spellStart"/>
      <w:r>
        <w:t>Gas</w:t>
      </w:r>
      <w:proofErr w:type="spellEnd"/>
      <w:r>
        <w:t xml:space="preserve"> a s., sídlo. U </w:t>
      </w:r>
      <w:proofErr w:type="spellStart"/>
      <w:r>
        <w:t>Technoplynu</w:t>
      </w:r>
      <w:proofErr w:type="spellEnd"/>
      <w:r>
        <w:t xml:space="preserve"> 1324, 19800 Praha 9 - Kyje, IČO: 00011754, zapsaná v obchodním rejstříku vedeném Městským soudem v Praze oddíl B, vložka 411 (dále </w:t>
      </w:r>
      <w:proofErr w:type="gramStart"/>
      <w:r>
        <w:t xml:space="preserve">též </w:t>
      </w:r>
      <w:r>
        <w:rPr>
          <w:lang w:val="en-US" w:eastAsia="en-US" w:bidi="en-US"/>
        </w:rPr>
        <w:t>.Linde</w:t>
      </w:r>
      <w:proofErr w:type="gramEnd"/>
      <w:r>
        <w:rPr>
          <w:lang w:val="en-US" w:eastAsia="en-US" w:bidi="en-US"/>
        </w:rPr>
        <w:t>")</w:t>
      </w:r>
    </w:p>
    <w:sectPr w:rsidR="00971DF6" w:rsidSect="00DB57C9">
      <w:pgSz w:w="11900" w:h="16840"/>
      <w:pgMar w:top="499" w:right="453" w:bottom="99" w:left="3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13" w:rsidRDefault="00C86213">
      <w:r>
        <w:separator/>
      </w:r>
    </w:p>
  </w:endnote>
  <w:endnote w:type="continuationSeparator" w:id="0">
    <w:p w:rsidR="00C86213" w:rsidRDefault="00C8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9F" w:rsidRDefault="009B2A9F">
    <w:pPr>
      <w:spacing w:line="1" w:lineRule="exact"/>
    </w:pPr>
    <w:r>
      <w:rPr>
        <w:noProof/>
      </w:rPr>
      <mc:AlternateContent>
        <mc:Choice Requires="wps">
          <w:drawing>
            <wp:anchor distT="0" distB="0" distL="0" distR="0" simplePos="0" relativeHeight="62914693" behindDoc="1" locked="0" layoutInCell="1" allowOverlap="1">
              <wp:simplePos x="0" y="0"/>
              <wp:positionH relativeFrom="page">
                <wp:posOffset>7006590</wp:posOffset>
              </wp:positionH>
              <wp:positionV relativeFrom="page">
                <wp:posOffset>10435590</wp:posOffset>
              </wp:positionV>
              <wp:extent cx="18415" cy="59690"/>
              <wp:effectExtent l="0" t="0" r="0" b="0"/>
              <wp:wrapNone/>
              <wp:docPr id="7" name="Shape 7"/>
              <wp:cNvGraphicFramePr/>
              <a:graphic xmlns:a="http://schemas.openxmlformats.org/drawingml/2006/main">
                <a:graphicData uri="http://schemas.microsoft.com/office/word/2010/wordprocessingShape">
                  <wps:wsp>
                    <wps:cNvSpPr txBox="1"/>
                    <wps:spPr>
                      <a:xfrm>
                        <a:off x="0" y="0"/>
                        <a:ext cx="18415" cy="59690"/>
                      </a:xfrm>
                      <a:prstGeom prst="rect">
                        <a:avLst/>
                      </a:prstGeom>
                      <a:noFill/>
                    </wps:spPr>
                    <wps:txbx>
                      <w:txbxContent>
                        <w:p w:rsidR="009B2A9F" w:rsidRDefault="009B2A9F">
                          <w:pPr>
                            <w:pStyle w:val="Headerorfooter20"/>
                            <w:shd w:val="clear" w:color="auto" w:fill="auto"/>
                            <w:rPr>
                              <w:sz w:val="12"/>
                              <w:szCs w:val="12"/>
                            </w:rPr>
                          </w:pPr>
                          <w:r>
                            <w:rPr>
                              <w:rFonts w:ascii="Arial" w:eastAsia="Arial" w:hAnsi="Arial" w:cs="Arial"/>
                              <w:sz w:val="12"/>
                              <w:szCs w:val="1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551.7pt;margin-top:821.7pt;width:1.45pt;height:4.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" filled="f" stroked="f">
              <v:textbox style="mso-fit-shape-to-text:t" inset="0,0,0,0">
                <w:txbxContent>
                  <w:p w:rsidR="009B2A9F" w:rsidRDefault="009B2A9F">
                    <w:pPr>
                      <w:pStyle w:val="Headerorfooter20"/>
                      <w:shd w:val="clear" w:color="auto" w:fill="auto"/>
                      <w:rPr>
                        <w:sz w:val="12"/>
                        <w:szCs w:val="12"/>
                      </w:rPr>
                    </w:pPr>
                    <w:r>
                      <w:rPr>
                        <w:rFonts w:ascii="Arial" w:eastAsia="Arial" w:hAnsi="Arial" w:cs="Arial"/>
                        <w:sz w:val="12"/>
                        <w:szCs w:val="12"/>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9F" w:rsidRDefault="009B2A9F">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9F" w:rsidRDefault="009B2A9F">
    <w:pPr>
      <w:spacing w:line="1" w:lineRule="exact"/>
    </w:pPr>
    <w:r>
      <w:rPr>
        <w:noProof/>
      </w:rPr>
      <mc:AlternateContent>
        <mc:Choice Requires="wps">
          <w:drawing>
            <wp:anchor distT="0" distB="0" distL="0" distR="0" simplePos="0" relativeHeight="62914695" behindDoc="1" locked="0" layoutInCell="1" allowOverlap="1">
              <wp:simplePos x="0" y="0"/>
              <wp:positionH relativeFrom="page">
                <wp:posOffset>7122160</wp:posOffset>
              </wp:positionH>
              <wp:positionV relativeFrom="page">
                <wp:posOffset>10220960</wp:posOffset>
              </wp:positionV>
              <wp:extent cx="41275" cy="59690"/>
              <wp:effectExtent l="0" t="0" r="0" b="0"/>
              <wp:wrapNone/>
              <wp:docPr id="25" name="Shape 25"/>
              <wp:cNvGraphicFramePr/>
              <a:graphic xmlns:a="http://schemas.openxmlformats.org/drawingml/2006/main">
                <a:graphicData uri="http://schemas.microsoft.com/office/word/2010/wordprocessingShape">
                  <wps:wsp>
                    <wps:cNvSpPr txBox="1"/>
                    <wps:spPr>
                      <a:xfrm>
                        <a:off x="0" y="0"/>
                        <a:ext cx="41275" cy="59690"/>
                      </a:xfrm>
                      <a:prstGeom prst="rect">
                        <a:avLst/>
                      </a:prstGeom>
                      <a:noFill/>
                    </wps:spPr>
                    <wps:txbx>
                      <w:txbxContent>
                        <w:p w:rsidR="009B2A9F" w:rsidRDefault="009B2A9F">
                          <w:pPr>
                            <w:pStyle w:val="Headerorfooter20"/>
                            <w:shd w:val="clear" w:color="auto" w:fill="auto"/>
                            <w:rPr>
                              <w:sz w:val="12"/>
                              <w:szCs w:val="12"/>
                            </w:rPr>
                          </w:pPr>
                          <w:r>
                            <w:rPr>
                              <w:rFonts w:ascii="Arial" w:eastAsia="Arial" w:hAnsi="Arial" w:cs="Arial"/>
                              <w:sz w:val="12"/>
                              <w:szCs w:val="12"/>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0" type="#_x0000_t202" style="position:absolute;margin-left:560.8pt;margin-top:804.8pt;width:3.25pt;height:4.7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" filled="f" stroked="f">
              <v:textbox style="mso-fit-shape-to-text:t" inset="0,0,0,0">
                <w:txbxContent>
                  <w:p w:rsidR="009B2A9F" w:rsidRDefault="009B2A9F">
                    <w:pPr>
                      <w:pStyle w:val="Headerorfooter20"/>
                      <w:shd w:val="clear" w:color="auto" w:fill="auto"/>
                      <w:rPr>
                        <w:sz w:val="12"/>
                        <w:szCs w:val="12"/>
                      </w:rPr>
                    </w:pPr>
                    <w:r>
                      <w:rPr>
                        <w:rFonts w:ascii="Arial" w:eastAsia="Arial" w:hAnsi="Arial" w:cs="Arial"/>
                        <w:sz w:val="12"/>
                        <w:szCs w:val="1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13" w:rsidRDefault="00C86213"/>
  </w:footnote>
  <w:footnote w:type="continuationSeparator" w:id="0">
    <w:p w:rsidR="00C86213" w:rsidRDefault="00C862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695"/>
    <w:multiLevelType w:val="multilevel"/>
    <w:tmpl w:val="1346D7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3101D9"/>
    <w:multiLevelType w:val="multilevel"/>
    <w:tmpl w:val="183C00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E11AAF"/>
    <w:multiLevelType w:val="multilevel"/>
    <w:tmpl w:val="A1304F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F6"/>
    <w:rsid w:val="005975A5"/>
    <w:rsid w:val="00672EC8"/>
    <w:rsid w:val="0078099B"/>
    <w:rsid w:val="007A1571"/>
    <w:rsid w:val="0085503C"/>
    <w:rsid w:val="00916C83"/>
    <w:rsid w:val="00971DF6"/>
    <w:rsid w:val="009B2A9F"/>
    <w:rsid w:val="00C86213"/>
    <w:rsid w:val="00DB5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0D86"/>
  <w15:docId w15:val="{2C9F11B4-C2BE-49CB-82C7-3BACFDB8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4"/>
      <w:szCs w:val="14"/>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color w:val="5578B2"/>
      <w:sz w:val="14"/>
      <w:szCs w:val="14"/>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16"/>
      <w:szCs w:val="16"/>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4"/>
      <w:szCs w:val="14"/>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0"/>
      <w:szCs w:val="20"/>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4"/>
      <w:szCs w:val="14"/>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8"/>
      <w:szCs w:val="28"/>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2"/>
      <w:szCs w:val="12"/>
      <w:u w:val="none"/>
    </w:rPr>
  </w:style>
  <w:style w:type="character" w:customStyle="1" w:styleId="Bodytext5">
    <w:name w:val="Body text|5_"/>
    <w:basedOn w:val="Standardnpsmoodstavce"/>
    <w:link w:val="Bodytext50"/>
    <w:rPr>
      <w:b w:val="0"/>
      <w:bCs w:val="0"/>
      <w:i w:val="0"/>
      <w:iCs w:val="0"/>
      <w:smallCaps w:val="0"/>
      <w:strike w:val="0"/>
      <w:color w:val="5578B2"/>
      <w:sz w:val="22"/>
      <w:szCs w:val="22"/>
      <w:u w:val="none"/>
    </w:rPr>
  </w:style>
  <w:style w:type="paragraph" w:customStyle="1" w:styleId="Bodytext10">
    <w:name w:val="Body text|1"/>
    <w:basedOn w:val="Normln"/>
    <w:link w:val="Bodytext1"/>
    <w:pPr>
      <w:shd w:val="clear" w:color="auto" w:fill="FFFFFF"/>
      <w:spacing w:after="40" w:line="276" w:lineRule="auto"/>
    </w:pPr>
    <w:rPr>
      <w:rFonts w:ascii="Arial" w:eastAsia="Arial" w:hAnsi="Arial" w:cs="Arial"/>
      <w:sz w:val="14"/>
      <w:szCs w:val="14"/>
    </w:rPr>
  </w:style>
  <w:style w:type="paragraph" w:customStyle="1" w:styleId="Picturecaption10">
    <w:name w:val="Picture caption|1"/>
    <w:basedOn w:val="Normln"/>
    <w:link w:val="Picturecaption1"/>
    <w:pPr>
      <w:shd w:val="clear" w:color="auto" w:fill="FFFFFF"/>
    </w:pPr>
    <w:rPr>
      <w:rFonts w:ascii="Arial" w:eastAsia="Arial" w:hAnsi="Arial" w:cs="Arial"/>
      <w:color w:val="5578B2"/>
      <w:sz w:val="14"/>
      <w:szCs w:val="14"/>
    </w:rPr>
  </w:style>
  <w:style w:type="paragraph" w:customStyle="1" w:styleId="Heading310">
    <w:name w:val="Heading #3|1"/>
    <w:basedOn w:val="Normln"/>
    <w:link w:val="Heading31"/>
    <w:pPr>
      <w:shd w:val="clear" w:color="auto" w:fill="FFFFFF"/>
      <w:ind w:firstLine="470"/>
      <w:outlineLvl w:val="2"/>
    </w:pPr>
    <w:rPr>
      <w:rFonts w:ascii="Arial" w:eastAsia="Arial" w:hAnsi="Arial" w:cs="Arial"/>
      <w:sz w:val="16"/>
      <w:szCs w:val="16"/>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Other10">
    <w:name w:val="Other|1"/>
    <w:basedOn w:val="Normln"/>
    <w:link w:val="Other1"/>
    <w:pPr>
      <w:shd w:val="clear" w:color="auto" w:fill="FFFFFF"/>
      <w:spacing w:after="40" w:line="276" w:lineRule="auto"/>
    </w:pPr>
    <w:rPr>
      <w:rFonts w:ascii="Arial" w:eastAsia="Arial" w:hAnsi="Arial" w:cs="Arial"/>
      <w:sz w:val="14"/>
      <w:szCs w:val="14"/>
    </w:rPr>
  </w:style>
  <w:style w:type="paragraph" w:customStyle="1" w:styleId="Bodytext40">
    <w:name w:val="Body text|4"/>
    <w:basedOn w:val="Normln"/>
    <w:link w:val="Bodytext4"/>
    <w:pPr>
      <w:shd w:val="clear" w:color="auto" w:fill="FFFFFF"/>
      <w:spacing w:after="300"/>
      <w:ind w:firstLine="390"/>
    </w:pPr>
    <w:rPr>
      <w:rFonts w:ascii="Arial" w:eastAsia="Arial" w:hAnsi="Arial" w:cs="Arial"/>
      <w:sz w:val="20"/>
      <w:szCs w:val="20"/>
    </w:rPr>
  </w:style>
  <w:style w:type="paragraph" w:customStyle="1" w:styleId="Tablecaption10">
    <w:name w:val="Table caption|1"/>
    <w:basedOn w:val="Normln"/>
    <w:link w:val="Tablecaption1"/>
    <w:pPr>
      <w:shd w:val="clear" w:color="auto" w:fill="FFFFFF"/>
      <w:spacing w:line="288" w:lineRule="auto"/>
    </w:pPr>
    <w:rPr>
      <w:rFonts w:ascii="Arial" w:eastAsia="Arial" w:hAnsi="Arial" w:cs="Arial"/>
      <w:sz w:val="14"/>
      <w:szCs w:val="14"/>
    </w:rPr>
  </w:style>
  <w:style w:type="paragraph" w:customStyle="1" w:styleId="Bodytext30">
    <w:name w:val="Body text|3"/>
    <w:basedOn w:val="Normln"/>
    <w:link w:val="Bodytext3"/>
    <w:pPr>
      <w:shd w:val="clear" w:color="auto" w:fill="FFFFFF"/>
      <w:spacing w:before="80" w:after="140" w:line="290" w:lineRule="auto"/>
      <w:ind w:left="750"/>
      <w:jc w:val="center"/>
    </w:pPr>
    <w:rPr>
      <w:rFonts w:ascii="Arial" w:eastAsia="Arial" w:hAnsi="Arial" w:cs="Arial"/>
      <w:sz w:val="16"/>
      <w:szCs w:val="16"/>
    </w:rPr>
  </w:style>
  <w:style w:type="paragraph" w:customStyle="1" w:styleId="Heading110">
    <w:name w:val="Heading #1|1"/>
    <w:basedOn w:val="Normln"/>
    <w:link w:val="Heading11"/>
    <w:pPr>
      <w:shd w:val="clear" w:color="auto" w:fill="FFFFFF"/>
      <w:spacing w:after="120"/>
      <w:jc w:val="center"/>
      <w:outlineLvl w:val="0"/>
    </w:pPr>
    <w:rPr>
      <w:rFonts w:ascii="Arial" w:eastAsia="Arial" w:hAnsi="Arial" w:cs="Arial"/>
      <w:sz w:val="28"/>
      <w:szCs w:val="28"/>
    </w:rPr>
  </w:style>
  <w:style w:type="paragraph" w:customStyle="1" w:styleId="Heading210">
    <w:name w:val="Heading #2|1"/>
    <w:basedOn w:val="Normln"/>
    <w:link w:val="Heading21"/>
    <w:pPr>
      <w:shd w:val="clear" w:color="auto" w:fill="FFFFFF"/>
      <w:ind w:firstLine="290"/>
      <w:outlineLvl w:val="1"/>
    </w:pPr>
    <w:rPr>
      <w:rFonts w:ascii="Arial" w:eastAsia="Arial" w:hAnsi="Arial" w:cs="Arial"/>
    </w:rPr>
  </w:style>
  <w:style w:type="paragraph" w:customStyle="1" w:styleId="Bodytext20">
    <w:name w:val="Body text|2"/>
    <w:basedOn w:val="Normln"/>
    <w:link w:val="Bodytext2"/>
    <w:pPr>
      <w:shd w:val="clear" w:color="auto" w:fill="FFFFFF"/>
      <w:spacing w:after="40"/>
    </w:pPr>
    <w:rPr>
      <w:rFonts w:ascii="Arial" w:eastAsia="Arial" w:hAnsi="Arial" w:cs="Arial"/>
      <w:sz w:val="12"/>
      <w:szCs w:val="12"/>
    </w:rPr>
  </w:style>
  <w:style w:type="paragraph" w:customStyle="1" w:styleId="Bodytext50">
    <w:name w:val="Body text|5"/>
    <w:basedOn w:val="Normln"/>
    <w:link w:val="Bodytext5"/>
    <w:pPr>
      <w:shd w:val="clear" w:color="auto" w:fill="FFFFFF"/>
      <w:spacing w:after="180"/>
      <w:ind w:firstLine="240"/>
    </w:pPr>
    <w:rPr>
      <w:color w:val="5578B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3731</Words>
  <Characters>22014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c224e_KHS_zapad5p_BN-20200320084713</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c224e_KHS_zapad5p_BN-20200320084713</dc:title>
  <dc:subject/>
  <dc:creator>Gabriela Vinklerová</dc:creator>
  <cp:keywords/>
  <cp:lastModifiedBy>Vinklerová Gabriela</cp:lastModifiedBy>
  <cp:revision>5</cp:revision>
  <dcterms:created xsi:type="dcterms:W3CDTF">2020-03-20T11:12:00Z</dcterms:created>
  <dcterms:modified xsi:type="dcterms:W3CDTF">2020-03-20T11:22:00Z</dcterms:modified>
</cp:coreProperties>
</file>