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642" w:rsidRPr="00544E64" w:rsidRDefault="00EA12CC" w:rsidP="00544E64">
      <w:pPr>
        <w:jc w:val="center"/>
        <w:rPr>
          <w:sz w:val="44"/>
          <w:szCs w:val="44"/>
        </w:rPr>
      </w:pPr>
      <w:r w:rsidRPr="00544E64">
        <w:rPr>
          <w:sz w:val="44"/>
          <w:szCs w:val="44"/>
        </w:rPr>
        <w:t>Ro</w:t>
      </w:r>
      <w:r w:rsidR="008D20D1">
        <w:rPr>
          <w:sz w:val="44"/>
          <w:szCs w:val="44"/>
        </w:rPr>
        <w:t xml:space="preserve">zvoj </w:t>
      </w:r>
      <w:proofErr w:type="spellStart"/>
      <w:r w:rsidR="008D20D1">
        <w:rPr>
          <w:sz w:val="44"/>
          <w:szCs w:val="44"/>
        </w:rPr>
        <w:t>KISSoS</w:t>
      </w:r>
      <w:proofErr w:type="spellEnd"/>
      <w:r w:rsidR="008D20D1">
        <w:rPr>
          <w:sz w:val="44"/>
          <w:szCs w:val="44"/>
        </w:rPr>
        <w:t xml:space="preserve"> v období 2020 - 2024</w:t>
      </w:r>
    </w:p>
    <w:p w:rsidR="00832642" w:rsidRDefault="00832642" w:rsidP="004A72B6"/>
    <w:p w:rsidR="00832642" w:rsidRPr="00D03D27" w:rsidRDefault="00A10802" w:rsidP="004A72B6">
      <w:pPr>
        <w:pStyle w:val="Nadpis1"/>
      </w:pPr>
      <w:r w:rsidRPr="00D03D27">
        <w:t>Obecně</w:t>
      </w:r>
    </w:p>
    <w:p w:rsidR="00EA12CC" w:rsidRPr="00D03D27" w:rsidRDefault="00EA12CC" w:rsidP="004A72B6">
      <w:pPr>
        <w:pStyle w:val="Nadpis2"/>
      </w:pPr>
      <w:r w:rsidRPr="00D03D27">
        <w:t>Role</w:t>
      </w:r>
    </w:p>
    <w:p w:rsidR="00A10802" w:rsidRDefault="00544E64" w:rsidP="004A72B6">
      <w:r>
        <w:t>Zadavatel požaduje kompletní revizi</w:t>
      </w:r>
      <w:r w:rsidR="00EA12CC">
        <w:t xml:space="preserve"> a rozšíření rolí na veškeré moduly, které v systému </w:t>
      </w:r>
      <w:proofErr w:type="spellStart"/>
      <w:r w:rsidR="00EA12CC">
        <w:t>KISSoS</w:t>
      </w:r>
      <w:proofErr w:type="spellEnd"/>
      <w:r w:rsidR="00EA12CC">
        <w:t xml:space="preserve"> jsou. Nejvýznamnější změny </w:t>
      </w:r>
      <w:r>
        <w:t>budou</w:t>
      </w:r>
      <w:r w:rsidR="00A10802">
        <w:t>:</w:t>
      </w:r>
    </w:p>
    <w:p w:rsidR="00EA12CC" w:rsidRDefault="00EA12CC" w:rsidP="004A72B6">
      <w:pPr>
        <w:pStyle w:val="Odstavecseseznamem"/>
        <w:numPr>
          <w:ilvl w:val="0"/>
          <w:numId w:val="21"/>
        </w:numPr>
      </w:pPr>
      <w:r>
        <w:t xml:space="preserve">Přidání role </w:t>
      </w:r>
      <w:r w:rsidR="00217A9E">
        <w:t>„</w:t>
      </w:r>
      <w:r>
        <w:t>čtenář</w:t>
      </w:r>
      <w:r w:rsidR="00217A9E">
        <w:t>“, kdy by uživatel s touto rolí nemohl editovat žádná pole</w:t>
      </w:r>
    </w:p>
    <w:p w:rsidR="00EA12CC" w:rsidRDefault="00EA12CC" w:rsidP="004A72B6">
      <w:pPr>
        <w:pStyle w:val="Odstavecseseznamem"/>
        <w:numPr>
          <w:ilvl w:val="0"/>
          <w:numId w:val="21"/>
        </w:numPr>
      </w:pPr>
      <w:r>
        <w:t>Úprava oprávnění na konkrétní identifikátor</w:t>
      </w:r>
    </w:p>
    <w:p w:rsidR="00EA12CC" w:rsidRDefault="00EA12CC" w:rsidP="004A72B6">
      <w:pPr>
        <w:pStyle w:val="Odstavecseseznamem"/>
        <w:numPr>
          <w:ilvl w:val="0"/>
          <w:numId w:val="21"/>
        </w:numPr>
      </w:pPr>
      <w:r>
        <w:t>Správa uživ</w:t>
      </w:r>
      <w:r w:rsidR="009A161C">
        <w:t>atelů za poskytovatele ve správ</w:t>
      </w:r>
      <w:r>
        <w:t>ě poskytovatele</w:t>
      </w:r>
    </w:p>
    <w:p w:rsidR="00217A9E" w:rsidRDefault="00217A9E" w:rsidP="004A72B6">
      <w:pPr>
        <w:pStyle w:val="Odstavecseseznamem"/>
        <w:numPr>
          <w:ilvl w:val="0"/>
          <w:numId w:val="21"/>
        </w:numPr>
      </w:pPr>
      <w:r>
        <w:t>Možnost přidělit roli „poskytovatel služby“ více osobám na jeden identifikátor,</w:t>
      </w:r>
      <w:r w:rsidR="00B75DFB">
        <w:t xml:space="preserve"> a zároveň pro tuto roli vybrat více konkrétních identifikátorů daného poskytovatele.</w:t>
      </w:r>
    </w:p>
    <w:p w:rsidR="00D03D27" w:rsidRDefault="00D03D27" w:rsidP="004A72B6">
      <w:pPr>
        <w:pStyle w:val="Nadpis2"/>
      </w:pPr>
      <w:r>
        <w:t>Nastavení auditní stopy</w:t>
      </w:r>
    </w:p>
    <w:p w:rsidR="00A10802" w:rsidRDefault="00544E64" w:rsidP="004A72B6">
      <w:r>
        <w:t xml:space="preserve">Zadavatel požaduje </w:t>
      </w:r>
      <w:r w:rsidR="00301503">
        <w:t>možnost vyžádat si report u jednotlivých kroků, kde</w:t>
      </w:r>
      <w:r w:rsidR="00A10802">
        <w:t xml:space="preserve"> jsou nastaveny termíny pro odevzdání</w:t>
      </w:r>
      <w:r w:rsidR="00301503">
        <w:t>, ze kterého bude jasně patrné, které služby (ID) vyplnily příslušný form</w:t>
      </w:r>
      <w:r w:rsidR="00217A9E">
        <w:t xml:space="preserve">ulář </w:t>
      </w:r>
      <w:r w:rsidR="00301503">
        <w:t xml:space="preserve">(např. </w:t>
      </w:r>
      <w:r w:rsidR="00541AC9">
        <w:t>u R</w:t>
      </w:r>
      <w:r w:rsidR="001E52F5">
        <w:t>ozvojových záměrů při změně stavu</w:t>
      </w:r>
      <w:r w:rsidR="00A10802">
        <w:t>)</w:t>
      </w:r>
      <w:r w:rsidR="00301503">
        <w:t xml:space="preserve"> – buď formou uloženého dotazu, nebo reportu v modulu.</w:t>
      </w:r>
      <w:r w:rsidR="001E52F5">
        <w:t xml:space="preserve"> Konkrétní podoba reportu bude stanovena na základě dohody dle aktuálních požadavků Zadavatele a možností Dodavatele.</w:t>
      </w:r>
    </w:p>
    <w:p w:rsidR="00A10802" w:rsidRDefault="00396F3D" w:rsidP="004A72B6">
      <w:pPr>
        <w:pStyle w:val="Nadpis2"/>
      </w:pPr>
      <w:r>
        <w:t>Rozšíření integrace NSESS</w:t>
      </w:r>
    </w:p>
    <w:p w:rsidR="00396F3D" w:rsidRPr="00396F3D" w:rsidRDefault="00396F3D" w:rsidP="004A72B6">
      <w:r>
        <w:t>V rámci zakázky požaduje Zadavatel možnost importu dat do modulu Metodik a úprav</w:t>
      </w:r>
      <w:r w:rsidR="00301503">
        <w:t>u</w:t>
      </w:r>
      <w:r w:rsidR="009A161C">
        <w:t xml:space="preserve"> modulu Dokumenty, </w:t>
      </w:r>
      <w:r>
        <w:t>Rozpočet a vyúčtování</w:t>
      </w:r>
      <w:r w:rsidR="009A161C">
        <w:t xml:space="preserve"> a Žádost o změny</w:t>
      </w:r>
      <w:r>
        <w:t xml:space="preserve"> – integrace na spisovou službu ZK (možnost odesílání dokumentů poskytovatelům přes spisovou službu).</w:t>
      </w:r>
    </w:p>
    <w:p w:rsidR="007773E2" w:rsidRDefault="007773E2" w:rsidP="004A72B6">
      <w:pPr>
        <w:pStyle w:val="Nadpis2"/>
      </w:pPr>
      <w:r>
        <w:t>Úprava šablon</w:t>
      </w:r>
    </w:p>
    <w:p w:rsidR="007773E2" w:rsidRPr="007773E2" w:rsidRDefault="00A342A6" w:rsidP="004A72B6">
      <w:r>
        <w:t>Zadavatel požaduje, aby měl</w:t>
      </w:r>
      <w:r w:rsidR="007773E2">
        <w:t xml:space="preserve"> možno</w:t>
      </w:r>
      <w:r>
        <w:t>st si více samostatně</w:t>
      </w:r>
      <w:r w:rsidR="007773E2">
        <w:t xml:space="preserve"> upravovat jednotlivé šablony pro daný rok dle aktuálních požadavků, aniž by se změny projevily v šablonách minulých let (jedná se o šablony např. v modulech Rozpoč</w:t>
      </w:r>
      <w:r w:rsidR="009A161C">
        <w:t>et</w:t>
      </w:r>
      <w:r w:rsidR="007773E2">
        <w:t xml:space="preserve"> a vyúčtování, Výkazy, Rozvojové záměry, Žádosti, Dokumenty, Žádost o změny)</w:t>
      </w:r>
      <w:r>
        <w:t>.</w:t>
      </w:r>
      <w:r w:rsidR="008C55F6">
        <w:t xml:space="preserve"> Úprava šablon se týká pouze polí, </w:t>
      </w:r>
      <w:r w:rsidR="00C35320">
        <w:t>jejichž změna/odstranění nenaruší</w:t>
      </w:r>
      <w:r w:rsidR="008C55F6">
        <w:t xml:space="preserve"> chod dalších návazných modulů.</w:t>
      </w:r>
    </w:p>
    <w:p w:rsidR="00A10802" w:rsidRDefault="00396F3D" w:rsidP="004A72B6">
      <w:pPr>
        <w:pStyle w:val="Nadpis2"/>
      </w:pPr>
      <w:r>
        <w:t>E-mailové upozornění na odstávku serveru</w:t>
      </w:r>
    </w:p>
    <w:p w:rsidR="00B75DFB" w:rsidRPr="00B75DFB" w:rsidRDefault="00B75DFB" w:rsidP="00B75DFB">
      <w:r>
        <w:t>Zadavatel požaduje zasílání automatických informačních e-mailů o plánovaných odstávkách systému všem uživatelům.</w:t>
      </w:r>
    </w:p>
    <w:p w:rsidR="00396F3D" w:rsidRDefault="00396F3D" w:rsidP="004A72B6"/>
    <w:p w:rsidR="00EA12CC" w:rsidRDefault="00EA12CC" w:rsidP="004A72B6">
      <w:pPr>
        <w:pStyle w:val="Nadpis1"/>
      </w:pPr>
      <w:r w:rsidRPr="00A10802">
        <w:t>Revize st</w:t>
      </w:r>
      <w:r w:rsidR="00D03D27">
        <w:t xml:space="preserve">ávajících modulů </w:t>
      </w:r>
      <w:r w:rsidR="002C7DE7">
        <w:t xml:space="preserve">financování a </w:t>
      </w:r>
      <w:r w:rsidR="00D03D27">
        <w:t>plánování sítě</w:t>
      </w:r>
      <w:r w:rsidRPr="00A10802">
        <w:t xml:space="preserve"> sociálních služeb</w:t>
      </w:r>
    </w:p>
    <w:p w:rsidR="004A7FB7" w:rsidRPr="004A7FB7" w:rsidRDefault="004A7FB7" w:rsidP="004A7FB7"/>
    <w:p w:rsidR="00DB3C7B" w:rsidRDefault="00D076D6" w:rsidP="004A72B6">
      <w:pPr>
        <w:pStyle w:val="Nadpis2"/>
      </w:pPr>
      <w:r>
        <w:t>Metodik</w:t>
      </w:r>
    </w:p>
    <w:p w:rsidR="004A7FB7" w:rsidRPr="007A5BC4" w:rsidRDefault="004A7FB7" w:rsidP="004A7FB7">
      <w:pPr>
        <w:rPr>
          <w:i/>
        </w:rPr>
      </w:pPr>
      <w:r w:rsidRPr="007A5BC4">
        <w:rPr>
          <w:i/>
        </w:rPr>
        <w:t xml:space="preserve">Stávající nastavení a fungování tohoto modulu je popsáno v příloze č. P05 a stane se východiskem pro další rozšíření a úpravy aplikace </w:t>
      </w:r>
      <w:proofErr w:type="spellStart"/>
      <w:r w:rsidRPr="007A5BC4">
        <w:rPr>
          <w:i/>
        </w:rPr>
        <w:t>KISSoS</w:t>
      </w:r>
      <w:proofErr w:type="spellEnd"/>
      <w:r w:rsidRPr="007A5BC4">
        <w:rPr>
          <w:i/>
        </w:rPr>
        <w:t xml:space="preserve">. </w:t>
      </w:r>
    </w:p>
    <w:p w:rsidR="005D1E85" w:rsidRDefault="00DB3C7B" w:rsidP="004A72B6">
      <w:r>
        <w:t>Modul Metodik bude upraven tak, aby bylo možné</w:t>
      </w:r>
      <w:r w:rsidRPr="006E1AC6">
        <w:t xml:space="preserve"> mít v průběhu </w:t>
      </w:r>
      <w:r>
        <w:t>roku jedn</w:t>
      </w:r>
      <w:r w:rsidRPr="006E1AC6">
        <w:t>u službu (jedno ID) zař</w:t>
      </w:r>
      <w:r>
        <w:t xml:space="preserve">azenu pod více různými </w:t>
      </w:r>
      <w:r w:rsidR="00B84025">
        <w:t>skupinami</w:t>
      </w:r>
      <w:r>
        <w:t xml:space="preserve"> služeb</w:t>
      </w:r>
      <w:r w:rsidR="00B84025">
        <w:t xml:space="preserve"> v modulu Metodik</w:t>
      </w:r>
      <w:r w:rsidR="00914CA3">
        <w:t xml:space="preserve"> – </w:t>
      </w:r>
      <w:r w:rsidR="004A7FB7">
        <w:t xml:space="preserve">je tím </w:t>
      </w:r>
      <w:r w:rsidR="00736DFF">
        <w:t>m</w:t>
      </w:r>
      <w:r w:rsidR="009A161C">
        <w:t xml:space="preserve">yšleno přeřazení služby </w:t>
      </w:r>
      <w:r w:rsidR="008C55F6">
        <w:t>z jedné skupiny do druhé</w:t>
      </w:r>
      <w:r w:rsidR="00736DFF">
        <w:t xml:space="preserve"> během roku</w:t>
      </w:r>
      <w:r w:rsidR="008135A1">
        <w:t>, kdy se zároveň mění výše obvyklých nákladů</w:t>
      </w:r>
      <w:r w:rsidR="00EB0581">
        <w:t xml:space="preserve"> a způsob financování</w:t>
      </w:r>
      <w:r w:rsidR="00736DFF">
        <w:t xml:space="preserve"> </w:t>
      </w:r>
      <w:r>
        <w:t>(</w:t>
      </w:r>
      <w:proofErr w:type="spellStart"/>
      <w:r>
        <w:t>provazba</w:t>
      </w:r>
      <w:proofErr w:type="spellEnd"/>
      <w:r>
        <w:t xml:space="preserve"> na </w:t>
      </w:r>
      <w:r>
        <w:lastRenderedPageBreak/>
        <w:t>financování a hodnocení služeb, moduly Sít</w:t>
      </w:r>
      <w:r w:rsidR="00541AC9">
        <w:t>í</w:t>
      </w:r>
      <w:r>
        <w:t xml:space="preserve"> a Vyrovnávací platba). </w:t>
      </w:r>
      <w:r w:rsidR="005D1E85">
        <w:t xml:space="preserve">Tedy pro různé období v roce (např. pro část roku) zadávat službu pod různé </w:t>
      </w:r>
      <w:r w:rsidR="008135A1">
        <w:t>druhy</w:t>
      </w:r>
      <w:r w:rsidR="005D1E85">
        <w:t xml:space="preserve"> služeb, aby byla adekvátně hodnocena podle měnících se skutečností a současně se měnily skutečnosti na to navazující – sí</w:t>
      </w:r>
      <w:r w:rsidR="00541AC9">
        <w:t>tě</w:t>
      </w:r>
      <w:r w:rsidR="005D1E85">
        <w:t xml:space="preserve"> a vyrovnávací platba – variabilita modulu pro zadání či úpravu období i ze strany Zadavatele (může se jednat o data ve vztahu k</w:t>
      </w:r>
      <w:r w:rsidR="008135A1">
        <w:t> </w:t>
      </w:r>
      <w:r w:rsidR="005D1E85">
        <w:t>registru</w:t>
      </w:r>
      <w:r w:rsidR="008135A1">
        <w:t>, ke změnám v kapacitách v sít</w:t>
      </w:r>
      <w:r w:rsidR="00541AC9">
        <w:t>ích</w:t>
      </w:r>
      <w:r w:rsidR="008135A1">
        <w:t xml:space="preserve"> či změnu zdrojů financování)</w:t>
      </w:r>
      <w:r w:rsidR="00EB0581">
        <w:t>.</w:t>
      </w:r>
    </w:p>
    <w:p w:rsidR="00DB3C7B" w:rsidRDefault="00DB3C7B" w:rsidP="004A72B6">
      <w:r>
        <w:t xml:space="preserve">Bude také umožněn import </w:t>
      </w:r>
      <w:r w:rsidR="008135A1">
        <w:t>limitních hodnot (Hodnotící klíče) a obvyklých nákladů a zdrojů (Vyrovnávací platba)</w:t>
      </w:r>
      <w:r w:rsidR="004F626C">
        <w:t xml:space="preserve"> do tohoto modulu </w:t>
      </w:r>
      <w:r w:rsidR="008A1D91">
        <w:t xml:space="preserve">(viz 1.3) </w:t>
      </w:r>
      <w:r w:rsidR="004F626C">
        <w:t>a tím snížena pracnost procesů.</w:t>
      </w:r>
    </w:p>
    <w:p w:rsidR="004A7FB7" w:rsidRDefault="004A7FB7" w:rsidP="004A72B6"/>
    <w:p w:rsidR="00A151AA" w:rsidRDefault="00A151AA" w:rsidP="004A72B6">
      <w:pPr>
        <w:pStyle w:val="Nadpis2"/>
      </w:pPr>
      <w:r>
        <w:t xml:space="preserve">Moduly Analýza </w:t>
      </w:r>
      <w:r w:rsidR="004A7FB7">
        <w:t>sítě</w:t>
      </w:r>
      <w:r>
        <w:t xml:space="preserve"> a Hodnocení služeb</w:t>
      </w:r>
    </w:p>
    <w:p w:rsidR="004A7FB7" w:rsidRPr="007A5BC4" w:rsidRDefault="004A7FB7" w:rsidP="004A7FB7">
      <w:pPr>
        <w:rPr>
          <w:i/>
        </w:rPr>
      </w:pPr>
      <w:r w:rsidRPr="007A5BC4">
        <w:rPr>
          <w:i/>
        </w:rPr>
        <w:t xml:space="preserve">Stávající nastavení a fungování </w:t>
      </w:r>
      <w:r w:rsidR="007A5BC4" w:rsidRPr="007A5BC4">
        <w:rPr>
          <w:i/>
        </w:rPr>
        <w:t>těchto modulů</w:t>
      </w:r>
      <w:r w:rsidRPr="007A5BC4">
        <w:rPr>
          <w:i/>
        </w:rPr>
        <w:t xml:space="preserve"> je popsáno v příloze č. P06</w:t>
      </w:r>
      <w:r w:rsidR="007A5BC4" w:rsidRPr="007A5BC4">
        <w:rPr>
          <w:i/>
        </w:rPr>
        <w:t xml:space="preserve"> a P07</w:t>
      </w:r>
      <w:r w:rsidRPr="007A5BC4">
        <w:rPr>
          <w:i/>
        </w:rPr>
        <w:t xml:space="preserve"> a stane se východiskem pro další rozšíření a úpravy aplikace </w:t>
      </w:r>
      <w:proofErr w:type="spellStart"/>
      <w:r w:rsidRPr="007A5BC4">
        <w:rPr>
          <w:i/>
        </w:rPr>
        <w:t>KISSoS</w:t>
      </w:r>
      <w:proofErr w:type="spellEnd"/>
      <w:r w:rsidRPr="007A5BC4">
        <w:rPr>
          <w:i/>
        </w:rPr>
        <w:t xml:space="preserve">. </w:t>
      </w:r>
    </w:p>
    <w:p w:rsidR="00D076D6" w:rsidRDefault="00D076D6" w:rsidP="004A72B6">
      <w:r>
        <w:t>Tyto moduly budou upraveny tak, aby byly umožněny ruční zásahy a vstupy</w:t>
      </w:r>
      <w:r w:rsidR="00AF6A29">
        <w:t>, a to ve výjimečných a opodstatněných případech.</w:t>
      </w:r>
    </w:p>
    <w:p w:rsidR="007A06B8" w:rsidRDefault="007A06B8" w:rsidP="004A72B6">
      <w:r>
        <w:t xml:space="preserve">Zadavatel si také vyhrazuje právo na </w:t>
      </w:r>
      <w:r w:rsidR="005D1E85">
        <w:t xml:space="preserve">úpravu procesu Hodnocení služeb – specifika – možnost nastavení odlišného </w:t>
      </w:r>
      <w:r w:rsidR="00AF6A29">
        <w:t>počtu otázek pro ORP a pro Kraj a s tím spojenou úpravu bodového ohodnocení.</w:t>
      </w:r>
    </w:p>
    <w:p w:rsidR="000557E7" w:rsidRDefault="008C55F6" w:rsidP="004A72B6">
      <w:r>
        <w:t>Veškeré výstupy a výpočty se budou zobrazovat na 2 desetinná místa.</w:t>
      </w:r>
    </w:p>
    <w:p w:rsidR="000D16DD" w:rsidRDefault="000D16DD" w:rsidP="004A72B6">
      <w:r>
        <w:t>Další úpravy vyplývají z bodu 2.1.</w:t>
      </w:r>
    </w:p>
    <w:p w:rsidR="005D1E85" w:rsidRDefault="005D1E85" w:rsidP="004A72B6"/>
    <w:p w:rsidR="00A151AA" w:rsidRDefault="00D076D6" w:rsidP="004A72B6">
      <w:pPr>
        <w:pStyle w:val="Nadpis2"/>
      </w:pPr>
      <w:r w:rsidRPr="00EA12CC">
        <w:t>Rozvojové záměry</w:t>
      </w:r>
    </w:p>
    <w:p w:rsidR="007A5BC4" w:rsidRPr="007A5BC4" w:rsidRDefault="007A5BC4" w:rsidP="007A5BC4">
      <w:pPr>
        <w:rPr>
          <w:i/>
        </w:rPr>
      </w:pPr>
      <w:r w:rsidRPr="007A5BC4">
        <w:rPr>
          <w:i/>
        </w:rPr>
        <w:t>Stávající nastavení a fungování tohoto modulu je popsáno v příloze č. P</w:t>
      </w:r>
      <w:r>
        <w:rPr>
          <w:i/>
        </w:rPr>
        <w:t>08</w:t>
      </w:r>
      <w:r w:rsidRPr="007A5BC4">
        <w:rPr>
          <w:i/>
        </w:rPr>
        <w:t xml:space="preserve"> a stane se východiskem pro další rozšíření a úpravy aplikace </w:t>
      </w:r>
      <w:proofErr w:type="spellStart"/>
      <w:r w:rsidRPr="007A5BC4">
        <w:rPr>
          <w:i/>
        </w:rPr>
        <w:t>KISSoS</w:t>
      </w:r>
      <w:proofErr w:type="spellEnd"/>
      <w:r w:rsidRPr="007A5BC4">
        <w:rPr>
          <w:i/>
        </w:rPr>
        <w:t xml:space="preserve">. </w:t>
      </w:r>
    </w:p>
    <w:p w:rsidR="00FA1502" w:rsidRDefault="00FA1502" w:rsidP="004A72B6">
      <w:r>
        <w:t xml:space="preserve">Tento modul bude upraven tak, aby byla </w:t>
      </w:r>
      <w:r w:rsidRPr="00FA1502">
        <w:t>možnost nastavení</w:t>
      </w:r>
      <w:r w:rsidRPr="00FA1502">
        <w:rPr>
          <w:b/>
        </w:rPr>
        <w:t xml:space="preserve"> mimořádných procesů plánování </w:t>
      </w:r>
      <w:r>
        <w:t xml:space="preserve">(mimořádná výzva), kdy je nutné nastavit proces až do konce, tedy až po zařazení sociální služby do sítě s možností podání více rozvojových záměrů pro jednu službu v rámci jednoho roku. Zde je </w:t>
      </w:r>
      <w:proofErr w:type="spellStart"/>
      <w:r>
        <w:t>provazba</w:t>
      </w:r>
      <w:proofErr w:type="spellEnd"/>
      <w:r>
        <w:t xml:space="preserve"> na modul Sítě, kde </w:t>
      </w:r>
      <w:r w:rsidR="00433264">
        <w:t>Zadavatel požaduje</w:t>
      </w:r>
      <w:r>
        <w:t xml:space="preserve">, aby </w:t>
      </w:r>
      <w:proofErr w:type="spellStart"/>
      <w:r>
        <w:t>KISSoS</w:t>
      </w:r>
      <w:proofErr w:type="spellEnd"/>
      <w:r>
        <w:t xml:space="preserve"> uměl p</w:t>
      </w:r>
      <w:r w:rsidR="00F87873">
        <w:t>racovat s aktualizacemi Sítě (viz 2.4.).</w:t>
      </w:r>
    </w:p>
    <w:p w:rsidR="00A86924" w:rsidRDefault="00A86924" w:rsidP="004A72B6">
      <w:r>
        <w:t xml:space="preserve">V současné době v případě mimořádné výzvy se síť znovu nevyhodnocuje, aby se </w:t>
      </w:r>
      <w:r w:rsidR="00FA1502">
        <w:t xml:space="preserve">nepřepsaly </w:t>
      </w:r>
      <w:r w:rsidR="000656D9">
        <w:t xml:space="preserve">již vypočtené a zadané hodnoty. </w:t>
      </w:r>
      <w:r>
        <w:t>Požadovaný stav:</w:t>
      </w:r>
      <w:r w:rsidR="000656D9">
        <w:t xml:space="preserve"> </w:t>
      </w:r>
      <w:r w:rsidR="00FA1502">
        <w:t>pokud v rámci mimořádné výzvy budou rozvojové záměry p</w:t>
      </w:r>
      <w:r>
        <w:t>řiděleny do konkrétních stavů (</w:t>
      </w:r>
      <w:r w:rsidR="00433264">
        <w:t>S</w:t>
      </w:r>
      <w:r w:rsidR="00FA1502">
        <w:t>ch</w:t>
      </w:r>
      <w:r w:rsidR="00433264">
        <w:t xml:space="preserve">válený, </w:t>
      </w:r>
      <w:r w:rsidR="000656D9">
        <w:t>V Zásobníku, V dočasné síti</w:t>
      </w:r>
      <w:r>
        <w:t>…), zaktualizují se sítě</w:t>
      </w:r>
      <w:r w:rsidR="00FA1502">
        <w:t xml:space="preserve">, aniž </w:t>
      </w:r>
      <w:r>
        <w:t>by se tím zrušily</w:t>
      </w:r>
      <w:r w:rsidR="00FA1502">
        <w:t xml:space="preserve"> všechny předchozí aktualizace, které </w:t>
      </w:r>
      <w:r>
        <w:t>se prováděly</w:t>
      </w:r>
      <w:r w:rsidR="00FA1502">
        <w:t xml:space="preserve"> ručně.</w:t>
      </w:r>
    </w:p>
    <w:p w:rsidR="00A86924" w:rsidRDefault="000656D9" w:rsidP="00A86924">
      <w:r>
        <w:t xml:space="preserve">V souvislosti s vytvořením </w:t>
      </w:r>
      <w:r w:rsidRPr="007712A8">
        <w:t>nových typů Rozvojových záměrů</w:t>
      </w:r>
      <w:r w:rsidR="00A86924">
        <w:t xml:space="preserve"> (dále RZ)</w:t>
      </w:r>
      <w:r w:rsidR="00D5612E">
        <w:t xml:space="preserve"> od r. 2021</w:t>
      </w:r>
      <w:r w:rsidR="00A86924">
        <w:t>, které jsou:</w:t>
      </w:r>
    </w:p>
    <w:p w:rsidR="00A86924" w:rsidRPr="00926977" w:rsidRDefault="00A86924" w:rsidP="00FB00C2">
      <w:pPr>
        <w:spacing w:after="29"/>
        <w:ind w:left="851" w:right="963"/>
      </w:pPr>
      <w:r>
        <w:t xml:space="preserve">Typ A – </w:t>
      </w:r>
      <w:r w:rsidRPr="004B1580">
        <w:t xml:space="preserve">RZ, které nasedají na </w:t>
      </w:r>
      <w:proofErr w:type="spellStart"/>
      <w:r w:rsidRPr="004B1580">
        <w:t>priorizaci</w:t>
      </w:r>
      <w:proofErr w:type="spellEnd"/>
      <w:r w:rsidRPr="004B1580">
        <w:t xml:space="preserve"> potřeb a/nebo reagují na opatření</w:t>
      </w:r>
    </w:p>
    <w:p w:rsidR="00A86924" w:rsidRPr="00926977" w:rsidRDefault="00A86924" w:rsidP="00FB00C2">
      <w:pPr>
        <w:spacing w:after="29"/>
        <w:ind w:left="851" w:right="963"/>
      </w:pPr>
      <w:r w:rsidRPr="00926977">
        <w:t xml:space="preserve">Typ B – </w:t>
      </w:r>
      <w:r w:rsidRPr="004B1580">
        <w:t xml:space="preserve">RZ, které nenasedají na </w:t>
      </w:r>
      <w:proofErr w:type="spellStart"/>
      <w:r w:rsidRPr="004B1580">
        <w:t>priorizaci</w:t>
      </w:r>
      <w:proofErr w:type="spellEnd"/>
      <w:r w:rsidRPr="004B1580">
        <w:t xml:space="preserve"> potřeb a nereagují na opatření, ale</w:t>
      </w:r>
      <w:r>
        <w:t xml:space="preserve"> </w:t>
      </w:r>
      <w:r w:rsidRPr="004B1580">
        <w:t>vysílají potřebu</w:t>
      </w:r>
    </w:p>
    <w:p w:rsidR="00A86924" w:rsidRDefault="00A86924" w:rsidP="00FB00C2">
      <w:pPr>
        <w:spacing w:after="29"/>
        <w:ind w:left="851" w:right="963"/>
      </w:pPr>
      <w:r w:rsidRPr="00926977">
        <w:t xml:space="preserve">Typ C – </w:t>
      </w:r>
      <w:r w:rsidRPr="004B1580">
        <w:t>RZ pro opětovný vstup do Základní sítě beze změny</w:t>
      </w:r>
    </w:p>
    <w:p w:rsidR="00D5612E" w:rsidRDefault="000656D9" w:rsidP="00A86924">
      <w:r>
        <w:t>bude vytvořen nový typ stavu</w:t>
      </w:r>
      <w:r w:rsidR="00A86924">
        <w:t xml:space="preserve">, do kterého může Kraj RZ posunout. Kromě stávajících stavů - Schválený, Schválený s úpravou, Zamítnutý, V zásobníku, V dočasné síti – bude vytvořen nový stav např. </w:t>
      </w:r>
      <w:r w:rsidR="00A86924" w:rsidRPr="00FB00C2">
        <w:rPr>
          <w:i/>
        </w:rPr>
        <w:t>Akceptovaný</w:t>
      </w:r>
      <w:r w:rsidR="00A86924">
        <w:t xml:space="preserve">, který bude sloužit ke schválení RZ typu C, a to tak, aby tyto RZ po </w:t>
      </w:r>
      <w:r w:rsidR="003E2DE5">
        <w:t>vyhodnocení sítě</w:t>
      </w:r>
      <w:r w:rsidR="00A86924">
        <w:t xml:space="preserve"> nevstupovaly svou kapacitou do Základní sítě</w:t>
      </w:r>
      <w:r w:rsidR="00FB00C2">
        <w:t xml:space="preserve"> (protože typ kapacity v RZ typu C jsou v síti již obsaženy).</w:t>
      </w:r>
    </w:p>
    <w:p w:rsidR="00D5612E" w:rsidRDefault="00D5612E" w:rsidP="00A86924">
      <w:r>
        <w:t>Návody pro metodiky</w:t>
      </w:r>
      <w:r w:rsidR="00F87873">
        <w:t xml:space="preserve"> (např. Rozvojové záměry, Síť soc. služeb)</w:t>
      </w:r>
      <w:r>
        <w:t xml:space="preserve"> budou upraveny s ohledem na možnost vytvořit si nové typy RZ v číselníku, tedy aby návody reflektovaly skutečnost, že od RZ na r. 2021 se používají </w:t>
      </w:r>
      <w:r w:rsidR="00F87873">
        <w:t xml:space="preserve">i </w:t>
      </w:r>
      <w:r>
        <w:t>výše zmíněné typy RZ A, B, C</w:t>
      </w:r>
      <w:r w:rsidR="00E96ED2">
        <w:t xml:space="preserve"> (podobně, jako je proces podávání RZ popsán pro poskytovatele v Příloze P08).</w:t>
      </w:r>
    </w:p>
    <w:p w:rsidR="003E2DE5" w:rsidRDefault="003E2DE5" w:rsidP="00A86924">
      <w:r>
        <w:lastRenderedPageBreak/>
        <w:t xml:space="preserve">Dále si Zadavatel vyhrazuje právo na vytvoření dalších typů stavů pro RZ, které budou vstupovat do </w:t>
      </w:r>
      <w:r w:rsidR="00F87873">
        <w:t>sítí</w:t>
      </w:r>
      <w:r>
        <w:t xml:space="preserve"> a do Zásobníku, viz 2.4. Síť sociálních služeb.</w:t>
      </w:r>
      <w:r w:rsidR="008C55F6">
        <w:t xml:space="preserve"> V tomto případě se Zadavatel a Dodavatel dohodnou na definici </w:t>
      </w:r>
      <w:proofErr w:type="spellStart"/>
      <w:r w:rsidR="008C55F6">
        <w:t>provazeb</w:t>
      </w:r>
      <w:proofErr w:type="spellEnd"/>
      <w:r w:rsidR="0064473E">
        <w:t xml:space="preserve"> nových stavů</w:t>
      </w:r>
      <w:r w:rsidR="008C55F6">
        <w:t xml:space="preserve"> na další moduly, např. zařazení do Sítě A5.</w:t>
      </w:r>
    </w:p>
    <w:p w:rsidR="003E2DE5" w:rsidRDefault="00B958EC" w:rsidP="004A72B6">
      <w:r>
        <w:t xml:space="preserve">Další úprava modulu </w:t>
      </w:r>
      <w:r w:rsidR="003E2DE5">
        <w:t xml:space="preserve">Rozvojové záměry spočívá v úpravě </w:t>
      </w:r>
      <w:r w:rsidR="00FB00C2">
        <w:t xml:space="preserve">šablony RZ tak, aby bylo možné si pro definici určitého </w:t>
      </w:r>
      <w:r w:rsidR="00E77CBA">
        <w:t xml:space="preserve">daného </w:t>
      </w:r>
      <w:r w:rsidR="00FB00C2">
        <w:t>období variabilně stanovit, jaké kroky z daného procesu podávání RZ budou použity (viz obr. 1)</w:t>
      </w:r>
      <w:r w:rsidR="00F87873">
        <w:t xml:space="preserve"> – např. může, ale nemusí zahrnout do procesu vyjádření obcí.</w:t>
      </w:r>
    </w:p>
    <w:p w:rsidR="00F87873" w:rsidRDefault="00F87873" w:rsidP="004A72B6"/>
    <w:p w:rsidR="00B958EC" w:rsidRDefault="00782F0B" w:rsidP="00782F0B">
      <w:pPr>
        <w:jc w:val="center"/>
      </w:pPr>
      <w:r>
        <w:rPr>
          <w:noProof/>
        </w:rPr>
        <w:t>XXXX</w:t>
      </w:r>
    </w:p>
    <w:p w:rsidR="00FB00C2" w:rsidRPr="00FB00C2" w:rsidRDefault="00FB00C2" w:rsidP="00FB00C2">
      <w:pPr>
        <w:jc w:val="center"/>
        <w:rPr>
          <w:i/>
        </w:rPr>
      </w:pPr>
      <w:r w:rsidRPr="00FB00C2">
        <w:rPr>
          <w:i/>
        </w:rPr>
        <w:t>Obr. 1 – Stávající proces podávání rozvojových záměrů</w:t>
      </w:r>
    </w:p>
    <w:p w:rsidR="00B958EC" w:rsidRDefault="00B958EC" w:rsidP="004A72B6"/>
    <w:p w:rsidR="00433264" w:rsidRDefault="00433264" w:rsidP="004A72B6"/>
    <w:p w:rsidR="003B5CE3" w:rsidRDefault="00B958EC" w:rsidP="004A72B6">
      <w:r>
        <w:t>Další požadované úpravy</w:t>
      </w:r>
      <w:r w:rsidR="003B5CE3">
        <w:t>:</w:t>
      </w:r>
    </w:p>
    <w:p w:rsidR="003B5CE3" w:rsidRPr="003B5CE3" w:rsidRDefault="003B5CE3" w:rsidP="004A72B6">
      <w:pPr>
        <w:pStyle w:val="Odstavecseseznamem"/>
        <w:numPr>
          <w:ilvl w:val="0"/>
          <w:numId w:val="23"/>
        </w:numPr>
      </w:pPr>
      <w:r>
        <w:t xml:space="preserve">Nastavení, </w:t>
      </w:r>
      <w:r w:rsidRPr="003B5CE3">
        <w:t>aby s</w:t>
      </w:r>
      <w:r w:rsidR="00FB00C2">
        <w:t>e přenášely údaje o kapacitě v Z</w:t>
      </w:r>
      <w:r w:rsidRPr="003B5CE3">
        <w:t xml:space="preserve">ákladní síti z modulu </w:t>
      </w:r>
      <w:r w:rsidR="009A161C">
        <w:t>S</w:t>
      </w:r>
      <w:r w:rsidRPr="003B5CE3">
        <w:t xml:space="preserve">íť </w:t>
      </w:r>
      <w:r w:rsidR="00541AC9">
        <w:t xml:space="preserve">rok -1 </w:t>
      </w:r>
      <w:r w:rsidR="008C55F6">
        <w:t>(</w:t>
      </w:r>
      <w:r w:rsidR="00541AC9">
        <w:t>např. pro podávání RZ pro rok 2021 se do RZ využijí údaje ze sítí roku 2019, resp. z její poslední aktualizace</w:t>
      </w:r>
      <w:r w:rsidR="008C55F6">
        <w:t xml:space="preserve">) </w:t>
      </w:r>
      <w:r w:rsidRPr="003B5CE3">
        <w:t xml:space="preserve">a nemusel je dopisovat poskytovatel (vazba na to, aby </w:t>
      </w:r>
      <w:proofErr w:type="spellStart"/>
      <w:r w:rsidRPr="003B5CE3">
        <w:t>KISSoS</w:t>
      </w:r>
      <w:proofErr w:type="spellEnd"/>
      <w:r w:rsidRPr="003B5CE3">
        <w:t xml:space="preserve"> uměl pracovat s aktualizacemi sítě)</w:t>
      </w:r>
    </w:p>
    <w:p w:rsidR="003B5CE3" w:rsidRPr="003B5CE3" w:rsidRDefault="009D03A7" w:rsidP="004A72B6">
      <w:pPr>
        <w:pStyle w:val="Odstavecseseznamem"/>
        <w:numPr>
          <w:ilvl w:val="0"/>
          <w:numId w:val="23"/>
        </w:numPr>
      </w:pPr>
      <w:r>
        <w:t xml:space="preserve">Zadavatel požaduje možnost upravit si aktuální šablonu RZ </w:t>
      </w:r>
      <w:r w:rsidR="00E77CBA">
        <w:t xml:space="preserve"> </w:t>
      </w:r>
      <w:r w:rsidR="003B5CE3" w:rsidRPr="003B5CE3">
        <w:t>tak, aby se změny projevily pouze v daném roce a nepřepisovaly se do historie</w:t>
      </w:r>
      <w:r>
        <w:t xml:space="preserve">. </w:t>
      </w:r>
      <w:r w:rsidR="00C35320">
        <w:t xml:space="preserve">Úprava šablon se týká pouze polí, jejichž změna/odstranění nenaruší chod dalších návazných modulů </w:t>
      </w:r>
      <w:r>
        <w:t xml:space="preserve">(např. Časový rozsah poskytování služby, Cílová skupina osob, Věková struktura cílové skupiny, Zdroj informací o potřebách, ze kterých záměr vychází, Soulad záměru se střednědobým plánem, Soulad záměru s potřebami území, </w:t>
      </w:r>
      <w:proofErr w:type="gramStart"/>
      <w:r>
        <w:t>Potřeba(y) osob</w:t>
      </w:r>
      <w:proofErr w:type="gramEnd"/>
      <w:r>
        <w:t>, na kterou/é záměr reaguje, Personální zajištění služby, Ekonomické ukazatele, Materiálně technické zabezpečení služby)</w:t>
      </w:r>
    </w:p>
    <w:p w:rsidR="003B5CE3" w:rsidRPr="003B5CE3" w:rsidRDefault="003B5CE3" w:rsidP="004A72B6">
      <w:pPr>
        <w:pStyle w:val="Odstavecseseznamem"/>
        <w:numPr>
          <w:ilvl w:val="0"/>
          <w:numId w:val="23"/>
        </w:numPr>
      </w:pPr>
      <w:r w:rsidRPr="003B5CE3">
        <w:t xml:space="preserve">Možnost konkrétního časového omezení jednotlivých fází RZ v definici </w:t>
      </w:r>
      <w:r w:rsidR="00FB00C2">
        <w:t>(na hodiny, např. 16:00)</w:t>
      </w:r>
    </w:p>
    <w:p w:rsidR="003B5CE3" w:rsidRDefault="003B5CE3" w:rsidP="004A72B6">
      <w:pPr>
        <w:pStyle w:val="Odstavecseseznamem"/>
        <w:numPr>
          <w:ilvl w:val="0"/>
          <w:numId w:val="23"/>
        </w:numPr>
      </w:pPr>
      <w:r>
        <w:t>Možnost přiřadit k identifikátoru</w:t>
      </w:r>
      <w:r w:rsidRPr="003B5CE3">
        <w:t xml:space="preserve"> v</w:t>
      </w:r>
      <w:r>
        <w:t> </w:t>
      </w:r>
      <w:r w:rsidRPr="003B5CE3">
        <w:t>síti</w:t>
      </w:r>
      <w:r>
        <w:t xml:space="preserve"> daného roku</w:t>
      </w:r>
      <w:r w:rsidRPr="003B5CE3">
        <w:t xml:space="preserve"> i číslo RZ z minulých let nebo číslo opatření</w:t>
      </w:r>
    </w:p>
    <w:p w:rsidR="00736DFF" w:rsidRPr="003B5CE3" w:rsidRDefault="00736DFF" w:rsidP="004A72B6">
      <w:pPr>
        <w:pStyle w:val="Odstavecseseznamem"/>
        <w:numPr>
          <w:ilvl w:val="0"/>
          <w:numId w:val="23"/>
        </w:numPr>
      </w:pPr>
      <w:r>
        <w:t>Změny modulu s vazbou na změnu práce se sítí, viz 2.4</w:t>
      </w:r>
      <w:r w:rsidR="00FB00C2">
        <w:t>.</w:t>
      </w:r>
    </w:p>
    <w:p w:rsidR="003B5CE3" w:rsidRDefault="003B5CE3" w:rsidP="004A72B6"/>
    <w:p w:rsidR="00B0526C" w:rsidRDefault="003B5CE3" w:rsidP="004A72B6">
      <w:pPr>
        <w:pStyle w:val="Nadpis2"/>
      </w:pPr>
      <w:r>
        <w:t>Síť sociálních služeb</w:t>
      </w:r>
    </w:p>
    <w:p w:rsidR="007A5BC4" w:rsidRPr="007A5BC4" w:rsidRDefault="007A5BC4" w:rsidP="004A72B6">
      <w:pPr>
        <w:rPr>
          <w:i/>
        </w:rPr>
      </w:pPr>
      <w:r w:rsidRPr="007A5BC4">
        <w:rPr>
          <w:i/>
        </w:rPr>
        <w:t>Stávající nastavení a fungování tohoto modulu je popsáno v příloze č. P</w:t>
      </w:r>
      <w:r>
        <w:rPr>
          <w:i/>
        </w:rPr>
        <w:t>09</w:t>
      </w:r>
      <w:r w:rsidRPr="007A5BC4">
        <w:rPr>
          <w:i/>
        </w:rPr>
        <w:t xml:space="preserve"> a stane se východiskem pro další rozšíření a úpravy aplikace </w:t>
      </w:r>
      <w:proofErr w:type="spellStart"/>
      <w:r w:rsidRPr="007A5BC4">
        <w:rPr>
          <w:i/>
        </w:rPr>
        <w:t>KISSoS</w:t>
      </w:r>
      <w:proofErr w:type="spellEnd"/>
      <w:r w:rsidRPr="007A5BC4">
        <w:rPr>
          <w:i/>
        </w:rPr>
        <w:t xml:space="preserve">. </w:t>
      </w:r>
    </w:p>
    <w:p w:rsidR="003B5CE3" w:rsidRDefault="00757FA7" w:rsidP="004A72B6">
      <w:r>
        <w:t xml:space="preserve">V rámci tohoto modulu, který obsahuje nyní Základní síť sociálních služeb, </w:t>
      </w:r>
      <w:r w:rsidR="00736DFF">
        <w:t>požaduje Zadavatel vytvoření a nastavení vzájemných</w:t>
      </w:r>
      <w:r>
        <w:t xml:space="preserve"> </w:t>
      </w:r>
      <w:proofErr w:type="spellStart"/>
      <w:r>
        <w:t>provazeb</w:t>
      </w:r>
      <w:proofErr w:type="spellEnd"/>
      <w:r>
        <w:t xml:space="preserve"> také tzv. Zásobníku a Dočasné sítě, případně Optimální sítě, </w:t>
      </w:r>
      <w:r w:rsidRPr="00757FA7">
        <w:t>včetně zohlednění ukončení poskytování služby.</w:t>
      </w:r>
    </w:p>
    <w:p w:rsidR="00957053" w:rsidRPr="00F87873" w:rsidRDefault="00F87873" w:rsidP="00957053">
      <w:pPr>
        <w:pStyle w:val="Odstavecseseznamem"/>
        <w:numPr>
          <w:ilvl w:val="0"/>
          <w:numId w:val="25"/>
        </w:numPr>
      </w:pPr>
      <w:r w:rsidRPr="00F87873">
        <w:t>Definice Dočasné sítě a postupy pro vstup do sítí jsou obsaženy ve Střednědobém plánu rozvoje sociálních služeb ve Zlínském kraji pro období 2020 – 2022.</w:t>
      </w:r>
    </w:p>
    <w:p w:rsidR="003B5CE3" w:rsidRPr="00757FA7" w:rsidRDefault="003B5CE3" w:rsidP="004A72B6">
      <w:pPr>
        <w:pStyle w:val="Odstavecseseznamem"/>
        <w:numPr>
          <w:ilvl w:val="0"/>
          <w:numId w:val="25"/>
        </w:numPr>
      </w:pPr>
      <w:r w:rsidRPr="00757FA7">
        <w:t>Služby jsou v </w:t>
      </w:r>
      <w:r w:rsidR="00757FA7" w:rsidRPr="00F87873">
        <w:rPr>
          <w:b/>
        </w:rPr>
        <w:t>D</w:t>
      </w:r>
      <w:r w:rsidRPr="00F87873">
        <w:rPr>
          <w:b/>
        </w:rPr>
        <w:t>očasné síti</w:t>
      </w:r>
      <w:r w:rsidRPr="00757FA7">
        <w:t xml:space="preserve"> po dobu trvání projektu</w:t>
      </w:r>
      <w:r w:rsidR="00757FA7" w:rsidRPr="00757FA7">
        <w:t xml:space="preserve"> (např. od </w:t>
      </w:r>
      <w:proofErr w:type="gramStart"/>
      <w:r w:rsidR="00757FA7" w:rsidRPr="00757FA7">
        <w:t>1.7.2019</w:t>
      </w:r>
      <w:proofErr w:type="gramEnd"/>
      <w:r w:rsidR="00757FA7" w:rsidRPr="00757FA7">
        <w:t xml:space="preserve"> – 31.12.2022)</w:t>
      </w:r>
      <w:r w:rsidR="00957053">
        <w:t>, resp</w:t>
      </w:r>
      <w:r w:rsidR="00D36852">
        <w:t>.</w:t>
      </w:r>
      <w:r w:rsidR="00957053">
        <w:t xml:space="preserve"> pokud mají zajištěné financování</w:t>
      </w:r>
      <w:r w:rsidR="00757FA7" w:rsidRPr="00757FA7">
        <w:t>.</w:t>
      </w:r>
      <w:r w:rsidRPr="00757FA7">
        <w:t xml:space="preserve"> Služba </w:t>
      </w:r>
      <w:r w:rsidR="00757FA7" w:rsidRPr="00757FA7">
        <w:t>se pak automaticky překlápí do D</w:t>
      </w:r>
      <w:r w:rsidRPr="00757FA7">
        <w:t xml:space="preserve">očasné sítě následujícího roku až do doby skončení projektu, nebo může být ručně vyřazena, pokud financování skončí dříve, než bylo předpokládáno. </w:t>
      </w:r>
      <w:r w:rsidR="00957053">
        <w:t xml:space="preserve">Sociální služby zařazené do Základní sítě a Dočasné sítě budou hodnoceny, ale pokud je služba plně hrazena na základě stanovené vyrovnávací platby jiným subjektem, než Zlínským krajem, poskytovatel nebude vyzván k obhajobě specifik v případě nesplnění parametrů hodnocení. </w:t>
      </w:r>
      <w:r w:rsidR="00757FA7" w:rsidRPr="00757FA7">
        <w:t>Stejně jako u Z</w:t>
      </w:r>
      <w:r w:rsidRPr="00757FA7">
        <w:t>ákladní sítě se pak bere zřetel na délku působení v hodnoceném roce (</w:t>
      </w:r>
      <w:proofErr w:type="gramStart"/>
      <w:r w:rsidRPr="00757FA7">
        <w:t>tzn. že</w:t>
      </w:r>
      <w:proofErr w:type="gramEnd"/>
      <w:r w:rsidRPr="00757FA7">
        <w:t xml:space="preserve"> služba, která působí méně než 12 měsíců, nemůže vypadnout atd.)</w:t>
      </w:r>
      <w:r w:rsidR="00E96ED2">
        <w:t>. Tvorba sítě a Hodnocení služeb bude pro Dočasnou síť obdobná jako pro Základní síť.</w:t>
      </w:r>
    </w:p>
    <w:p w:rsidR="00D36852" w:rsidRDefault="00D36852" w:rsidP="00D36852">
      <w:pPr>
        <w:pStyle w:val="Odstavecseseznamem"/>
        <w:numPr>
          <w:ilvl w:val="0"/>
          <w:numId w:val="25"/>
        </w:numPr>
      </w:pPr>
      <w:r w:rsidRPr="00D36852">
        <w:rPr>
          <w:b/>
        </w:rPr>
        <w:lastRenderedPageBreak/>
        <w:t xml:space="preserve">Zásobník </w:t>
      </w:r>
      <w:r w:rsidRPr="005B15DB">
        <w:t>– jedná se o přehled sociálních služeb, které avizují potřeby. Je tvořen od roku 2018 vždy pouze na rok</w:t>
      </w:r>
      <w:r>
        <w:t>,</w:t>
      </w:r>
      <w:r w:rsidRPr="005B15DB">
        <w:t xml:space="preserve"> a bude po ukončení hodnocení rozvojových záměrů sestaven z těch rozvojových záměrů, které splnily definovaná hodnot</w:t>
      </w:r>
      <w:r>
        <w:t>i</w:t>
      </w:r>
      <w:r w:rsidRPr="005B15DB">
        <w:t>cí kritéria a nebyly zařazeny do Základní sítě s ohledem na zachování finančně udržitelné sítě</w:t>
      </w:r>
      <w:r>
        <w:t>,</w:t>
      </w:r>
      <w:r w:rsidRPr="005B15DB">
        <w:t xml:space="preserve"> nebo nebyly zařazeny do Dočasné sítě, a to z důvodu nezajištěného finančního krytí.</w:t>
      </w:r>
    </w:p>
    <w:p w:rsidR="003B5CE3" w:rsidRPr="00757FA7" w:rsidRDefault="003B5CE3" w:rsidP="004A72B6">
      <w:pPr>
        <w:pStyle w:val="Odstavecseseznamem"/>
        <w:numPr>
          <w:ilvl w:val="0"/>
          <w:numId w:val="25"/>
        </w:numPr>
      </w:pPr>
      <w:r w:rsidRPr="00757FA7">
        <w:t xml:space="preserve">Služby ze </w:t>
      </w:r>
      <w:r w:rsidR="00757FA7" w:rsidRPr="00757FA7">
        <w:t>Zásobníku se mohou přesunout do Základní sítě i do D</w:t>
      </w:r>
      <w:r w:rsidRPr="00757FA7">
        <w:t>očasné, a to buď plnou kapacitou</w:t>
      </w:r>
      <w:r w:rsidR="00757FA7" w:rsidRPr="00757FA7">
        <w:t>,</w:t>
      </w:r>
      <w:r w:rsidRPr="00757FA7">
        <w:t xml:space="preserve"> nebo pouze </w:t>
      </w:r>
      <w:r w:rsidR="00757FA7" w:rsidRPr="00757FA7">
        <w:t>částečně. Služby, které jsou v Z</w:t>
      </w:r>
      <w:r w:rsidRPr="00757FA7">
        <w:t>ásobníku, není nutné hodnotit, ale pokud vyplní výkaz, může být hodnocení provedeno</w:t>
      </w:r>
      <w:r w:rsidR="00757FA7" w:rsidRPr="00757FA7">
        <w:t>.</w:t>
      </w:r>
    </w:p>
    <w:p w:rsidR="003B5CE3" w:rsidRPr="00757FA7" w:rsidRDefault="003B5CE3" w:rsidP="004A72B6">
      <w:pPr>
        <w:pStyle w:val="Odstavecseseznamem"/>
        <w:numPr>
          <w:ilvl w:val="0"/>
          <w:numId w:val="25"/>
        </w:numPr>
      </w:pPr>
      <w:r w:rsidRPr="00757FA7">
        <w:t>Stěžejní bude ošetřit situace, kdy služba =</w:t>
      </w:r>
      <w:r w:rsidR="00757FA7" w:rsidRPr="00757FA7">
        <w:t xml:space="preserve"> 1 ID může být zároveň např. v Z</w:t>
      </w:r>
      <w:r w:rsidRPr="00757FA7">
        <w:t>ásobníku a částí kapacity v </w:t>
      </w:r>
      <w:r w:rsidR="00757FA7" w:rsidRPr="00757FA7">
        <w:t>Základní nebo D</w:t>
      </w:r>
      <w:r w:rsidRPr="00757FA7">
        <w:t>očasné síti</w:t>
      </w:r>
      <w:r w:rsidR="00D36852">
        <w:t>, a to i stávající SSL i podaný RZ.</w:t>
      </w:r>
    </w:p>
    <w:p w:rsidR="003B5CE3" w:rsidRDefault="00914CA3" w:rsidP="004A72B6">
      <w:pPr>
        <w:pStyle w:val="Odstavecseseznamem"/>
        <w:numPr>
          <w:ilvl w:val="0"/>
          <w:numId w:val="25"/>
        </w:numPr>
      </w:pPr>
      <w:r>
        <w:t>Zadavatel požaduje z</w:t>
      </w:r>
      <w:r w:rsidR="003B5CE3" w:rsidRPr="00757FA7">
        <w:t>ohlednění ukončení poskytování služby – služba, která má v detailu zadané datum ukončení služby (Poskytována do…), bude hodnocena, ale nebude vyzývána ke specifikům</w:t>
      </w:r>
      <w:r w:rsidR="00757FA7" w:rsidRPr="00757FA7">
        <w:t>,</w:t>
      </w:r>
      <w:r w:rsidR="003B5CE3" w:rsidRPr="00757FA7">
        <w:t xml:space="preserve"> a i pokud projde hodnocením kladně (</w:t>
      </w:r>
      <w:proofErr w:type="gramStart"/>
      <w:r w:rsidR="003B5CE3" w:rsidRPr="00757FA7">
        <w:t>tzn. že</w:t>
      </w:r>
      <w:proofErr w:type="gramEnd"/>
      <w:r w:rsidR="003B5CE3" w:rsidRPr="00757FA7">
        <w:t xml:space="preserve"> splní min. limit), nebude do sítě při vyhodnocení sítě na následující rok zařazena</w:t>
      </w:r>
      <w:r w:rsidR="00757FA7" w:rsidRPr="00757FA7">
        <w:t>.</w:t>
      </w:r>
    </w:p>
    <w:p w:rsidR="00736DFF" w:rsidRPr="00757FA7" w:rsidRDefault="00736DFF" w:rsidP="004A72B6">
      <w:pPr>
        <w:pStyle w:val="Odstavecseseznamem"/>
        <w:numPr>
          <w:ilvl w:val="0"/>
          <w:numId w:val="25"/>
        </w:numPr>
      </w:pPr>
      <w:r>
        <w:t>Jednotlivé aktualizace sítí budou v </w:t>
      </w:r>
      <w:proofErr w:type="spellStart"/>
      <w:r>
        <w:t>KISSoS</w:t>
      </w:r>
      <w:proofErr w:type="spellEnd"/>
      <w:r>
        <w:t xml:space="preserve"> evidovány jako verze, aby byla zachována minu</w:t>
      </w:r>
      <w:r w:rsidR="00D36852">
        <w:t>lost v průběhu sledovaného roku, a to pro Základní i Dočasnou síť.</w:t>
      </w:r>
    </w:p>
    <w:p w:rsidR="00F279E3" w:rsidRDefault="00E96ED2" w:rsidP="004A72B6">
      <w:r>
        <w:t>V případě schválení novely Zákona o sociálních službách, která by měla za následek novou typologii druhů sociálních služeb, požaduje Zadavatel jistotu, že data</w:t>
      </w:r>
      <w:r w:rsidR="00B84025">
        <w:t xml:space="preserve"> ke stávajícím druhům služeb</w:t>
      </w:r>
      <w:r>
        <w:t xml:space="preserve"> zůstanou zachována</w:t>
      </w:r>
      <w:r w:rsidR="00B84025">
        <w:t>.</w:t>
      </w:r>
    </w:p>
    <w:p w:rsidR="00E96ED2" w:rsidRDefault="00E96ED2" w:rsidP="004A72B6"/>
    <w:p w:rsidR="001912FE" w:rsidRPr="000D16DD" w:rsidRDefault="001912FE" w:rsidP="004A72B6">
      <w:pPr>
        <w:pStyle w:val="Nadpis2"/>
      </w:pPr>
      <w:r w:rsidRPr="000D16DD">
        <w:t>Programy</w:t>
      </w:r>
      <w:r w:rsidR="00A15BF3" w:rsidRPr="000D16DD">
        <w:t>, Žádosti</w:t>
      </w:r>
    </w:p>
    <w:p w:rsidR="007A5BC4" w:rsidRPr="007A5BC4" w:rsidRDefault="007A5BC4" w:rsidP="007A5BC4">
      <w:pPr>
        <w:rPr>
          <w:i/>
        </w:rPr>
      </w:pPr>
      <w:r w:rsidRPr="007A5BC4">
        <w:rPr>
          <w:i/>
        </w:rPr>
        <w:t>Stávající nastavení a fungování těchto modulů je popsáno v příloze č. P</w:t>
      </w:r>
      <w:r>
        <w:rPr>
          <w:i/>
        </w:rPr>
        <w:t>10</w:t>
      </w:r>
      <w:r w:rsidRPr="007A5BC4">
        <w:rPr>
          <w:i/>
        </w:rPr>
        <w:t xml:space="preserve"> a P</w:t>
      </w:r>
      <w:r>
        <w:rPr>
          <w:i/>
        </w:rPr>
        <w:t>11</w:t>
      </w:r>
      <w:r w:rsidRPr="007A5BC4">
        <w:rPr>
          <w:i/>
        </w:rPr>
        <w:t xml:space="preserve"> a stane se východiskem pro další rozšíření a úpravy aplikace </w:t>
      </w:r>
      <w:proofErr w:type="spellStart"/>
      <w:r w:rsidRPr="007A5BC4">
        <w:rPr>
          <w:i/>
        </w:rPr>
        <w:t>KISSoS</w:t>
      </w:r>
      <w:proofErr w:type="spellEnd"/>
      <w:r w:rsidRPr="007A5BC4">
        <w:rPr>
          <w:i/>
        </w:rPr>
        <w:t xml:space="preserve">. </w:t>
      </w:r>
    </w:p>
    <w:p w:rsidR="00CC6D0B" w:rsidRDefault="00CC6D0B" w:rsidP="004A72B6">
      <w:r>
        <w:t>Zadavatel žádá zapracování změn s vazbou na změnu práce se sítí, viz 2.4.</w:t>
      </w:r>
    </w:p>
    <w:p w:rsidR="006905A5" w:rsidRDefault="00A15BF3" w:rsidP="004A72B6">
      <w:r w:rsidRPr="000D16DD">
        <w:t xml:space="preserve">Zadavatel </w:t>
      </w:r>
      <w:r w:rsidR="00CC6D0B">
        <w:t xml:space="preserve">dále </w:t>
      </w:r>
      <w:r w:rsidRPr="000D16DD">
        <w:t xml:space="preserve">požaduje </w:t>
      </w:r>
      <w:r w:rsidR="00CC6D0B">
        <w:t xml:space="preserve">mít </w:t>
      </w:r>
      <w:r w:rsidRPr="000D16DD">
        <w:t>m</w:t>
      </w:r>
      <w:r w:rsidR="006007B8" w:rsidRPr="000D16DD">
        <w:t xml:space="preserve">ožnost vytvořit více </w:t>
      </w:r>
      <w:r w:rsidR="002978B6">
        <w:t>typů žádostí</w:t>
      </w:r>
      <w:r w:rsidR="006007B8" w:rsidRPr="000D16DD">
        <w:t xml:space="preserve"> než je nyní </w:t>
      </w:r>
      <w:r w:rsidRPr="000D16DD">
        <w:t>(3 – A, B, C</w:t>
      </w:r>
      <w:r w:rsidR="006007B8" w:rsidRPr="000D16DD">
        <w:t xml:space="preserve">), </w:t>
      </w:r>
      <w:r w:rsidR="000D16DD" w:rsidRPr="000D16DD">
        <w:t>minimálně 6</w:t>
      </w:r>
      <w:r w:rsidR="005930FC">
        <w:t>. P</w:t>
      </w:r>
      <w:r w:rsidR="002978B6">
        <w:t>odoba typu žádosti bude dohodnuta mezi Zadavatelem a Dodavatelem dle aktuálních požadavků a možností</w:t>
      </w:r>
      <w:r w:rsidR="005930FC">
        <w:t xml:space="preserve"> (např. v důsledku legislativních změn)</w:t>
      </w:r>
      <w:r w:rsidR="000D16DD" w:rsidRPr="000D16DD">
        <w:t>.</w:t>
      </w:r>
      <w:r w:rsidR="006905A5">
        <w:t xml:space="preserve"> V případě víceletých programů chce mít možnost podat žádosti na více období (úprava formuláře na více let), nyní vždy na jeden rok.</w:t>
      </w:r>
    </w:p>
    <w:p w:rsidR="006007B8" w:rsidRDefault="006905A5" w:rsidP="004A72B6">
      <w:r>
        <w:t>Dále požaduje možnost si více samostatně nadefinovat Žádosti (variabilita šablon)</w:t>
      </w:r>
      <w:r w:rsidR="002978B6">
        <w:t>,</w:t>
      </w:r>
      <w:r>
        <w:t xml:space="preserve"> a to tak, aby se změny šablon nepropisovaly do </w:t>
      </w:r>
      <w:r w:rsidR="00A342A6">
        <w:t>šablon minulých období</w:t>
      </w:r>
      <w:r>
        <w:t xml:space="preserve"> (viz 1.4). </w:t>
      </w:r>
      <w:r w:rsidR="00C35320">
        <w:t>Úprava šablon se týká pouze polí, jejichž změna/odstranění nenaruší chod dalších návazných modulů.</w:t>
      </w:r>
    </w:p>
    <w:p w:rsidR="006905A5" w:rsidRPr="000D16DD" w:rsidRDefault="002978B6" w:rsidP="004A72B6">
      <w:r>
        <w:t>Systém bude obsahovat importní rozhraní pro</w:t>
      </w:r>
      <w:r w:rsidR="006905A5">
        <w:t xml:space="preserve"> import dat z</w:t>
      </w:r>
      <w:r w:rsidR="009A161C">
        <w:t xml:space="preserve"> internetového programu </w:t>
      </w:r>
      <w:proofErr w:type="spellStart"/>
      <w:r w:rsidR="009A161C">
        <w:t>OKslužby</w:t>
      </w:r>
      <w:proofErr w:type="spellEnd"/>
      <w:r w:rsidR="009A161C">
        <w:t xml:space="preserve"> - poskytovatel (program Zajištění d</w:t>
      </w:r>
      <w:r w:rsidR="006905A5">
        <w:t>ostupnost</w:t>
      </w:r>
      <w:r w:rsidR="009A161C">
        <w:t>i</w:t>
      </w:r>
      <w:r w:rsidR="006905A5">
        <w:t>).</w:t>
      </w:r>
      <w:r>
        <w:t xml:space="preserve"> Toto rozhraní má pevně danou strukturu a nemění se v průběhu let dle změn v </w:t>
      </w:r>
      <w:proofErr w:type="spellStart"/>
      <w:r>
        <w:t>OKslužby</w:t>
      </w:r>
      <w:proofErr w:type="spellEnd"/>
      <w:r>
        <w:t>.</w:t>
      </w:r>
    </w:p>
    <w:p w:rsidR="00A15BF3" w:rsidRPr="00736DFF" w:rsidRDefault="00A15BF3" w:rsidP="004A72B6"/>
    <w:p w:rsidR="001912FE" w:rsidRDefault="001912FE" w:rsidP="004A72B6">
      <w:pPr>
        <w:pStyle w:val="Nadpis2"/>
      </w:pPr>
      <w:r w:rsidRPr="001912FE">
        <w:t>Podpora vyrovnávací platby</w:t>
      </w:r>
    </w:p>
    <w:p w:rsidR="007A5BC4" w:rsidRPr="007A5BC4" w:rsidRDefault="007A5BC4" w:rsidP="007A5BC4">
      <w:pPr>
        <w:rPr>
          <w:i/>
        </w:rPr>
      </w:pPr>
      <w:r w:rsidRPr="007A5BC4">
        <w:rPr>
          <w:i/>
        </w:rPr>
        <w:t>Stávající nastavení a fungování tohoto modulu je popsáno v příloze č. P</w:t>
      </w:r>
      <w:r>
        <w:rPr>
          <w:i/>
        </w:rPr>
        <w:t>12</w:t>
      </w:r>
      <w:r w:rsidRPr="007A5BC4">
        <w:rPr>
          <w:i/>
        </w:rPr>
        <w:t xml:space="preserve"> a stane se východiskem pro další rozšíření a úpravy aplikace </w:t>
      </w:r>
      <w:proofErr w:type="spellStart"/>
      <w:r w:rsidRPr="007A5BC4">
        <w:rPr>
          <w:i/>
        </w:rPr>
        <w:t>KISSoS</w:t>
      </w:r>
      <w:proofErr w:type="spellEnd"/>
      <w:r w:rsidRPr="007A5BC4">
        <w:rPr>
          <w:i/>
        </w:rPr>
        <w:t xml:space="preserve">. </w:t>
      </w:r>
    </w:p>
    <w:p w:rsidR="000D16DD" w:rsidRPr="000D16DD" w:rsidRDefault="006905A5" w:rsidP="004A72B6">
      <w:r w:rsidRPr="00CC6D0B">
        <w:t>Zadavatel požaduje</w:t>
      </w:r>
      <w:r>
        <w:rPr>
          <w:b/>
        </w:rPr>
        <w:t xml:space="preserve"> </w:t>
      </w:r>
      <w:r w:rsidR="00536501">
        <w:rPr>
          <w:b/>
        </w:rPr>
        <w:t>úpravu</w:t>
      </w:r>
      <w:r w:rsidR="000D16DD" w:rsidRPr="00914CA3">
        <w:rPr>
          <w:b/>
        </w:rPr>
        <w:t xml:space="preserve"> stávajícího modulu Vyrovnávací platba</w:t>
      </w:r>
      <w:r>
        <w:t xml:space="preserve">, případně vytvoření nového modulu. </w:t>
      </w:r>
      <w:r w:rsidR="00536501">
        <w:t xml:space="preserve">Zde je klíčové </w:t>
      </w:r>
      <w:r w:rsidR="000D16DD">
        <w:t>rozlišení dvojí role kraje coby donátora a garanta sítě, kdy je nutné modul rozčlenit na dvě funkcionality, a to ve vztahu k</w:t>
      </w:r>
      <w:r w:rsidR="009A161C">
        <w:t> finanční podpoře</w:t>
      </w:r>
      <w:r w:rsidR="000D16DD">
        <w:t xml:space="preserve"> poskytované Zlínským krajem a ve vztahu ke kontrole vyrovnávací platby (</w:t>
      </w:r>
      <w:proofErr w:type="spellStart"/>
      <w:r w:rsidR="000D16DD">
        <w:t>překompenzace</w:t>
      </w:r>
      <w:proofErr w:type="spellEnd"/>
      <w:r w:rsidR="000D16DD">
        <w:t>) sociálních služeb.</w:t>
      </w:r>
    </w:p>
    <w:p w:rsidR="000D16DD" w:rsidRDefault="000D16DD" w:rsidP="004A72B6">
      <w:r>
        <w:t xml:space="preserve">Současné nastavení modulu Vyrovnávací platba odpovídá spíše procesu výpočtu výše dotace, takže by se pravděpodobně stávající modul mohl přejmenovat na </w:t>
      </w:r>
      <w:r w:rsidR="009A161C" w:rsidRPr="00095578">
        <w:rPr>
          <w:u w:val="single"/>
        </w:rPr>
        <w:t>Finanční podpora</w:t>
      </w:r>
      <w:r>
        <w:t xml:space="preserve"> a následně bude vytvořen nový modul </w:t>
      </w:r>
      <w:r w:rsidRPr="00095578">
        <w:rPr>
          <w:u w:val="single"/>
        </w:rPr>
        <w:t>Vyrovnávací platba</w:t>
      </w:r>
      <w:r>
        <w:t>, který bude sloužit ke kontrole všech v</w:t>
      </w:r>
      <w:r w:rsidR="009A161C">
        <w:t xml:space="preserve">eřejných zdrojů (zejména kraj, </w:t>
      </w:r>
      <w:r>
        <w:t>obce</w:t>
      </w:r>
      <w:r w:rsidR="009A161C">
        <w:t>, Evropské zdroje, Úřad vlády</w:t>
      </w:r>
      <w:r>
        <w:t>).</w:t>
      </w:r>
    </w:p>
    <w:p w:rsidR="00CC6D0B" w:rsidRDefault="00CC6D0B" w:rsidP="004A72B6">
      <w:r>
        <w:lastRenderedPageBreak/>
        <w:t xml:space="preserve">K tomuto se váže </w:t>
      </w:r>
      <w:r w:rsidRPr="00CC6D0B">
        <w:rPr>
          <w:b/>
        </w:rPr>
        <w:t>Úprava sběru dat</w:t>
      </w:r>
      <w:r>
        <w:t xml:space="preserve"> vč. definic k plné resp. podporované kapacitě sociálních služeb s ohledem na účel, pro který jsou tato data sbírána.</w:t>
      </w:r>
    </w:p>
    <w:p w:rsidR="00CC6D0B" w:rsidRDefault="00CC6D0B" w:rsidP="004A72B6">
      <w:pPr>
        <w:pStyle w:val="Odstavecseseznamem"/>
        <w:numPr>
          <w:ilvl w:val="0"/>
          <w:numId w:val="26"/>
        </w:numPr>
      </w:pPr>
      <w:r>
        <w:t xml:space="preserve">kontrola </w:t>
      </w:r>
      <w:proofErr w:type="spellStart"/>
      <w:r>
        <w:t>překompenzace</w:t>
      </w:r>
      <w:proofErr w:type="spellEnd"/>
      <w:r>
        <w:t xml:space="preserve"> v rámci vyrovnávací platby by se vztahovala pouze k podporované kapacitě služby – </w:t>
      </w:r>
      <w:proofErr w:type="gramStart"/>
      <w:r>
        <w:t>tzn. že</w:t>
      </w:r>
      <w:proofErr w:type="gramEnd"/>
      <w:r>
        <w:t xml:space="preserve"> například pokud má </w:t>
      </w:r>
      <w:r w:rsidR="006F7CC4">
        <w:t xml:space="preserve">služba kapacitu 20 lůžek, ale Kraj podporuje </w:t>
      </w:r>
      <w:r w:rsidR="009A161C">
        <w:t xml:space="preserve">pouze 15 lůžek a v Pověření, ke kterému se </w:t>
      </w:r>
      <w:r>
        <w:t xml:space="preserve">obce </w:t>
      </w:r>
      <w:r w:rsidR="009A161C">
        <w:t>můžou připojit</w:t>
      </w:r>
      <w:r w:rsidR="006F7CC4">
        <w:t>, je tedy také 15</w:t>
      </w:r>
      <w:r w:rsidR="009A161C">
        <w:t xml:space="preserve"> lůžek</w:t>
      </w:r>
      <w:r w:rsidR="00D36852">
        <w:t xml:space="preserve">. </w:t>
      </w:r>
      <w:proofErr w:type="gramStart"/>
      <w:r w:rsidR="00D36852">
        <w:t xml:space="preserve">Tzn. </w:t>
      </w:r>
      <w:r>
        <w:t>budeme</w:t>
      </w:r>
      <w:proofErr w:type="gramEnd"/>
      <w:r>
        <w:t xml:space="preserve"> zkoumat údaje pouze ve vztahu k těm 15 lůžkám, nikoli k celé kapacitě, </w:t>
      </w:r>
      <w:r w:rsidR="006F7CC4">
        <w:t>která</w:t>
      </w:r>
      <w:r>
        <w:t xml:space="preserve"> ale </w:t>
      </w:r>
      <w:r w:rsidR="006F7CC4">
        <w:t>bude zachována</w:t>
      </w:r>
      <w:r>
        <w:t xml:space="preserve"> ve výkazech, protože pro a</w:t>
      </w:r>
      <w:r w:rsidR="006F7CC4">
        <w:t>nalýzy a další práci potřebuje Kraj</w:t>
      </w:r>
      <w:r>
        <w:t xml:space="preserve"> znát čísla za celou kapacitu, tak jako to bylo doposud. Jednalo by se tedy pravděpodobně o nový sběr v novém modulu Vyrovnávací platba.</w:t>
      </w:r>
    </w:p>
    <w:p w:rsidR="00CC6D0B" w:rsidRPr="00D36852" w:rsidRDefault="00CC6D0B" w:rsidP="004A72B6">
      <w:pPr>
        <w:pStyle w:val="Odstavecseseznamem"/>
        <w:numPr>
          <w:ilvl w:val="0"/>
          <w:numId w:val="26"/>
        </w:numPr>
      </w:pPr>
      <w:r>
        <w:t xml:space="preserve">Podoba by byla v podstatě podobná, jako je rozpočet a vyúčtování s možností nastavení </w:t>
      </w:r>
      <w:r w:rsidRPr="00D36852">
        <w:t>kontrol a výstupů</w:t>
      </w:r>
      <w:r w:rsidR="006F7CC4" w:rsidRPr="00D36852">
        <w:t>; data za rok 2019 by</w:t>
      </w:r>
      <w:r w:rsidRPr="00D36852">
        <w:t xml:space="preserve"> poskytovatelé odevzdávali až k 30.</w:t>
      </w:r>
      <w:r w:rsidR="00D36852" w:rsidRPr="00D36852">
        <w:t xml:space="preserve"> </w:t>
      </w:r>
      <w:r w:rsidRPr="00D36852">
        <w:t>6.</w:t>
      </w:r>
      <w:r w:rsidR="00D36852" w:rsidRPr="00D36852">
        <w:t xml:space="preserve"> </w:t>
      </w:r>
      <w:r w:rsidRPr="00D36852">
        <w:t>2020 (po uzavření účetnictví) – teoreticky by to mohlo vypadat obdobně jako další termín rozpočtu, ale pouze ve vztahu k podporované kapacitě</w:t>
      </w:r>
      <w:r w:rsidR="006F7CC4" w:rsidRPr="00D36852">
        <w:t>.</w:t>
      </w:r>
    </w:p>
    <w:p w:rsidR="00CC6D0B" w:rsidRPr="00D36852" w:rsidRDefault="00CC6D0B" w:rsidP="004A72B6">
      <w:pPr>
        <w:pStyle w:val="Odstavecseseznamem"/>
        <w:numPr>
          <w:ilvl w:val="0"/>
          <w:numId w:val="26"/>
        </w:numPr>
      </w:pPr>
      <w:r w:rsidRPr="00D36852">
        <w:t>Dále bychom měli být schopni rozlišit, zda</w:t>
      </w:r>
      <w:r w:rsidR="009A161C" w:rsidRPr="00D36852">
        <w:t xml:space="preserve"> obec přistoupila ke krajskému P</w:t>
      </w:r>
      <w:r w:rsidRPr="00D36852">
        <w:t>ověření, nebo zda dala poskytovateli peníze v jiném režimu než vyrovnávací platba – ještě není dořešeno, jak bychom zjišťovali, ale je možné, že bychom v tomto modulu nešli pouze na úroveň ORP, ale jednotlivých obcí (v rámci samostatných řádků – zřejmě by si poskytovatel přidával obce z číselníku)</w:t>
      </w:r>
    </w:p>
    <w:p w:rsidR="00F279E3" w:rsidRDefault="00F279E3" w:rsidP="00233C02">
      <w:pPr>
        <w:rPr>
          <w:b/>
          <w:sz w:val="24"/>
          <w:szCs w:val="24"/>
        </w:rPr>
      </w:pPr>
    </w:p>
    <w:p w:rsidR="00233C02" w:rsidRPr="00B257D0" w:rsidRDefault="00260D2A" w:rsidP="00233C02">
      <w:pPr>
        <w:rPr>
          <w:b/>
        </w:rPr>
      </w:pPr>
      <w:r>
        <w:rPr>
          <w:b/>
        </w:rPr>
        <w:t xml:space="preserve">Kontrola </w:t>
      </w:r>
      <w:proofErr w:type="spellStart"/>
      <w:r>
        <w:rPr>
          <w:b/>
        </w:rPr>
        <w:t>překompenzace</w:t>
      </w:r>
      <w:proofErr w:type="spellEnd"/>
      <w:r>
        <w:rPr>
          <w:b/>
        </w:rPr>
        <w:t xml:space="preserve"> veřejných zdrojů v rámci vyrovnávací platby</w:t>
      </w:r>
    </w:p>
    <w:p w:rsidR="00233C02" w:rsidRPr="00B257D0" w:rsidRDefault="00233C02" w:rsidP="00233C02">
      <w:r>
        <w:rPr>
          <w:noProof/>
        </w:rPr>
        <mc:AlternateContent>
          <mc:Choice Requires="wps">
            <w:drawing>
              <wp:anchor distT="0" distB="0" distL="114300" distR="114300" simplePos="0" relativeHeight="251659264" behindDoc="0" locked="0" layoutInCell="1" allowOverlap="1" wp14:anchorId="4E3442C3" wp14:editId="45F21718">
                <wp:simplePos x="0" y="0"/>
                <wp:positionH relativeFrom="column">
                  <wp:posOffset>1224280</wp:posOffset>
                </wp:positionH>
                <wp:positionV relativeFrom="paragraph">
                  <wp:posOffset>2281555</wp:posOffset>
                </wp:positionV>
                <wp:extent cx="2933700" cy="0"/>
                <wp:effectExtent l="0" t="0" r="19050" b="19050"/>
                <wp:wrapNone/>
                <wp:docPr id="3" name="Přímá spojnice 3"/>
                <wp:cNvGraphicFramePr/>
                <a:graphic xmlns:a="http://schemas.openxmlformats.org/drawingml/2006/main">
                  <a:graphicData uri="http://schemas.microsoft.com/office/word/2010/wordprocessingShape">
                    <wps:wsp>
                      <wps:cNvCnPr/>
                      <wps:spPr>
                        <a:xfrm>
                          <a:off x="0" y="0"/>
                          <a:ext cx="29337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DCB18" id="Přímá spojnice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4pt,179.65pt" to="327.4pt,1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" strokecolor="white [3212]" strokeweight=".5pt">
                <v:stroke joinstyle="miter"/>
              </v:line>
            </w:pict>
          </mc:Fallback>
        </mc:AlternateContent>
      </w:r>
      <w:r w:rsidRPr="00B257D0">
        <w:t xml:space="preserve">Pro jednotlivé druhy sociálních služeb jsou stanoveny na definovanou jednotku hodnoty, které jsou výchozí pro výpočet maximální výše vyrovnávací platby. Překročení maximální výše vyrovnávací platby je vyhodnoceno jako nepovolená veřejná podpora (tzv. </w:t>
      </w:r>
      <w:proofErr w:type="spellStart"/>
      <w:r w:rsidRPr="00B257D0">
        <w:t>překompenzace</w:t>
      </w:r>
      <w:proofErr w:type="spellEnd"/>
      <w:r w:rsidRPr="00B257D0">
        <w:t xml:space="preserve">). </w:t>
      </w:r>
    </w:p>
    <w:p w:rsidR="00F279E3" w:rsidRDefault="00F279E3" w:rsidP="00233C02">
      <w:pPr>
        <w:rPr>
          <w:rFonts w:eastAsia="Arial Unicode MS" w:cs="Arial"/>
          <w:color w:val="000000" w:themeColor="text1"/>
          <w:sz w:val="24"/>
          <w:szCs w:val="24"/>
          <w:u w:val="single"/>
        </w:rPr>
      </w:pPr>
    </w:p>
    <w:p w:rsidR="00233C02" w:rsidRPr="00782F0B" w:rsidRDefault="00782F0B" w:rsidP="00782F0B">
      <w:pPr>
        <w:ind w:left="360"/>
        <w:jc w:val="center"/>
      </w:pPr>
      <w:r>
        <w:rPr>
          <w:noProof/>
        </w:rPr>
        <w:t>XXXX</w:t>
      </w:r>
    </w:p>
    <w:p w:rsidR="00260D2A" w:rsidRPr="00B257D0" w:rsidRDefault="00D36852" w:rsidP="00260D2A">
      <w:pPr>
        <w:jc w:val="center"/>
        <w:rPr>
          <w:b/>
        </w:rPr>
      </w:pPr>
      <w:r w:rsidRPr="00D36852">
        <w:rPr>
          <w:i/>
        </w:rPr>
        <w:t>Obr. 2 – Schéma princi</w:t>
      </w:r>
      <w:r w:rsidRPr="00260D2A">
        <w:rPr>
          <w:i/>
        </w:rPr>
        <w:t xml:space="preserve">pu </w:t>
      </w:r>
      <w:r w:rsidR="00260D2A" w:rsidRPr="00260D2A">
        <w:rPr>
          <w:i/>
        </w:rPr>
        <w:t xml:space="preserve">kontroly </w:t>
      </w:r>
      <w:proofErr w:type="spellStart"/>
      <w:r w:rsidR="00260D2A" w:rsidRPr="00260D2A">
        <w:rPr>
          <w:i/>
        </w:rPr>
        <w:t>překompenzace</w:t>
      </w:r>
      <w:proofErr w:type="spellEnd"/>
      <w:r w:rsidR="00260D2A" w:rsidRPr="00260D2A">
        <w:rPr>
          <w:i/>
        </w:rPr>
        <w:t xml:space="preserve"> veřejných zdrojů v rámci VP</w:t>
      </w:r>
    </w:p>
    <w:p w:rsidR="00CC6D0B" w:rsidRPr="00D36852" w:rsidRDefault="00CC6D0B" w:rsidP="00D36852">
      <w:pPr>
        <w:jc w:val="center"/>
        <w:rPr>
          <w:i/>
        </w:rPr>
      </w:pPr>
    </w:p>
    <w:p w:rsidR="000D16DD" w:rsidRDefault="000D16DD" w:rsidP="004A72B6"/>
    <w:p w:rsidR="008D20D1" w:rsidRDefault="008D20D1" w:rsidP="004A72B6"/>
    <w:p w:rsidR="008D20D1" w:rsidRDefault="008D20D1" w:rsidP="004A72B6"/>
    <w:p w:rsidR="008D20D1" w:rsidRPr="000D16DD" w:rsidRDefault="008D20D1" w:rsidP="004A72B6"/>
    <w:p w:rsidR="001912FE" w:rsidRDefault="001912FE" w:rsidP="004A72B6">
      <w:pPr>
        <w:pStyle w:val="Nadpis2"/>
      </w:pPr>
      <w:r w:rsidRPr="001912FE">
        <w:t>Dokumenty</w:t>
      </w:r>
    </w:p>
    <w:p w:rsidR="007A5BC4" w:rsidRPr="007A5BC4" w:rsidRDefault="007A5BC4" w:rsidP="007A5BC4">
      <w:pPr>
        <w:rPr>
          <w:i/>
        </w:rPr>
      </w:pPr>
      <w:r w:rsidRPr="007A5BC4">
        <w:rPr>
          <w:i/>
        </w:rPr>
        <w:t>Stávající nastavení a fungování tohoto modulu je popsáno v příloze č. P</w:t>
      </w:r>
      <w:r>
        <w:rPr>
          <w:i/>
        </w:rPr>
        <w:t>13</w:t>
      </w:r>
      <w:r w:rsidRPr="007A5BC4">
        <w:rPr>
          <w:i/>
        </w:rPr>
        <w:t xml:space="preserve"> a stane se východiskem pro další rozšíření a úpravy aplikace </w:t>
      </w:r>
      <w:proofErr w:type="spellStart"/>
      <w:r w:rsidRPr="007A5BC4">
        <w:rPr>
          <w:i/>
        </w:rPr>
        <w:t>KISSoS</w:t>
      </w:r>
      <w:proofErr w:type="spellEnd"/>
      <w:r w:rsidRPr="007A5BC4">
        <w:rPr>
          <w:i/>
        </w:rPr>
        <w:t xml:space="preserve">. </w:t>
      </w:r>
    </w:p>
    <w:p w:rsidR="00736DFF" w:rsidRDefault="006F7CC4" w:rsidP="004A72B6">
      <w:r w:rsidRPr="006F7CC4">
        <w:t>I</w:t>
      </w:r>
      <w:r w:rsidR="00736DFF" w:rsidRPr="006F7CC4">
        <w:t>ntegrace na spisovou službu ZK</w:t>
      </w:r>
      <w:r w:rsidR="008A1D91" w:rsidRPr="006F7CC4">
        <w:t xml:space="preserve"> viz 1.3</w:t>
      </w:r>
    </w:p>
    <w:p w:rsidR="00301503" w:rsidRDefault="00A342A6" w:rsidP="00301503">
      <w:r>
        <w:t>Zadavatel</w:t>
      </w:r>
      <w:r w:rsidR="00301503">
        <w:t xml:space="preserve"> požaduje možnost si více</w:t>
      </w:r>
      <w:r>
        <w:t xml:space="preserve"> samostatně nadefinovat </w:t>
      </w:r>
      <w:r w:rsidR="00BF4D5A">
        <w:t>šablony Dokumentů</w:t>
      </w:r>
      <w:r w:rsidR="00301503">
        <w:t xml:space="preserve"> (variabilita šablon)</w:t>
      </w:r>
      <w:r w:rsidR="00D6287B">
        <w:t>,</w:t>
      </w:r>
      <w:r w:rsidR="00301503">
        <w:t xml:space="preserve"> a to tak, aby se změny šablon nepropisovaly do </w:t>
      </w:r>
      <w:r>
        <w:t>šablon minulých období</w:t>
      </w:r>
      <w:r w:rsidR="00301503">
        <w:t xml:space="preserve"> (viz 1.4). </w:t>
      </w:r>
      <w:r w:rsidR="00C35320">
        <w:t>Úprava šablon se týká pouze polí, jejichž změna/odstranění nenaruší chod dalších návazných modulů</w:t>
      </w:r>
    </w:p>
    <w:p w:rsidR="007307D8" w:rsidRDefault="007307D8" w:rsidP="00301503">
      <w:r>
        <w:t>Dále Zadavatel požaduje, aby bylo možno dokumenty v modulu Dokumenty otevřít a uložit</w:t>
      </w:r>
      <w:r w:rsidR="00095578">
        <w:t xml:space="preserve"> ve všech internetových prohlížečích ve formátu </w:t>
      </w:r>
      <w:proofErr w:type="spellStart"/>
      <w:r w:rsidR="00095578">
        <w:t>pdf</w:t>
      </w:r>
      <w:proofErr w:type="spellEnd"/>
      <w:r w:rsidR="00095578">
        <w:t xml:space="preserve"> tak, aby byl needitovatelný (uzamčený).</w:t>
      </w:r>
    </w:p>
    <w:p w:rsidR="004A72B6" w:rsidRPr="00736DFF" w:rsidRDefault="004A72B6" w:rsidP="004A72B6"/>
    <w:p w:rsidR="001912FE" w:rsidRDefault="001912FE" w:rsidP="004A72B6">
      <w:pPr>
        <w:pStyle w:val="Nadpis2"/>
      </w:pPr>
      <w:r w:rsidRPr="001912FE">
        <w:t>Žádost o změny</w:t>
      </w:r>
    </w:p>
    <w:p w:rsidR="007A5BC4" w:rsidRPr="007A5BC4" w:rsidRDefault="007A5BC4" w:rsidP="007A5BC4">
      <w:pPr>
        <w:rPr>
          <w:i/>
        </w:rPr>
      </w:pPr>
      <w:r w:rsidRPr="007A5BC4">
        <w:rPr>
          <w:i/>
        </w:rPr>
        <w:lastRenderedPageBreak/>
        <w:t>Stávající nastavení a fungování tohoto modulu je popsáno v příloze č. P</w:t>
      </w:r>
      <w:r>
        <w:rPr>
          <w:i/>
        </w:rPr>
        <w:t>14</w:t>
      </w:r>
      <w:r w:rsidRPr="007A5BC4">
        <w:rPr>
          <w:i/>
        </w:rPr>
        <w:t xml:space="preserve"> a stane se východiskem pro další rozšíření a úpravy aplikace </w:t>
      </w:r>
      <w:proofErr w:type="spellStart"/>
      <w:r w:rsidRPr="007A5BC4">
        <w:rPr>
          <w:i/>
        </w:rPr>
        <w:t>KISSoS</w:t>
      </w:r>
      <w:proofErr w:type="spellEnd"/>
      <w:r w:rsidRPr="007A5BC4">
        <w:rPr>
          <w:i/>
        </w:rPr>
        <w:t xml:space="preserve">. </w:t>
      </w:r>
    </w:p>
    <w:p w:rsidR="00736DFF" w:rsidRDefault="00736DFF" w:rsidP="004A72B6">
      <w:r>
        <w:t>Změny s vazbou na změnu práce se sítí, viz 2.4</w:t>
      </w:r>
    </w:p>
    <w:p w:rsidR="004A72B6" w:rsidRPr="004A72B6" w:rsidRDefault="004A72B6" w:rsidP="004A72B6">
      <w:pPr>
        <w:rPr>
          <w:color w:val="FF0000"/>
        </w:rPr>
      </w:pPr>
      <w:r>
        <w:t xml:space="preserve">Dále Zadavatel </w:t>
      </w:r>
      <w:r w:rsidRPr="004A72B6">
        <w:t>požaduje</w:t>
      </w:r>
      <w:r>
        <w:t xml:space="preserve"> nastavení tohoto modulu tak, aby na jednu definici Žádosti o změny, která se váže k danému roku a programu, mohli poskytovatelé podávat neomezený počet žádostí o změnu (nyní je nastaveno tak, že na jeden program v rámci jednoho roku může poskytovatel podat pouze 1 žádost o změnu, což nereflektuje skutečnost).</w:t>
      </w:r>
    </w:p>
    <w:p w:rsidR="004A72B6" w:rsidRPr="00736DFF" w:rsidRDefault="004A72B6" w:rsidP="004A72B6"/>
    <w:p w:rsidR="001912FE" w:rsidRPr="00B257D0" w:rsidRDefault="001912FE" w:rsidP="004A72B6">
      <w:pPr>
        <w:pStyle w:val="Nadpis2"/>
        <w:rPr>
          <w:rFonts w:cstheme="minorHAnsi"/>
        </w:rPr>
      </w:pPr>
      <w:r w:rsidRPr="00B257D0">
        <w:rPr>
          <w:rFonts w:cstheme="minorHAnsi"/>
        </w:rPr>
        <w:t>Rozpočet a vyúčtování</w:t>
      </w:r>
    </w:p>
    <w:p w:rsidR="007A5BC4" w:rsidRPr="00B257D0" w:rsidRDefault="007A5BC4" w:rsidP="007A5BC4">
      <w:pPr>
        <w:rPr>
          <w:rFonts w:cstheme="minorHAnsi"/>
          <w:i/>
        </w:rPr>
      </w:pPr>
      <w:r w:rsidRPr="00B257D0">
        <w:rPr>
          <w:rFonts w:cstheme="minorHAnsi"/>
          <w:i/>
        </w:rPr>
        <w:t xml:space="preserve">Stávající nastavení a fungování tohoto modulu je popsáno v příloze č. P15 a stane se východiskem pro další rozšíření a úpravy aplikace </w:t>
      </w:r>
      <w:proofErr w:type="spellStart"/>
      <w:r w:rsidRPr="00B257D0">
        <w:rPr>
          <w:rFonts w:cstheme="minorHAnsi"/>
          <w:i/>
        </w:rPr>
        <w:t>KISSoS</w:t>
      </w:r>
      <w:proofErr w:type="spellEnd"/>
      <w:r w:rsidRPr="00B257D0">
        <w:rPr>
          <w:rFonts w:cstheme="minorHAnsi"/>
          <w:i/>
        </w:rPr>
        <w:t xml:space="preserve">. </w:t>
      </w:r>
    </w:p>
    <w:p w:rsidR="00736DFF" w:rsidRPr="00B257D0" w:rsidRDefault="006F7CC4" w:rsidP="004A72B6">
      <w:pPr>
        <w:rPr>
          <w:rFonts w:cstheme="minorHAnsi"/>
        </w:rPr>
      </w:pPr>
      <w:r w:rsidRPr="00B257D0">
        <w:rPr>
          <w:rFonts w:cstheme="minorHAnsi"/>
        </w:rPr>
        <w:t>I</w:t>
      </w:r>
      <w:r w:rsidR="00736DFF" w:rsidRPr="00B257D0">
        <w:rPr>
          <w:rFonts w:cstheme="minorHAnsi"/>
        </w:rPr>
        <w:t>ntegrace na spisovou službu ZK</w:t>
      </w:r>
      <w:r w:rsidR="008A1D91" w:rsidRPr="00B257D0">
        <w:rPr>
          <w:rFonts w:cstheme="minorHAnsi"/>
        </w:rPr>
        <w:t>, viz 1.3</w:t>
      </w:r>
    </w:p>
    <w:p w:rsidR="00BC0F5A" w:rsidRPr="00B257D0" w:rsidRDefault="00BC0F5A" w:rsidP="004A72B6">
      <w:pPr>
        <w:rPr>
          <w:rFonts w:cstheme="minorHAnsi"/>
        </w:rPr>
      </w:pPr>
      <w:r w:rsidRPr="00B257D0">
        <w:rPr>
          <w:rFonts w:cstheme="minorHAnsi"/>
        </w:rPr>
        <w:t>Zadavatel požaduje přidat do modulu Rozpočet a vyúčtování, do oddílu 4. termín výpočet tzv. přiměřeného zisku, a to dle vzorce:</w:t>
      </w:r>
    </w:p>
    <w:p w:rsidR="00BC0F5A" w:rsidRPr="00B257D0" w:rsidRDefault="00BC0F5A" w:rsidP="00BC0F5A">
      <w:pPr>
        <w:rPr>
          <w:rFonts w:eastAsia="Times New Roman" w:cstheme="minorHAnsi"/>
          <w:color w:val="000000"/>
        </w:rPr>
      </w:pPr>
      <w:r w:rsidRPr="00B257D0">
        <w:rPr>
          <w:rFonts w:eastAsia="Times New Roman" w:cstheme="minorHAnsi"/>
          <w:color w:val="000000"/>
        </w:rPr>
        <w:t>VÝNOSY - NÁKLADY = ZISK</w:t>
      </w:r>
      <w:r w:rsidR="00095578" w:rsidRPr="00B257D0">
        <w:rPr>
          <w:rFonts w:eastAsia="Times New Roman" w:cstheme="minorHAnsi"/>
          <w:color w:val="000000"/>
        </w:rPr>
        <w:t xml:space="preserve"> / ZTRÁTA </w:t>
      </w:r>
      <w:r w:rsidR="00095578" w:rsidRPr="00B257D0">
        <w:rPr>
          <w:rFonts w:cstheme="minorHAnsi"/>
        </w:rPr>
        <w:t>(v tomto případě se v dalším výpočtu nepokračuje)</w:t>
      </w:r>
    </w:p>
    <w:p w:rsidR="00BC0F5A" w:rsidRPr="00B257D0" w:rsidRDefault="00BC0F5A" w:rsidP="00BC0F5A">
      <w:pPr>
        <w:rPr>
          <w:rFonts w:eastAsia="Times New Roman" w:cstheme="minorHAnsi"/>
          <w:color w:val="000000"/>
        </w:rPr>
      </w:pPr>
      <w:r w:rsidRPr="00B257D0">
        <w:rPr>
          <w:rFonts w:eastAsia="Times New Roman" w:cstheme="minorHAnsi"/>
          <w:color w:val="000000"/>
        </w:rPr>
        <w:t>X % z nákladů = PŘIMĚŘENÝ ZISK</w:t>
      </w:r>
    </w:p>
    <w:p w:rsidR="00BC0F5A" w:rsidRPr="00B257D0" w:rsidRDefault="00BC0F5A" w:rsidP="00BC0F5A">
      <w:pPr>
        <w:rPr>
          <w:rFonts w:eastAsia="Times New Roman" w:cstheme="minorHAnsi"/>
          <w:color w:val="000000"/>
        </w:rPr>
      </w:pPr>
      <w:r w:rsidRPr="00B257D0">
        <w:rPr>
          <w:rFonts w:eastAsia="Times New Roman" w:cstheme="minorHAnsi"/>
          <w:color w:val="000000"/>
        </w:rPr>
        <w:t xml:space="preserve">Pokud: ZISK &gt; PŘIMĚŘENÝ ZISK = </w:t>
      </w:r>
      <w:r w:rsidRPr="009501E4">
        <w:rPr>
          <w:rFonts w:eastAsia="Times New Roman" w:cstheme="minorHAnsi"/>
          <w:color w:val="C00000"/>
        </w:rPr>
        <w:t xml:space="preserve">NEPŘIMĚŘENÝ ZISK </w:t>
      </w:r>
      <w:r w:rsidRPr="00B257D0">
        <w:rPr>
          <w:rFonts w:eastAsia="Times New Roman" w:cstheme="minorHAnsi"/>
          <w:color w:val="000000"/>
        </w:rPr>
        <w:t>(červeně)</w:t>
      </w:r>
    </w:p>
    <w:p w:rsidR="00BC0F5A" w:rsidRPr="00B257D0" w:rsidRDefault="00BC0F5A" w:rsidP="00BC0F5A">
      <w:pPr>
        <w:rPr>
          <w:rFonts w:eastAsia="Times New Roman" w:cstheme="minorHAnsi"/>
          <w:color w:val="000000"/>
        </w:rPr>
      </w:pPr>
      <w:r w:rsidRPr="00B257D0">
        <w:rPr>
          <w:rFonts w:eastAsia="Times New Roman" w:cstheme="minorHAnsi"/>
          <w:color w:val="000000"/>
        </w:rPr>
        <w:t xml:space="preserve">Pokud: ZISK &lt;= </w:t>
      </w:r>
      <w:r w:rsidRPr="009501E4">
        <w:rPr>
          <w:rFonts w:eastAsia="Times New Roman" w:cstheme="minorHAnsi"/>
          <w:color w:val="00B050"/>
        </w:rPr>
        <w:t xml:space="preserve">PŘIMĚŘENÝ ZISK </w:t>
      </w:r>
      <w:r w:rsidRPr="00B257D0">
        <w:rPr>
          <w:rFonts w:eastAsia="Times New Roman" w:cstheme="minorHAnsi"/>
          <w:color w:val="000000"/>
        </w:rPr>
        <w:t xml:space="preserve">= </w:t>
      </w:r>
      <w:proofErr w:type="gramStart"/>
      <w:r w:rsidRPr="00B257D0">
        <w:rPr>
          <w:rFonts w:eastAsia="Times New Roman" w:cstheme="minorHAnsi"/>
          <w:color w:val="000000"/>
        </w:rPr>
        <w:t>O.K.</w:t>
      </w:r>
      <w:proofErr w:type="gramEnd"/>
    </w:p>
    <w:p w:rsidR="00BC0F5A" w:rsidRPr="00B257D0" w:rsidRDefault="00095578" w:rsidP="00BC0F5A">
      <w:pPr>
        <w:jc w:val="left"/>
        <w:rPr>
          <w:rFonts w:eastAsia="Times New Roman" w:cstheme="minorHAnsi"/>
          <w:color w:val="000000"/>
        </w:rPr>
      </w:pPr>
      <w:r w:rsidRPr="00B257D0">
        <w:rPr>
          <w:rFonts w:eastAsia="Times New Roman" w:cstheme="minorHAnsi"/>
          <w:color w:val="000000"/>
        </w:rPr>
        <w:t xml:space="preserve">Pozn.: </w:t>
      </w:r>
      <w:r w:rsidR="00BC0F5A" w:rsidRPr="00B257D0">
        <w:rPr>
          <w:rFonts w:eastAsia="Times New Roman" w:cstheme="minorHAnsi"/>
          <w:color w:val="000000"/>
        </w:rPr>
        <w:t xml:space="preserve">% </w:t>
      </w:r>
      <w:r w:rsidRPr="00B257D0">
        <w:rPr>
          <w:rFonts w:eastAsia="Times New Roman" w:cstheme="minorHAnsi"/>
          <w:color w:val="000000"/>
        </w:rPr>
        <w:t>přiměřeného zisku</w:t>
      </w:r>
      <w:r w:rsidR="00F279E3" w:rsidRPr="00B257D0">
        <w:rPr>
          <w:rFonts w:eastAsia="Times New Roman" w:cstheme="minorHAnsi"/>
          <w:color w:val="000000"/>
        </w:rPr>
        <w:t xml:space="preserve"> se určuje </w:t>
      </w:r>
      <w:r w:rsidR="00BC0F5A" w:rsidRPr="00B257D0">
        <w:rPr>
          <w:rFonts w:eastAsia="Times New Roman" w:cstheme="minorHAnsi"/>
          <w:color w:val="000000"/>
        </w:rPr>
        <w:t>vždy na kalendářní rok</w:t>
      </w:r>
    </w:p>
    <w:p w:rsidR="00BC0F5A" w:rsidRPr="00BC0F22" w:rsidRDefault="00782F0B" w:rsidP="00BC0F22">
      <w:pPr>
        <w:jc w:val="center"/>
        <w:rPr>
          <w:i/>
        </w:rPr>
      </w:pPr>
      <w:r>
        <w:rPr>
          <w:noProof/>
        </w:rPr>
        <w:t>XXXX</w:t>
      </w:r>
      <w:r w:rsidR="00BC0F5A" w:rsidRPr="008479DA">
        <w:rPr>
          <w:rFonts w:ascii="Arial" w:eastAsia="Times New Roman" w:hAnsi="Arial" w:cs="Arial"/>
          <w:color w:val="000000"/>
          <w:sz w:val="20"/>
          <w:szCs w:val="20"/>
        </w:rPr>
        <w:br/>
      </w:r>
      <w:r w:rsidR="00BC0F22" w:rsidRPr="00BC0F22">
        <w:rPr>
          <w:i/>
        </w:rPr>
        <w:t>Obr. 3 – Příklad výpočtu přiměřeného zisku</w:t>
      </w:r>
    </w:p>
    <w:p w:rsidR="002B2913" w:rsidRDefault="002B2913" w:rsidP="004A72B6"/>
    <w:p w:rsidR="006F7CC4" w:rsidRDefault="006F7CC4" w:rsidP="004A72B6">
      <w:r>
        <w:t xml:space="preserve">Zadavatel požaduje mít možnost nadefinovat si v modulu Rozpočet a vyúčtování pole </w:t>
      </w:r>
      <w:r w:rsidR="00095578">
        <w:t xml:space="preserve">Indikátor, </w:t>
      </w:r>
      <w:r>
        <w:t>Publicita a Komentář podle požadované podoby (počet a název sloupců</w:t>
      </w:r>
      <w:r w:rsidR="00095578">
        <w:t>, popř. řádků</w:t>
      </w:r>
      <w:r>
        <w:t>) v návaznosti na počet programů daného roku. Jednalo by se o změny, které se promítnou jak v definici,</w:t>
      </w:r>
      <w:r w:rsidR="004A72B6">
        <w:t xml:space="preserve"> tak i na detailu rozpočtu (vazba na bod 1.4)</w:t>
      </w:r>
      <w:r w:rsidR="00BC0F22">
        <w:t>.</w:t>
      </w:r>
    </w:p>
    <w:p w:rsidR="00465C20" w:rsidRDefault="00465C20" w:rsidP="00465C20">
      <w:r>
        <w:t>Dále Zadavatel požaduje provázat pole Skutečný stav ke dni rozpočtu (ř. Indikátor – Zajištění dostupnosti, sada Rozdělení i</w:t>
      </w:r>
      <w:r w:rsidR="002B2913">
        <w:t>n</w:t>
      </w:r>
      <w:r>
        <w:t>dikátoru dle programů – viz Obr. 4) se Zdroji v sadě Náklady a Výnosy tak, aby bylo možno „zamknout“</w:t>
      </w:r>
      <w:r w:rsidR="002B2913">
        <w:t xml:space="preserve"> toto pole společně s vyúčtováním ve sloupci</w:t>
      </w:r>
      <w:r>
        <w:t xml:space="preserve"> </w:t>
      </w:r>
      <w:r w:rsidR="002B2913">
        <w:t>2 Zlínský kraj – Zajištění dostupnosti (a v případě nutnosti vrátit sl. Zdroje k opravě se „odemkne“ i toto pole).</w:t>
      </w:r>
    </w:p>
    <w:p w:rsidR="002B2913" w:rsidRDefault="002B2913" w:rsidP="00465C20"/>
    <w:p w:rsidR="002B2913" w:rsidRDefault="00782F0B" w:rsidP="00782F0B">
      <w:pPr>
        <w:jc w:val="center"/>
      </w:pPr>
      <w:r>
        <w:rPr>
          <w:noProof/>
        </w:rPr>
        <w:t>XXXX</w:t>
      </w:r>
      <w:bookmarkStart w:id="0" w:name="_GoBack"/>
      <w:bookmarkEnd w:id="0"/>
    </w:p>
    <w:p w:rsidR="002B2913" w:rsidRPr="002B2913" w:rsidRDefault="002B2913" w:rsidP="002B2913">
      <w:pPr>
        <w:jc w:val="center"/>
        <w:rPr>
          <w:i/>
        </w:rPr>
      </w:pPr>
      <w:r w:rsidRPr="002B2913">
        <w:rPr>
          <w:i/>
        </w:rPr>
        <w:t>Obr. 4</w:t>
      </w:r>
    </w:p>
    <w:p w:rsidR="00BC0F22" w:rsidRDefault="00BC0F22" w:rsidP="004A72B6"/>
    <w:p w:rsidR="00C05262" w:rsidRDefault="00C05262" w:rsidP="004A72B6">
      <w:pPr>
        <w:rPr>
          <w:color w:val="FF0000"/>
        </w:rPr>
      </w:pPr>
    </w:p>
    <w:p w:rsidR="00BF4D5A" w:rsidRDefault="00BF4D5A" w:rsidP="00BF4D5A">
      <w:pPr>
        <w:pStyle w:val="Nadpis2"/>
      </w:pPr>
      <w:r>
        <w:t>Výkazy</w:t>
      </w:r>
    </w:p>
    <w:p w:rsidR="00BF4D5A" w:rsidRPr="006F7CC4" w:rsidRDefault="00BF4D5A" w:rsidP="004A72B6">
      <w:r>
        <w:t>Zadavatel požaduje úpravu šablony Výkazů tak, aby se čísla zobrazovala s oddělenými tisíci.</w:t>
      </w:r>
    </w:p>
    <w:p w:rsidR="001912FE" w:rsidRDefault="001912FE" w:rsidP="004A72B6"/>
    <w:p w:rsidR="001912FE" w:rsidRDefault="001912FE" w:rsidP="004A72B6"/>
    <w:p w:rsidR="00EA12CC" w:rsidRPr="00A10802" w:rsidRDefault="00EA12CC" w:rsidP="004A72B6">
      <w:pPr>
        <w:pStyle w:val="Nadpis1"/>
      </w:pPr>
      <w:r w:rsidRPr="00A10802">
        <w:lastRenderedPageBreak/>
        <w:t>Nové moduly</w:t>
      </w:r>
    </w:p>
    <w:p w:rsidR="00EA12CC" w:rsidRDefault="00EA12CC" w:rsidP="004A72B6">
      <w:pPr>
        <w:pStyle w:val="Nadpis2"/>
      </w:pPr>
      <w:r>
        <w:t>Modul Sdílení dat o uživatelích</w:t>
      </w:r>
    </w:p>
    <w:p w:rsidR="00A10802" w:rsidRDefault="006D6725" w:rsidP="004A72B6">
      <w:r>
        <w:t>Zadavatel požaduje vytvořit nový modul Sdílení dat o uživatelích, který by zastřešil celokrajskou koordinaci evidence žadatelů o službu. C</w:t>
      </w:r>
      <w:r w:rsidR="00A10802" w:rsidRPr="00D03D27">
        <w:t>ílem by bylo zjistit potřebné informace pro plánování služeb. Kraj má možnost podívat se na seznamy za zařízení, zároveň by si měl být schopen zjistit, kde všude je konkrétní žadatel evidován jako zájemce. Ošetření dalších záležitostí – např. když zájemce zemře nebo je umístěn, informace by se měla dostat ke všem poskytovatelům, kteří jej evidují, pokud s tím zájemce souhlasí. Dále by zde bylo k dispozici sociální šetření, aby každá služba nedělala šetření samostatně.</w:t>
      </w:r>
    </w:p>
    <w:p w:rsidR="006D6725" w:rsidRDefault="006D6725" w:rsidP="004A72B6">
      <w:r>
        <w:t>Přes tento modul by se Zlínský kraj mohl napojit na databázi žadatelů a uživatelů sociálních služeb také v jiných krajích České republiky, kde by přes unikátní kód žadatele mohl zjistit potřebné informace ze sociálních služeb mimo území Zlínského kraje.</w:t>
      </w:r>
    </w:p>
    <w:p w:rsidR="006D6725" w:rsidRPr="00D03D27" w:rsidRDefault="006D6725" w:rsidP="004A72B6"/>
    <w:p w:rsidR="00D03D27" w:rsidRDefault="00EA12CC" w:rsidP="004A72B6">
      <w:pPr>
        <w:pStyle w:val="Nadpis2"/>
      </w:pPr>
      <w:r>
        <w:t>Modul Report</w:t>
      </w:r>
    </w:p>
    <w:p w:rsidR="00EA12CC" w:rsidRDefault="00A342A6" w:rsidP="004A72B6">
      <w:r>
        <w:t xml:space="preserve">Zadavatel požaduje vytvořit nový modul Reporty napříč </w:t>
      </w:r>
      <w:r w:rsidR="00095578">
        <w:t xml:space="preserve">všemi </w:t>
      </w:r>
      <w:r>
        <w:t xml:space="preserve">moduly, kde by si mohl na základě kódů </w:t>
      </w:r>
      <w:r w:rsidR="00EA6FD9">
        <w:t xml:space="preserve">hodnot </w:t>
      </w:r>
      <w:r w:rsidR="00BF4D5A">
        <w:t>nadef</w:t>
      </w:r>
      <w:r w:rsidR="00EA6FD9">
        <w:t>inovat</w:t>
      </w:r>
      <w:r w:rsidR="00EA12CC">
        <w:t xml:space="preserve"> </w:t>
      </w:r>
      <w:r w:rsidR="00EA6FD9">
        <w:t>report</w:t>
      </w:r>
      <w:r w:rsidR="00A10802">
        <w:t xml:space="preserve"> napříč moduly; </w:t>
      </w:r>
      <w:r w:rsidR="00EA12CC">
        <w:t>podpora pro export dat pro potřeby BI</w:t>
      </w:r>
      <w:r w:rsidR="00EA6FD9">
        <w:t>.</w:t>
      </w:r>
    </w:p>
    <w:p w:rsidR="00F03C6C" w:rsidRDefault="00F03C6C" w:rsidP="004A72B6">
      <w:r>
        <w:t>Princip: v každém modulu budou definována pole, která lze kombinovat s dalšími poli z dalších modulů. Tato pole budou mít jedinečný kód, obecně identif</w:t>
      </w:r>
      <w:r w:rsidR="00095578">
        <w:t>i</w:t>
      </w:r>
      <w:r>
        <w:t>kátor. Následně v Reportu napříč moduly si uživatel určí, jaká pole s jakými poli bude chtít do reportu kombinovat. Vybere si vstupní podmínky (filtry) a zobrazí se mu přehled.</w:t>
      </w:r>
    </w:p>
    <w:p w:rsidR="00EA6FD9" w:rsidRDefault="00EA6FD9" w:rsidP="004A72B6"/>
    <w:p w:rsidR="00EA6FD9" w:rsidRDefault="00EA6FD9" w:rsidP="004A72B6"/>
    <w:p w:rsidR="00EA12CC" w:rsidRDefault="00EA12CC" w:rsidP="004A72B6"/>
    <w:p w:rsidR="00396F3D" w:rsidRDefault="00396F3D" w:rsidP="004A72B6"/>
    <w:p w:rsidR="00832642" w:rsidRPr="00FA1502" w:rsidRDefault="00832642" w:rsidP="004A72B6"/>
    <w:p w:rsidR="00832642" w:rsidRPr="00FA1502" w:rsidRDefault="00832642" w:rsidP="004A72B6"/>
    <w:p w:rsidR="008E2AE0" w:rsidRPr="00FA1502" w:rsidRDefault="008E2AE0" w:rsidP="004A72B6"/>
    <w:p w:rsidR="00C9687B" w:rsidRPr="00FA1502" w:rsidRDefault="00C9687B" w:rsidP="004A72B6"/>
    <w:p w:rsidR="00C2688B" w:rsidRDefault="00C2688B" w:rsidP="004A72B6"/>
    <w:p w:rsidR="004144E1" w:rsidRDefault="004144E1" w:rsidP="004A72B6">
      <w:pPr>
        <w:pStyle w:val="Odstavecseseznamem"/>
      </w:pPr>
    </w:p>
    <w:p w:rsidR="004144E1" w:rsidRDefault="004144E1" w:rsidP="004A72B6"/>
    <w:p w:rsidR="00B835B7" w:rsidRDefault="00B835B7" w:rsidP="004A72B6"/>
    <w:sectPr w:rsidR="00B835B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4E3" w:rsidRDefault="00B674E3" w:rsidP="00C05262">
      <w:pPr>
        <w:spacing w:before="0"/>
      </w:pPr>
      <w:r>
        <w:separator/>
      </w:r>
    </w:p>
  </w:endnote>
  <w:endnote w:type="continuationSeparator" w:id="0">
    <w:p w:rsidR="00B674E3" w:rsidRDefault="00B674E3" w:rsidP="00C0526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F6F" w:rsidRDefault="005B7F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004573"/>
      <w:docPartObj>
        <w:docPartGallery w:val="Page Numbers (Bottom of Page)"/>
        <w:docPartUnique/>
      </w:docPartObj>
    </w:sdtPr>
    <w:sdtEndPr/>
    <w:sdtContent>
      <w:p w:rsidR="00C05262" w:rsidRDefault="00691851" w:rsidP="00691851">
        <w:pPr>
          <w:pStyle w:val="Zpat"/>
          <w:jc w:val="right"/>
        </w:pPr>
        <w:r>
          <w:rPr>
            <w:rFonts w:ascii="Arial" w:hAnsi="Arial" w:cs="Arial"/>
            <w:color w:val="999999"/>
          </w:rPr>
          <w:fldChar w:fldCharType="begin"/>
        </w:r>
        <w:r>
          <w:rPr>
            <w:rFonts w:ascii="Arial" w:hAnsi="Arial" w:cs="Arial"/>
            <w:color w:val="999999"/>
          </w:rPr>
          <w:instrText xml:space="preserve"> PAGE </w:instrText>
        </w:r>
        <w:r>
          <w:rPr>
            <w:rFonts w:ascii="Arial" w:hAnsi="Arial" w:cs="Arial"/>
            <w:color w:val="999999"/>
          </w:rPr>
          <w:fldChar w:fldCharType="separate"/>
        </w:r>
        <w:r w:rsidR="00782F0B">
          <w:rPr>
            <w:rFonts w:ascii="Arial" w:hAnsi="Arial" w:cs="Arial"/>
            <w:noProof/>
            <w:color w:val="999999"/>
          </w:rPr>
          <w:t>4</w:t>
        </w:r>
        <w:r>
          <w:rPr>
            <w:rFonts w:ascii="Arial" w:hAnsi="Arial" w:cs="Arial"/>
            <w:color w:val="999999"/>
          </w:rPr>
          <w:fldChar w:fldCharType="end"/>
        </w:r>
        <w:r>
          <w:rPr>
            <w:rFonts w:ascii="Arial" w:hAnsi="Arial" w:cs="Arial"/>
            <w:color w:val="999999"/>
          </w:rPr>
          <w:t xml:space="preserve"> / </w:t>
        </w:r>
        <w:r>
          <w:rPr>
            <w:rFonts w:ascii="Arial" w:hAnsi="Arial" w:cs="Arial"/>
            <w:color w:val="999999"/>
          </w:rPr>
          <w:fldChar w:fldCharType="begin"/>
        </w:r>
        <w:r>
          <w:rPr>
            <w:rFonts w:ascii="Arial" w:hAnsi="Arial" w:cs="Arial"/>
            <w:color w:val="999999"/>
          </w:rPr>
          <w:instrText xml:space="preserve"> NUMPAGES </w:instrText>
        </w:r>
        <w:r>
          <w:rPr>
            <w:rFonts w:ascii="Arial" w:hAnsi="Arial" w:cs="Arial"/>
            <w:color w:val="999999"/>
          </w:rPr>
          <w:fldChar w:fldCharType="separate"/>
        </w:r>
        <w:r w:rsidR="00782F0B">
          <w:rPr>
            <w:rFonts w:ascii="Arial" w:hAnsi="Arial" w:cs="Arial"/>
            <w:noProof/>
            <w:color w:val="999999"/>
          </w:rPr>
          <w:t>7</w:t>
        </w:r>
        <w:r>
          <w:rPr>
            <w:rFonts w:ascii="Arial" w:hAnsi="Arial" w:cs="Arial"/>
            <w:color w:val="999999"/>
          </w:rPr>
          <w:fldChar w:fldCharType="end"/>
        </w:r>
      </w:p>
    </w:sdtContent>
  </w:sdt>
  <w:p w:rsidR="00C05262" w:rsidRDefault="00C0526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F6F" w:rsidRDefault="005B7F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4E3" w:rsidRDefault="00B674E3" w:rsidP="00C05262">
      <w:pPr>
        <w:spacing w:before="0"/>
      </w:pPr>
      <w:r>
        <w:separator/>
      </w:r>
    </w:p>
  </w:footnote>
  <w:footnote w:type="continuationSeparator" w:id="0">
    <w:p w:rsidR="00B674E3" w:rsidRDefault="00B674E3" w:rsidP="00C0526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F6F" w:rsidRDefault="005B7F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87B" w:rsidRDefault="00D6287B" w:rsidP="00D6287B">
    <w:pPr>
      <w:pStyle w:val="Zhlav"/>
      <w:jc w:val="right"/>
    </w:pPr>
    <w:r>
      <w:t>P</w:t>
    </w:r>
    <w:r w:rsidR="00671A7A">
      <w:t xml:space="preserve">říloha č. </w:t>
    </w:r>
    <w:r>
      <w:t>4</w:t>
    </w:r>
    <w:r w:rsidR="005B7F6F">
      <w:t xml:space="preserve"> smlouvy</w:t>
    </w:r>
    <w:r w:rsidR="00671A7A">
      <w:t xml:space="preserve">: </w:t>
    </w:r>
    <w:r>
      <w:t xml:space="preserve">Specifikace modulů a funkcionalit v rámci rozšíření funkčnosti aplikace </w:t>
    </w:r>
    <w:proofErr w:type="spellStart"/>
    <w:r>
      <w:t>KISSoS</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F6F" w:rsidRDefault="005B7F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E4D"/>
    <w:multiLevelType w:val="hybridMultilevel"/>
    <w:tmpl w:val="AB405D78"/>
    <w:lvl w:ilvl="0" w:tplc="CD1068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B407BF"/>
    <w:multiLevelType w:val="hybridMultilevel"/>
    <w:tmpl w:val="5CFA781C"/>
    <w:lvl w:ilvl="0" w:tplc="6AEA08B4">
      <w:start w:val="1"/>
      <w:numFmt w:val="bullet"/>
      <w:lvlText w:val=""/>
      <w:lvlJc w:val="left"/>
      <w:pPr>
        <w:ind w:left="783" w:hanging="360"/>
      </w:pPr>
      <w:rPr>
        <w:rFonts w:ascii="Symbol" w:hAnsi="Symbol" w:hint="default"/>
      </w:rPr>
    </w:lvl>
    <w:lvl w:ilvl="1" w:tplc="04050003">
      <w:start w:val="1"/>
      <w:numFmt w:val="bullet"/>
      <w:lvlText w:val="o"/>
      <w:lvlJc w:val="left"/>
      <w:pPr>
        <w:ind w:left="1503" w:hanging="360"/>
      </w:pPr>
      <w:rPr>
        <w:rFonts w:ascii="Courier New" w:hAnsi="Courier New" w:cs="Courier New" w:hint="default"/>
      </w:rPr>
    </w:lvl>
    <w:lvl w:ilvl="2" w:tplc="04050005">
      <w:start w:val="1"/>
      <w:numFmt w:val="bullet"/>
      <w:lvlText w:val=""/>
      <w:lvlJc w:val="left"/>
      <w:pPr>
        <w:ind w:left="2223" w:hanging="360"/>
      </w:pPr>
      <w:rPr>
        <w:rFonts w:ascii="Wingdings" w:hAnsi="Wingdings" w:hint="default"/>
      </w:rPr>
    </w:lvl>
    <w:lvl w:ilvl="3" w:tplc="04050001">
      <w:start w:val="1"/>
      <w:numFmt w:val="bullet"/>
      <w:lvlText w:val=""/>
      <w:lvlJc w:val="left"/>
      <w:pPr>
        <w:ind w:left="2943" w:hanging="360"/>
      </w:pPr>
      <w:rPr>
        <w:rFonts w:ascii="Symbol" w:hAnsi="Symbol" w:hint="default"/>
      </w:rPr>
    </w:lvl>
    <w:lvl w:ilvl="4" w:tplc="04050003">
      <w:start w:val="1"/>
      <w:numFmt w:val="bullet"/>
      <w:lvlText w:val="o"/>
      <w:lvlJc w:val="left"/>
      <w:pPr>
        <w:ind w:left="3663" w:hanging="360"/>
      </w:pPr>
      <w:rPr>
        <w:rFonts w:ascii="Courier New" w:hAnsi="Courier New" w:cs="Courier New" w:hint="default"/>
      </w:rPr>
    </w:lvl>
    <w:lvl w:ilvl="5" w:tplc="04050005">
      <w:start w:val="1"/>
      <w:numFmt w:val="bullet"/>
      <w:lvlText w:val=""/>
      <w:lvlJc w:val="left"/>
      <w:pPr>
        <w:ind w:left="4383" w:hanging="360"/>
      </w:pPr>
      <w:rPr>
        <w:rFonts w:ascii="Wingdings" w:hAnsi="Wingdings" w:hint="default"/>
      </w:rPr>
    </w:lvl>
    <w:lvl w:ilvl="6" w:tplc="04050001">
      <w:start w:val="1"/>
      <w:numFmt w:val="bullet"/>
      <w:lvlText w:val=""/>
      <w:lvlJc w:val="left"/>
      <w:pPr>
        <w:ind w:left="5103" w:hanging="360"/>
      </w:pPr>
      <w:rPr>
        <w:rFonts w:ascii="Symbol" w:hAnsi="Symbol" w:hint="default"/>
      </w:rPr>
    </w:lvl>
    <w:lvl w:ilvl="7" w:tplc="04050003">
      <w:start w:val="1"/>
      <w:numFmt w:val="bullet"/>
      <w:lvlText w:val="o"/>
      <w:lvlJc w:val="left"/>
      <w:pPr>
        <w:ind w:left="5823" w:hanging="360"/>
      </w:pPr>
      <w:rPr>
        <w:rFonts w:ascii="Courier New" w:hAnsi="Courier New" w:cs="Courier New" w:hint="default"/>
      </w:rPr>
    </w:lvl>
    <w:lvl w:ilvl="8" w:tplc="04050005">
      <w:start w:val="1"/>
      <w:numFmt w:val="bullet"/>
      <w:lvlText w:val=""/>
      <w:lvlJc w:val="left"/>
      <w:pPr>
        <w:ind w:left="6543" w:hanging="360"/>
      </w:pPr>
      <w:rPr>
        <w:rFonts w:ascii="Wingdings" w:hAnsi="Wingdings" w:hint="default"/>
      </w:rPr>
    </w:lvl>
  </w:abstractNum>
  <w:abstractNum w:abstractNumId="2" w15:restartNumberingAfterBreak="0">
    <w:nsid w:val="09BA57DA"/>
    <w:multiLevelType w:val="hybridMultilevel"/>
    <w:tmpl w:val="405A27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9A2CA6"/>
    <w:multiLevelType w:val="hybridMultilevel"/>
    <w:tmpl w:val="4F7CD6D6"/>
    <w:lvl w:ilvl="0" w:tplc="CD1068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CE4EC7"/>
    <w:multiLevelType w:val="hybridMultilevel"/>
    <w:tmpl w:val="68D086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04251B"/>
    <w:multiLevelType w:val="hybridMultilevel"/>
    <w:tmpl w:val="5DD89B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2C1181"/>
    <w:multiLevelType w:val="hybridMultilevel"/>
    <w:tmpl w:val="526A1176"/>
    <w:lvl w:ilvl="0" w:tplc="CD1068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B719F2"/>
    <w:multiLevelType w:val="hybridMultilevel"/>
    <w:tmpl w:val="FB5C7CBA"/>
    <w:lvl w:ilvl="0" w:tplc="55B44874">
      <w:start w:val="1"/>
      <w:numFmt w:val="bullet"/>
      <w:lvlText w:val=""/>
      <w:lvlJc w:val="left"/>
      <w:pPr>
        <w:ind w:left="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E3A0C04">
      <w:start w:val="1"/>
      <w:numFmt w:val="bullet"/>
      <w:lvlText w:val="o"/>
      <w:lvlJc w:val="left"/>
      <w:pPr>
        <w:ind w:left="14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DAE268">
      <w:start w:val="1"/>
      <w:numFmt w:val="bullet"/>
      <w:lvlText w:val="▪"/>
      <w:lvlJc w:val="left"/>
      <w:pPr>
        <w:ind w:left="21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E6AE08">
      <w:start w:val="1"/>
      <w:numFmt w:val="bullet"/>
      <w:lvlText w:val="•"/>
      <w:lvlJc w:val="left"/>
      <w:pPr>
        <w:ind w:left="28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250996A">
      <w:start w:val="1"/>
      <w:numFmt w:val="bullet"/>
      <w:lvlText w:val="o"/>
      <w:lvlJc w:val="left"/>
      <w:pPr>
        <w:ind w:left="35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CBC697C">
      <w:start w:val="1"/>
      <w:numFmt w:val="bullet"/>
      <w:lvlText w:val="▪"/>
      <w:lvlJc w:val="left"/>
      <w:pPr>
        <w:ind w:left="42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3C6C342">
      <w:start w:val="1"/>
      <w:numFmt w:val="bullet"/>
      <w:lvlText w:val="•"/>
      <w:lvlJc w:val="left"/>
      <w:pPr>
        <w:ind w:left="50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A487F4">
      <w:start w:val="1"/>
      <w:numFmt w:val="bullet"/>
      <w:lvlText w:val="o"/>
      <w:lvlJc w:val="left"/>
      <w:pPr>
        <w:ind w:left="5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24D4F0">
      <w:start w:val="1"/>
      <w:numFmt w:val="bullet"/>
      <w:lvlText w:val="▪"/>
      <w:lvlJc w:val="left"/>
      <w:pPr>
        <w:ind w:left="64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0E409F"/>
    <w:multiLevelType w:val="hybridMultilevel"/>
    <w:tmpl w:val="CD887968"/>
    <w:lvl w:ilvl="0" w:tplc="0F28EF2C">
      <w:start w:val="1"/>
      <w:numFmt w:val="bullet"/>
      <w:lvlText w:val="o"/>
      <w:lvlJc w:val="left"/>
      <w:pPr>
        <w:ind w:left="1425"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15:restartNumberingAfterBreak="0">
    <w:nsid w:val="25EB62BA"/>
    <w:multiLevelType w:val="hybridMultilevel"/>
    <w:tmpl w:val="A9D6E3F6"/>
    <w:lvl w:ilvl="0" w:tplc="CD1068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73569E"/>
    <w:multiLevelType w:val="hybridMultilevel"/>
    <w:tmpl w:val="6D1C3266"/>
    <w:lvl w:ilvl="0" w:tplc="1106915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E166B9"/>
    <w:multiLevelType w:val="hybridMultilevel"/>
    <w:tmpl w:val="31E6BB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9826A7"/>
    <w:multiLevelType w:val="hybridMultilevel"/>
    <w:tmpl w:val="A3208806"/>
    <w:lvl w:ilvl="0" w:tplc="3648BC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B0547"/>
    <w:multiLevelType w:val="hybridMultilevel"/>
    <w:tmpl w:val="61D24DB6"/>
    <w:lvl w:ilvl="0" w:tplc="D9F2AB8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706C73"/>
    <w:multiLevelType w:val="hybridMultilevel"/>
    <w:tmpl w:val="969E9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C4321E"/>
    <w:multiLevelType w:val="hybridMultilevel"/>
    <w:tmpl w:val="25D6D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AD7B85"/>
    <w:multiLevelType w:val="hybridMultilevel"/>
    <w:tmpl w:val="E0747162"/>
    <w:lvl w:ilvl="0" w:tplc="3648BC48">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0AE027D"/>
    <w:multiLevelType w:val="hybridMultilevel"/>
    <w:tmpl w:val="C5A83CA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1564B0"/>
    <w:multiLevelType w:val="hybridMultilevel"/>
    <w:tmpl w:val="47C6DEB6"/>
    <w:lvl w:ilvl="0" w:tplc="850CC00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5E662D"/>
    <w:multiLevelType w:val="hybridMultilevel"/>
    <w:tmpl w:val="58088F20"/>
    <w:lvl w:ilvl="0" w:tplc="CD1068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2D36DA"/>
    <w:multiLevelType w:val="hybridMultilevel"/>
    <w:tmpl w:val="0A745882"/>
    <w:lvl w:ilvl="0" w:tplc="D7A09360">
      <w:start w:val="1"/>
      <w:numFmt w:val="bullet"/>
      <w:lvlText w:val=""/>
      <w:lvlJc w:val="left"/>
      <w:pPr>
        <w:ind w:left="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DEF0CE">
      <w:start w:val="1"/>
      <w:numFmt w:val="bullet"/>
      <w:lvlText w:val="o"/>
      <w:lvlJc w:val="left"/>
      <w:pPr>
        <w:ind w:left="1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546E88">
      <w:start w:val="1"/>
      <w:numFmt w:val="bullet"/>
      <w:lvlText w:val="▪"/>
      <w:lvlJc w:val="left"/>
      <w:pPr>
        <w:ind w:left="21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9708222">
      <w:start w:val="1"/>
      <w:numFmt w:val="bullet"/>
      <w:lvlText w:val="•"/>
      <w:lvlJc w:val="left"/>
      <w:pPr>
        <w:ind w:left="28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7E4F144">
      <w:start w:val="1"/>
      <w:numFmt w:val="bullet"/>
      <w:lvlText w:val="o"/>
      <w:lvlJc w:val="left"/>
      <w:pPr>
        <w:ind w:left="35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E2A2C44">
      <w:start w:val="1"/>
      <w:numFmt w:val="bullet"/>
      <w:lvlText w:val="▪"/>
      <w:lvlJc w:val="left"/>
      <w:pPr>
        <w:ind w:left="42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02A0902">
      <w:start w:val="1"/>
      <w:numFmt w:val="bullet"/>
      <w:lvlText w:val="•"/>
      <w:lvlJc w:val="left"/>
      <w:pPr>
        <w:ind w:left="50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00CEBB2">
      <w:start w:val="1"/>
      <w:numFmt w:val="bullet"/>
      <w:lvlText w:val="o"/>
      <w:lvlJc w:val="left"/>
      <w:pPr>
        <w:ind w:left="57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38EF692">
      <w:start w:val="1"/>
      <w:numFmt w:val="bullet"/>
      <w:lvlText w:val="▪"/>
      <w:lvlJc w:val="left"/>
      <w:pPr>
        <w:ind w:left="64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6D5295"/>
    <w:multiLevelType w:val="hybridMultilevel"/>
    <w:tmpl w:val="99B8993C"/>
    <w:lvl w:ilvl="0" w:tplc="C0BC925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3E159A"/>
    <w:multiLevelType w:val="hybridMultilevel"/>
    <w:tmpl w:val="B4A244DE"/>
    <w:lvl w:ilvl="0" w:tplc="CD1068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5F33DA"/>
    <w:multiLevelType w:val="hybridMultilevel"/>
    <w:tmpl w:val="F46691FE"/>
    <w:lvl w:ilvl="0" w:tplc="48F2BE3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EC4C9E60">
      <w:start w:val="1"/>
      <w:numFmt w:val="bullet"/>
      <w:lvlText w:val="o"/>
      <w:lvlJc w:val="left"/>
      <w:pPr>
        <w:ind w:left="7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82E5E54">
      <w:start w:val="1"/>
      <w:numFmt w:val="bullet"/>
      <w:lvlText w:val="▪"/>
      <w:lvlJc w:val="left"/>
      <w:pPr>
        <w:ind w:left="10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2AA64EC">
      <w:start w:val="1"/>
      <w:numFmt w:val="bullet"/>
      <w:lvlRestart w:val="0"/>
      <w:lvlText w:val="o"/>
      <w:lvlJc w:val="left"/>
      <w:pPr>
        <w:ind w:left="14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044BFDE">
      <w:start w:val="1"/>
      <w:numFmt w:val="bullet"/>
      <w:lvlText w:val="o"/>
      <w:lvlJc w:val="left"/>
      <w:pPr>
        <w:ind w:left="21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15CE746">
      <w:start w:val="1"/>
      <w:numFmt w:val="bullet"/>
      <w:lvlText w:val="▪"/>
      <w:lvlJc w:val="left"/>
      <w:pPr>
        <w:ind w:left="28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DD02950">
      <w:start w:val="1"/>
      <w:numFmt w:val="bullet"/>
      <w:lvlText w:val="•"/>
      <w:lvlJc w:val="left"/>
      <w:pPr>
        <w:ind w:left="35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E445EB8">
      <w:start w:val="1"/>
      <w:numFmt w:val="bullet"/>
      <w:lvlText w:val="o"/>
      <w:lvlJc w:val="left"/>
      <w:pPr>
        <w:ind w:left="42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EBA72AA">
      <w:start w:val="1"/>
      <w:numFmt w:val="bullet"/>
      <w:lvlText w:val="▪"/>
      <w:lvlJc w:val="left"/>
      <w:pPr>
        <w:ind w:left="50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6164F9F"/>
    <w:multiLevelType w:val="hybridMultilevel"/>
    <w:tmpl w:val="8FAC66BC"/>
    <w:lvl w:ilvl="0" w:tplc="A790BF9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8404072">
      <w:start w:val="1"/>
      <w:numFmt w:val="bullet"/>
      <w:lvlText w:val="o"/>
      <w:lvlJc w:val="left"/>
      <w:pPr>
        <w:ind w:left="7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90A56EA">
      <w:start w:val="1"/>
      <w:numFmt w:val="bullet"/>
      <w:lvlRestart w:val="0"/>
      <w:lvlText w:val="o"/>
      <w:lvlJc w:val="left"/>
      <w:pPr>
        <w:ind w:left="10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93CE256">
      <w:start w:val="1"/>
      <w:numFmt w:val="bullet"/>
      <w:lvlText w:val="•"/>
      <w:lvlJc w:val="left"/>
      <w:pPr>
        <w:ind w:left="18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3160538">
      <w:start w:val="1"/>
      <w:numFmt w:val="bullet"/>
      <w:lvlText w:val="o"/>
      <w:lvlJc w:val="left"/>
      <w:pPr>
        <w:ind w:left="26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DAC6D88">
      <w:start w:val="1"/>
      <w:numFmt w:val="bullet"/>
      <w:lvlText w:val="▪"/>
      <w:lvlJc w:val="left"/>
      <w:pPr>
        <w:ind w:left="33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514E126">
      <w:start w:val="1"/>
      <w:numFmt w:val="bullet"/>
      <w:lvlText w:val="•"/>
      <w:lvlJc w:val="left"/>
      <w:pPr>
        <w:ind w:left="40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87C4770">
      <w:start w:val="1"/>
      <w:numFmt w:val="bullet"/>
      <w:lvlText w:val="o"/>
      <w:lvlJc w:val="left"/>
      <w:pPr>
        <w:ind w:left="47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F8A65FA">
      <w:start w:val="1"/>
      <w:numFmt w:val="bullet"/>
      <w:lvlText w:val="▪"/>
      <w:lvlJc w:val="left"/>
      <w:pPr>
        <w:ind w:left="54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A666F6"/>
    <w:multiLevelType w:val="hybridMultilevel"/>
    <w:tmpl w:val="866C73CA"/>
    <w:lvl w:ilvl="0" w:tplc="3648BC48">
      <w:start w:val="1"/>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17463AF"/>
    <w:multiLevelType w:val="hybridMultilevel"/>
    <w:tmpl w:val="1390DB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3100EF"/>
    <w:multiLevelType w:val="hybridMultilevel"/>
    <w:tmpl w:val="1A741588"/>
    <w:lvl w:ilvl="0" w:tplc="7642649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84460F"/>
    <w:multiLevelType w:val="hybridMultilevel"/>
    <w:tmpl w:val="F508D04E"/>
    <w:lvl w:ilvl="0" w:tplc="F65CB7E4">
      <w:start w:val="1"/>
      <w:numFmt w:val="bullet"/>
      <w:lvlText w:val="-"/>
      <w:lvlJc w:val="left"/>
      <w:pPr>
        <w:tabs>
          <w:tab w:val="num" w:pos="720"/>
        </w:tabs>
        <w:ind w:left="720" w:hanging="360"/>
      </w:pPr>
      <w:rPr>
        <w:rFonts w:ascii="Times New Roman" w:hAnsi="Times New Roman" w:hint="default"/>
      </w:rPr>
    </w:lvl>
    <w:lvl w:ilvl="1" w:tplc="592C895C" w:tentative="1">
      <w:start w:val="1"/>
      <w:numFmt w:val="bullet"/>
      <w:lvlText w:val="-"/>
      <w:lvlJc w:val="left"/>
      <w:pPr>
        <w:tabs>
          <w:tab w:val="num" w:pos="1440"/>
        </w:tabs>
        <w:ind w:left="1440" w:hanging="360"/>
      </w:pPr>
      <w:rPr>
        <w:rFonts w:ascii="Times New Roman" w:hAnsi="Times New Roman" w:hint="default"/>
      </w:rPr>
    </w:lvl>
    <w:lvl w:ilvl="2" w:tplc="08202060" w:tentative="1">
      <w:start w:val="1"/>
      <w:numFmt w:val="bullet"/>
      <w:lvlText w:val="-"/>
      <w:lvlJc w:val="left"/>
      <w:pPr>
        <w:tabs>
          <w:tab w:val="num" w:pos="2160"/>
        </w:tabs>
        <w:ind w:left="2160" w:hanging="360"/>
      </w:pPr>
      <w:rPr>
        <w:rFonts w:ascii="Times New Roman" w:hAnsi="Times New Roman" w:hint="default"/>
      </w:rPr>
    </w:lvl>
    <w:lvl w:ilvl="3" w:tplc="8D0EC26C" w:tentative="1">
      <w:start w:val="1"/>
      <w:numFmt w:val="bullet"/>
      <w:lvlText w:val="-"/>
      <w:lvlJc w:val="left"/>
      <w:pPr>
        <w:tabs>
          <w:tab w:val="num" w:pos="2880"/>
        </w:tabs>
        <w:ind w:left="2880" w:hanging="360"/>
      </w:pPr>
      <w:rPr>
        <w:rFonts w:ascii="Times New Roman" w:hAnsi="Times New Roman" w:hint="default"/>
      </w:rPr>
    </w:lvl>
    <w:lvl w:ilvl="4" w:tplc="5D3C636E" w:tentative="1">
      <w:start w:val="1"/>
      <w:numFmt w:val="bullet"/>
      <w:lvlText w:val="-"/>
      <w:lvlJc w:val="left"/>
      <w:pPr>
        <w:tabs>
          <w:tab w:val="num" w:pos="3600"/>
        </w:tabs>
        <w:ind w:left="3600" w:hanging="360"/>
      </w:pPr>
      <w:rPr>
        <w:rFonts w:ascii="Times New Roman" w:hAnsi="Times New Roman" w:hint="default"/>
      </w:rPr>
    </w:lvl>
    <w:lvl w:ilvl="5" w:tplc="00A88DB2" w:tentative="1">
      <w:start w:val="1"/>
      <w:numFmt w:val="bullet"/>
      <w:lvlText w:val="-"/>
      <w:lvlJc w:val="left"/>
      <w:pPr>
        <w:tabs>
          <w:tab w:val="num" w:pos="4320"/>
        </w:tabs>
        <w:ind w:left="4320" w:hanging="360"/>
      </w:pPr>
      <w:rPr>
        <w:rFonts w:ascii="Times New Roman" w:hAnsi="Times New Roman" w:hint="default"/>
      </w:rPr>
    </w:lvl>
    <w:lvl w:ilvl="6" w:tplc="58D2D7A0" w:tentative="1">
      <w:start w:val="1"/>
      <w:numFmt w:val="bullet"/>
      <w:lvlText w:val="-"/>
      <w:lvlJc w:val="left"/>
      <w:pPr>
        <w:tabs>
          <w:tab w:val="num" w:pos="5040"/>
        </w:tabs>
        <w:ind w:left="5040" w:hanging="360"/>
      </w:pPr>
      <w:rPr>
        <w:rFonts w:ascii="Times New Roman" w:hAnsi="Times New Roman" w:hint="default"/>
      </w:rPr>
    </w:lvl>
    <w:lvl w:ilvl="7" w:tplc="CA6C0CB0" w:tentative="1">
      <w:start w:val="1"/>
      <w:numFmt w:val="bullet"/>
      <w:lvlText w:val="-"/>
      <w:lvlJc w:val="left"/>
      <w:pPr>
        <w:tabs>
          <w:tab w:val="num" w:pos="5760"/>
        </w:tabs>
        <w:ind w:left="5760" w:hanging="360"/>
      </w:pPr>
      <w:rPr>
        <w:rFonts w:ascii="Times New Roman" w:hAnsi="Times New Roman" w:hint="default"/>
      </w:rPr>
    </w:lvl>
    <w:lvl w:ilvl="8" w:tplc="21DA219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66757F3"/>
    <w:multiLevelType w:val="hybridMultilevel"/>
    <w:tmpl w:val="F06E5E9C"/>
    <w:lvl w:ilvl="0" w:tplc="04D6BF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2F252B"/>
    <w:multiLevelType w:val="hybridMultilevel"/>
    <w:tmpl w:val="24148BD2"/>
    <w:lvl w:ilvl="0" w:tplc="72B04BD0">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16BFE0">
      <w:start w:val="1"/>
      <w:numFmt w:val="bullet"/>
      <w:lvlText w:val="o"/>
      <w:lvlJc w:val="left"/>
      <w:pPr>
        <w:ind w:left="1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8501F4A">
      <w:start w:val="1"/>
      <w:numFmt w:val="bullet"/>
      <w:lvlText w:val="▪"/>
      <w:lvlJc w:val="left"/>
      <w:pPr>
        <w:ind w:left="14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D246950">
      <w:start w:val="1"/>
      <w:numFmt w:val="bullet"/>
      <w:lvlText w:val="•"/>
      <w:lvlJc w:val="left"/>
      <w:pPr>
        <w:ind w:left="22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6AE4598">
      <w:start w:val="1"/>
      <w:numFmt w:val="bullet"/>
      <w:lvlText w:val="o"/>
      <w:lvlJc w:val="left"/>
      <w:pPr>
        <w:ind w:left="29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D0284F4">
      <w:start w:val="1"/>
      <w:numFmt w:val="bullet"/>
      <w:lvlText w:val="▪"/>
      <w:lvlJc w:val="left"/>
      <w:pPr>
        <w:ind w:left="36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8FEEBEE">
      <w:start w:val="1"/>
      <w:numFmt w:val="bullet"/>
      <w:lvlText w:val="•"/>
      <w:lvlJc w:val="left"/>
      <w:pPr>
        <w:ind w:left="43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EB4768E">
      <w:start w:val="1"/>
      <w:numFmt w:val="bullet"/>
      <w:lvlText w:val="o"/>
      <w:lvlJc w:val="left"/>
      <w:pPr>
        <w:ind w:left="5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5D29564">
      <w:start w:val="1"/>
      <w:numFmt w:val="bullet"/>
      <w:lvlText w:val="▪"/>
      <w:lvlJc w:val="left"/>
      <w:pPr>
        <w:ind w:left="5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B9C2009"/>
    <w:multiLevelType w:val="multilevel"/>
    <w:tmpl w:val="0974F966"/>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9845B8"/>
    <w:multiLevelType w:val="hybridMultilevel"/>
    <w:tmpl w:val="C0563C42"/>
    <w:lvl w:ilvl="0" w:tplc="2806C516">
      <w:start w:val="1"/>
      <w:numFmt w:val="bullet"/>
      <w:lvlText w:val=""/>
      <w:lvlJc w:val="left"/>
      <w:pPr>
        <w:ind w:left="6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FAE30DC">
      <w:start w:val="1"/>
      <w:numFmt w:val="bullet"/>
      <w:lvlText w:val="o"/>
      <w:lvlJc w:val="left"/>
      <w:pPr>
        <w:ind w:left="1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E2883EA">
      <w:start w:val="1"/>
      <w:numFmt w:val="bullet"/>
      <w:lvlText w:val="▪"/>
      <w:lvlJc w:val="left"/>
      <w:pPr>
        <w:ind w:left="21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37861AE">
      <w:start w:val="1"/>
      <w:numFmt w:val="bullet"/>
      <w:lvlText w:val="•"/>
      <w:lvlJc w:val="left"/>
      <w:pPr>
        <w:ind w:left="28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D1E72CC">
      <w:start w:val="1"/>
      <w:numFmt w:val="bullet"/>
      <w:lvlText w:val="o"/>
      <w:lvlJc w:val="left"/>
      <w:pPr>
        <w:ind w:left="35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1BE5026">
      <w:start w:val="1"/>
      <w:numFmt w:val="bullet"/>
      <w:lvlText w:val="▪"/>
      <w:lvlJc w:val="left"/>
      <w:pPr>
        <w:ind w:left="42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726723C">
      <w:start w:val="1"/>
      <w:numFmt w:val="bullet"/>
      <w:lvlText w:val="•"/>
      <w:lvlJc w:val="left"/>
      <w:pPr>
        <w:ind w:left="50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DE61BB2">
      <w:start w:val="1"/>
      <w:numFmt w:val="bullet"/>
      <w:lvlText w:val="o"/>
      <w:lvlJc w:val="left"/>
      <w:pPr>
        <w:ind w:left="57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1201D0">
      <w:start w:val="1"/>
      <w:numFmt w:val="bullet"/>
      <w:lvlText w:val="▪"/>
      <w:lvlJc w:val="left"/>
      <w:pPr>
        <w:ind w:left="64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20D1D2F"/>
    <w:multiLevelType w:val="hybridMultilevel"/>
    <w:tmpl w:val="A8EAA1AE"/>
    <w:lvl w:ilvl="0" w:tplc="CD1068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19"/>
  </w:num>
  <w:num w:numId="4">
    <w:abstractNumId w:val="0"/>
  </w:num>
  <w:num w:numId="5">
    <w:abstractNumId w:val="3"/>
  </w:num>
  <w:num w:numId="6">
    <w:abstractNumId w:val="22"/>
  </w:num>
  <w:num w:numId="7">
    <w:abstractNumId w:val="9"/>
  </w:num>
  <w:num w:numId="8">
    <w:abstractNumId w:val="13"/>
  </w:num>
  <w:num w:numId="9">
    <w:abstractNumId w:val="27"/>
  </w:num>
  <w:num w:numId="10">
    <w:abstractNumId w:val="18"/>
  </w:num>
  <w:num w:numId="11">
    <w:abstractNumId w:val="12"/>
  </w:num>
  <w:num w:numId="12">
    <w:abstractNumId w:val="25"/>
  </w:num>
  <w:num w:numId="13">
    <w:abstractNumId w:val="16"/>
  </w:num>
  <w:num w:numId="14">
    <w:abstractNumId w:val="21"/>
  </w:num>
  <w:num w:numId="15">
    <w:abstractNumId w:val="10"/>
  </w:num>
  <w:num w:numId="16">
    <w:abstractNumId w:val="15"/>
  </w:num>
  <w:num w:numId="17">
    <w:abstractNumId w:val="17"/>
  </w:num>
  <w:num w:numId="18">
    <w:abstractNumId w:val="29"/>
  </w:num>
  <w:num w:numId="19">
    <w:abstractNumId w:val="31"/>
  </w:num>
  <w:num w:numId="20">
    <w:abstractNumId w:val="14"/>
  </w:num>
  <w:num w:numId="21">
    <w:abstractNumId w:val="5"/>
  </w:num>
  <w:num w:numId="22">
    <w:abstractNumId w:val="26"/>
  </w:num>
  <w:num w:numId="23">
    <w:abstractNumId w:val="11"/>
  </w:num>
  <w:num w:numId="24">
    <w:abstractNumId w:val="28"/>
  </w:num>
  <w:num w:numId="25">
    <w:abstractNumId w:val="4"/>
  </w:num>
  <w:num w:numId="26">
    <w:abstractNumId w:val="2"/>
  </w:num>
  <w:num w:numId="27">
    <w:abstractNumId w:val="1"/>
  </w:num>
  <w:num w:numId="28">
    <w:abstractNumId w:val="20"/>
  </w:num>
  <w:num w:numId="29">
    <w:abstractNumId w:val="32"/>
  </w:num>
  <w:num w:numId="30">
    <w:abstractNumId w:val="30"/>
  </w:num>
  <w:num w:numId="31">
    <w:abstractNumId w:val="24"/>
  </w:num>
  <w:num w:numId="32">
    <w:abstractNumId w:val="23"/>
  </w:num>
  <w:num w:numId="33">
    <w:abstractNumId w:val="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42"/>
    <w:rsid w:val="000557E7"/>
    <w:rsid w:val="000572C5"/>
    <w:rsid w:val="000656D9"/>
    <w:rsid w:val="00086BE9"/>
    <w:rsid w:val="00095578"/>
    <w:rsid w:val="000C20C5"/>
    <w:rsid w:val="000C5AE7"/>
    <w:rsid w:val="000D16DD"/>
    <w:rsid w:val="000E1B1B"/>
    <w:rsid w:val="001357A1"/>
    <w:rsid w:val="00166362"/>
    <w:rsid w:val="001912FE"/>
    <w:rsid w:val="001A71C4"/>
    <w:rsid w:val="001E52F5"/>
    <w:rsid w:val="002049CC"/>
    <w:rsid w:val="0020593A"/>
    <w:rsid w:val="00217A9E"/>
    <w:rsid w:val="00233C02"/>
    <w:rsid w:val="00260D2A"/>
    <w:rsid w:val="002978B6"/>
    <w:rsid w:val="002B2913"/>
    <w:rsid w:val="002C7DE7"/>
    <w:rsid w:val="00301503"/>
    <w:rsid w:val="0034437C"/>
    <w:rsid w:val="0038572B"/>
    <w:rsid w:val="00386BBE"/>
    <w:rsid w:val="00396F3D"/>
    <w:rsid w:val="003B5CE3"/>
    <w:rsid w:val="003E2DE5"/>
    <w:rsid w:val="004144E1"/>
    <w:rsid w:val="00433264"/>
    <w:rsid w:val="00455CEE"/>
    <w:rsid w:val="00465C20"/>
    <w:rsid w:val="004A72B6"/>
    <w:rsid w:val="004A7FB7"/>
    <w:rsid w:val="004F626C"/>
    <w:rsid w:val="00536501"/>
    <w:rsid w:val="00541AC9"/>
    <w:rsid w:val="00544E64"/>
    <w:rsid w:val="00583A4A"/>
    <w:rsid w:val="005930FC"/>
    <w:rsid w:val="005B59D0"/>
    <w:rsid w:val="005B7F6F"/>
    <w:rsid w:val="005D1E85"/>
    <w:rsid w:val="005D21DC"/>
    <w:rsid w:val="006007B8"/>
    <w:rsid w:val="0064473E"/>
    <w:rsid w:val="006461E4"/>
    <w:rsid w:val="00671A7A"/>
    <w:rsid w:val="006905A5"/>
    <w:rsid w:val="00691851"/>
    <w:rsid w:val="006A6B57"/>
    <w:rsid w:val="006B05A8"/>
    <w:rsid w:val="006D189D"/>
    <w:rsid w:val="006D6725"/>
    <w:rsid w:val="006E1AC6"/>
    <w:rsid w:val="006F7CC4"/>
    <w:rsid w:val="00705565"/>
    <w:rsid w:val="00723224"/>
    <w:rsid w:val="007307D8"/>
    <w:rsid w:val="00736DFF"/>
    <w:rsid w:val="00757FA7"/>
    <w:rsid w:val="007712A8"/>
    <w:rsid w:val="007773E2"/>
    <w:rsid w:val="00782F0B"/>
    <w:rsid w:val="007902B7"/>
    <w:rsid w:val="007A06B8"/>
    <w:rsid w:val="007A5BC4"/>
    <w:rsid w:val="008135A1"/>
    <w:rsid w:val="00832642"/>
    <w:rsid w:val="008812BA"/>
    <w:rsid w:val="0089271F"/>
    <w:rsid w:val="008A1D91"/>
    <w:rsid w:val="008C55F6"/>
    <w:rsid w:val="008D20D1"/>
    <w:rsid w:val="008E2AE0"/>
    <w:rsid w:val="00900AA0"/>
    <w:rsid w:val="00914CA3"/>
    <w:rsid w:val="00941310"/>
    <w:rsid w:val="009501E4"/>
    <w:rsid w:val="00957053"/>
    <w:rsid w:val="009A161C"/>
    <w:rsid w:val="009B0F1E"/>
    <w:rsid w:val="009C2B37"/>
    <w:rsid w:val="009D03A7"/>
    <w:rsid w:val="009E3CD1"/>
    <w:rsid w:val="00A10802"/>
    <w:rsid w:val="00A151AA"/>
    <w:rsid w:val="00A15BF3"/>
    <w:rsid w:val="00A342A6"/>
    <w:rsid w:val="00A86924"/>
    <w:rsid w:val="00AA4C7B"/>
    <w:rsid w:val="00AF6A29"/>
    <w:rsid w:val="00B0526C"/>
    <w:rsid w:val="00B2241E"/>
    <w:rsid w:val="00B257D0"/>
    <w:rsid w:val="00B45E55"/>
    <w:rsid w:val="00B674E3"/>
    <w:rsid w:val="00B75DFB"/>
    <w:rsid w:val="00B8187F"/>
    <w:rsid w:val="00B835B7"/>
    <w:rsid w:val="00B84025"/>
    <w:rsid w:val="00B958EC"/>
    <w:rsid w:val="00BC0F22"/>
    <w:rsid w:val="00BC0F5A"/>
    <w:rsid w:val="00BF4D5A"/>
    <w:rsid w:val="00C05262"/>
    <w:rsid w:val="00C2688B"/>
    <w:rsid w:val="00C35320"/>
    <w:rsid w:val="00C9687B"/>
    <w:rsid w:val="00CC6D0B"/>
    <w:rsid w:val="00D03D27"/>
    <w:rsid w:val="00D076D6"/>
    <w:rsid w:val="00D2307A"/>
    <w:rsid w:val="00D36852"/>
    <w:rsid w:val="00D54380"/>
    <w:rsid w:val="00D5612E"/>
    <w:rsid w:val="00D6134E"/>
    <w:rsid w:val="00D6287B"/>
    <w:rsid w:val="00DB3C7B"/>
    <w:rsid w:val="00E56FD2"/>
    <w:rsid w:val="00E77426"/>
    <w:rsid w:val="00E77CBA"/>
    <w:rsid w:val="00E96ED2"/>
    <w:rsid w:val="00EA12CC"/>
    <w:rsid w:val="00EA6FD9"/>
    <w:rsid w:val="00EB0581"/>
    <w:rsid w:val="00F03C6C"/>
    <w:rsid w:val="00F24117"/>
    <w:rsid w:val="00F279E3"/>
    <w:rsid w:val="00F31A3B"/>
    <w:rsid w:val="00F32F96"/>
    <w:rsid w:val="00F87873"/>
    <w:rsid w:val="00FA1502"/>
    <w:rsid w:val="00FB00C2"/>
    <w:rsid w:val="00FD3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5EB8"/>
  <w15:chartTrackingRefBased/>
  <w15:docId w15:val="{F236FDE2-431C-4979-A3D2-3B1D82F4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72B6"/>
    <w:pPr>
      <w:spacing w:before="120"/>
      <w:jc w:val="both"/>
    </w:pPr>
    <w:rPr>
      <w:lang w:eastAsia="cs-CZ"/>
    </w:rPr>
  </w:style>
  <w:style w:type="paragraph" w:styleId="Nadpis1">
    <w:name w:val="heading 1"/>
    <w:basedOn w:val="Normln"/>
    <w:next w:val="Normln"/>
    <w:link w:val="Nadpis1Char"/>
    <w:uiPriority w:val="9"/>
    <w:qFormat/>
    <w:rsid w:val="00D03D27"/>
    <w:pPr>
      <w:keepNext/>
      <w:keepLines/>
      <w:numPr>
        <w:numId w:val="19"/>
      </w:numPr>
      <w:spacing w:before="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1912FE"/>
    <w:pPr>
      <w:numPr>
        <w:ilvl w:val="1"/>
        <w:numId w:val="19"/>
      </w:numPr>
      <w:spacing w:after="120"/>
      <w:ind w:left="993" w:hanging="636"/>
      <w:outlineLvl w:val="1"/>
    </w:pPr>
    <w:rPr>
      <w:b/>
      <w:sz w:val="24"/>
      <w:szCs w:val="24"/>
    </w:rPr>
  </w:style>
  <w:style w:type="paragraph" w:styleId="Nadpis3">
    <w:name w:val="heading 3"/>
    <w:basedOn w:val="Normln"/>
    <w:next w:val="Normln"/>
    <w:link w:val="Nadpis3Char"/>
    <w:uiPriority w:val="9"/>
    <w:unhideWhenUsed/>
    <w:qFormat/>
    <w:rsid w:val="00D03D2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43326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433264"/>
    <w:pPr>
      <w:keepNext/>
      <w:keepLines/>
      <w:spacing w:before="40"/>
      <w:outlineLvl w:val="4"/>
    </w:pPr>
    <w:rPr>
      <w:rFonts w:asciiTheme="majorHAnsi" w:eastAsiaTheme="majorEastAsia" w:hAnsiTheme="majorHAnsi" w:cstheme="majorBidi"/>
      <w:b/>
      <w:color w:val="2E74B5" w:themeColor="accent1" w:themeShade="BF"/>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rsid w:val="000C5AE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5AE7"/>
    <w:rPr>
      <w:rFonts w:ascii="Segoe UI" w:hAnsi="Segoe UI" w:cs="Segoe UI"/>
      <w:sz w:val="18"/>
      <w:szCs w:val="18"/>
    </w:rPr>
  </w:style>
  <w:style w:type="character" w:styleId="Hypertextovodkaz">
    <w:name w:val="Hyperlink"/>
    <w:basedOn w:val="Standardnpsmoodstavce"/>
    <w:uiPriority w:val="99"/>
    <w:semiHidden/>
    <w:unhideWhenUsed/>
    <w:rsid w:val="00A10802"/>
    <w:rPr>
      <w:color w:val="0000FF"/>
      <w:u w:val="single"/>
    </w:rPr>
  </w:style>
  <w:style w:type="character" w:styleId="Odkazjemn">
    <w:name w:val="Subtle Reference"/>
    <w:basedOn w:val="Standardnpsmoodstavce"/>
    <w:uiPriority w:val="31"/>
    <w:qFormat/>
    <w:rsid w:val="00D03D27"/>
    <w:rPr>
      <w:smallCaps/>
      <w:color w:val="5A5A5A" w:themeColor="text1" w:themeTint="A5"/>
    </w:rPr>
  </w:style>
  <w:style w:type="character" w:styleId="Odkazintenzivn">
    <w:name w:val="Intense Reference"/>
    <w:basedOn w:val="Standardnpsmoodstavce"/>
    <w:uiPriority w:val="32"/>
    <w:qFormat/>
    <w:rsid w:val="00D03D27"/>
    <w:rPr>
      <w:b/>
      <w:bCs/>
      <w:smallCaps/>
      <w:color w:val="5B9BD5" w:themeColor="accent1"/>
      <w:spacing w:val="5"/>
    </w:rPr>
  </w:style>
  <w:style w:type="character" w:styleId="Zdraznn">
    <w:name w:val="Emphasis"/>
    <w:basedOn w:val="Standardnpsmoodstavce"/>
    <w:uiPriority w:val="20"/>
    <w:qFormat/>
    <w:rsid w:val="00D03D27"/>
    <w:rPr>
      <w:i/>
      <w:iCs/>
    </w:rPr>
  </w:style>
  <w:style w:type="character" w:customStyle="1" w:styleId="Nadpis2Char">
    <w:name w:val="Nadpis 2 Char"/>
    <w:basedOn w:val="Standardnpsmoodstavce"/>
    <w:link w:val="Nadpis2"/>
    <w:uiPriority w:val="9"/>
    <w:rsid w:val="001912FE"/>
    <w:rPr>
      <w:b/>
      <w:sz w:val="24"/>
      <w:szCs w:val="24"/>
      <w:lang w:eastAsia="cs-CZ"/>
    </w:rPr>
  </w:style>
  <w:style w:type="character" w:customStyle="1" w:styleId="Nadpis1Char">
    <w:name w:val="Nadpis 1 Char"/>
    <w:basedOn w:val="Standardnpsmoodstavce"/>
    <w:link w:val="Nadpis1"/>
    <w:uiPriority w:val="9"/>
    <w:rsid w:val="00D03D27"/>
    <w:rPr>
      <w:rFonts w:asciiTheme="majorHAnsi" w:eastAsiaTheme="majorEastAsia" w:hAnsiTheme="majorHAnsi" w:cstheme="majorBidi"/>
      <w:b/>
      <w:color w:val="2E74B5" w:themeColor="accent1" w:themeShade="BF"/>
      <w:sz w:val="32"/>
      <w:szCs w:val="32"/>
    </w:rPr>
  </w:style>
  <w:style w:type="paragraph" w:styleId="Bezmezer">
    <w:name w:val="No Spacing"/>
    <w:uiPriority w:val="1"/>
    <w:qFormat/>
    <w:rsid w:val="00D03D27"/>
  </w:style>
  <w:style w:type="character" w:customStyle="1" w:styleId="Nadpis3Char">
    <w:name w:val="Nadpis 3 Char"/>
    <w:basedOn w:val="Standardnpsmoodstavce"/>
    <w:link w:val="Nadpis3"/>
    <w:uiPriority w:val="9"/>
    <w:rsid w:val="00D03D27"/>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iPriority w:val="99"/>
    <w:unhideWhenUsed/>
    <w:rsid w:val="00C05262"/>
    <w:pPr>
      <w:tabs>
        <w:tab w:val="center" w:pos="4536"/>
        <w:tab w:val="right" w:pos="9072"/>
      </w:tabs>
      <w:spacing w:before="0"/>
    </w:pPr>
  </w:style>
  <w:style w:type="character" w:customStyle="1" w:styleId="ZhlavChar">
    <w:name w:val="Záhlaví Char"/>
    <w:basedOn w:val="Standardnpsmoodstavce"/>
    <w:link w:val="Zhlav"/>
    <w:uiPriority w:val="99"/>
    <w:rsid w:val="00C05262"/>
    <w:rPr>
      <w:lang w:eastAsia="cs-CZ"/>
    </w:rPr>
  </w:style>
  <w:style w:type="paragraph" w:styleId="Zpat">
    <w:name w:val="footer"/>
    <w:basedOn w:val="Normln"/>
    <w:link w:val="ZpatChar"/>
    <w:uiPriority w:val="99"/>
    <w:unhideWhenUsed/>
    <w:rsid w:val="00C05262"/>
    <w:pPr>
      <w:tabs>
        <w:tab w:val="center" w:pos="4536"/>
        <w:tab w:val="right" w:pos="9072"/>
      </w:tabs>
      <w:spacing w:before="0"/>
    </w:pPr>
  </w:style>
  <w:style w:type="character" w:customStyle="1" w:styleId="ZpatChar">
    <w:name w:val="Zápatí Char"/>
    <w:basedOn w:val="Standardnpsmoodstavce"/>
    <w:link w:val="Zpat"/>
    <w:uiPriority w:val="99"/>
    <w:rsid w:val="00C05262"/>
    <w:rPr>
      <w:lang w:eastAsia="cs-CZ"/>
    </w:rPr>
  </w:style>
  <w:style w:type="character" w:customStyle="1" w:styleId="Nadpis4Char">
    <w:name w:val="Nadpis 4 Char"/>
    <w:basedOn w:val="Standardnpsmoodstavce"/>
    <w:link w:val="Nadpis4"/>
    <w:uiPriority w:val="9"/>
    <w:rsid w:val="00433264"/>
    <w:rPr>
      <w:rFonts w:asciiTheme="majorHAnsi" w:eastAsiaTheme="majorEastAsia" w:hAnsiTheme="majorHAnsi" w:cstheme="majorBidi"/>
      <w:i/>
      <w:iCs/>
      <w:color w:val="2E74B5" w:themeColor="accent1" w:themeShade="BF"/>
      <w:lang w:eastAsia="cs-CZ"/>
    </w:rPr>
  </w:style>
  <w:style w:type="character" w:customStyle="1" w:styleId="Nadpis5Char">
    <w:name w:val="Nadpis 5 Char"/>
    <w:basedOn w:val="Standardnpsmoodstavce"/>
    <w:link w:val="Nadpis5"/>
    <w:uiPriority w:val="9"/>
    <w:rsid w:val="00433264"/>
    <w:rPr>
      <w:rFonts w:asciiTheme="majorHAnsi" w:eastAsiaTheme="majorEastAsia" w:hAnsiTheme="majorHAnsi" w:cstheme="majorBidi"/>
      <w:b/>
      <w:color w:val="2E74B5" w:themeColor="accent1" w:themeShade="BF"/>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381230">
      <w:bodyDiv w:val="1"/>
      <w:marLeft w:val="0"/>
      <w:marRight w:val="0"/>
      <w:marTop w:val="0"/>
      <w:marBottom w:val="0"/>
      <w:divBdr>
        <w:top w:val="none" w:sz="0" w:space="0" w:color="auto"/>
        <w:left w:val="none" w:sz="0" w:space="0" w:color="auto"/>
        <w:bottom w:val="none" w:sz="0" w:space="0" w:color="auto"/>
        <w:right w:val="none" w:sz="0" w:space="0" w:color="auto"/>
      </w:divBdr>
    </w:div>
    <w:div w:id="885946976">
      <w:bodyDiv w:val="1"/>
      <w:marLeft w:val="0"/>
      <w:marRight w:val="0"/>
      <w:marTop w:val="0"/>
      <w:marBottom w:val="0"/>
      <w:divBdr>
        <w:top w:val="none" w:sz="0" w:space="0" w:color="auto"/>
        <w:left w:val="none" w:sz="0" w:space="0" w:color="auto"/>
        <w:bottom w:val="none" w:sz="0" w:space="0" w:color="auto"/>
        <w:right w:val="none" w:sz="0" w:space="0" w:color="auto"/>
      </w:divBdr>
    </w:div>
    <w:div w:id="941914405">
      <w:bodyDiv w:val="1"/>
      <w:marLeft w:val="0"/>
      <w:marRight w:val="0"/>
      <w:marTop w:val="0"/>
      <w:marBottom w:val="0"/>
      <w:divBdr>
        <w:top w:val="none" w:sz="0" w:space="0" w:color="auto"/>
        <w:left w:val="none" w:sz="0" w:space="0" w:color="auto"/>
        <w:bottom w:val="none" w:sz="0" w:space="0" w:color="auto"/>
        <w:right w:val="none" w:sz="0" w:space="0" w:color="auto"/>
      </w:divBdr>
    </w:div>
    <w:div w:id="1266574509">
      <w:bodyDiv w:val="1"/>
      <w:marLeft w:val="0"/>
      <w:marRight w:val="0"/>
      <w:marTop w:val="0"/>
      <w:marBottom w:val="0"/>
      <w:divBdr>
        <w:top w:val="none" w:sz="0" w:space="0" w:color="auto"/>
        <w:left w:val="none" w:sz="0" w:space="0" w:color="auto"/>
        <w:bottom w:val="none" w:sz="0" w:space="0" w:color="auto"/>
        <w:right w:val="none" w:sz="0" w:space="0" w:color="auto"/>
      </w:divBdr>
      <w:divsChild>
        <w:div w:id="793057347">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2614</Words>
  <Characters>15426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Křivánková Eva</cp:lastModifiedBy>
  <cp:revision>9</cp:revision>
  <cp:lastPrinted>2020-02-07T08:36:00Z</cp:lastPrinted>
  <dcterms:created xsi:type="dcterms:W3CDTF">2020-02-10T10:10:00Z</dcterms:created>
  <dcterms:modified xsi:type="dcterms:W3CDTF">2020-03-20T07:19:00Z</dcterms:modified>
</cp:coreProperties>
</file>