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38" w:rsidRDefault="00151738" w:rsidP="00151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151738" w:rsidRDefault="00151738" w:rsidP="0015173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151738" w:rsidRDefault="00151738" w:rsidP="00151738">
      <w:pPr>
        <w:rPr>
          <w:rFonts w:cs="Times New Roman"/>
          <w:bCs/>
        </w:rPr>
      </w:pPr>
    </w:p>
    <w:p w:rsidR="00151738" w:rsidRDefault="00151738" w:rsidP="00151738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151738" w:rsidRDefault="00151738" w:rsidP="0015173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151738" w:rsidRDefault="00151738" w:rsidP="00151738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151738" w:rsidRDefault="00151738" w:rsidP="00151738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 w:rsidRPr="00151738">
        <w:rPr>
          <w:b/>
          <w:bCs/>
          <w:sz w:val="20"/>
        </w:rPr>
        <w:t>Domovní a bytová správa města Písku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5937CA">
        <w:rPr>
          <w:rFonts w:ascii="Arial" w:hAnsi="Arial" w:cs="Arial"/>
          <w:color w:val="000000"/>
          <w:sz w:val="20"/>
        </w:rPr>
        <w:t>xxx</w:t>
      </w:r>
      <w:proofErr w:type="spellEnd"/>
      <w:r w:rsidR="005937C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937CA">
        <w:rPr>
          <w:rFonts w:ascii="Arial" w:hAnsi="Arial" w:cs="Arial"/>
          <w:color w:val="000000"/>
          <w:sz w:val="20"/>
        </w:rPr>
        <w:t>xxx</w:t>
      </w:r>
      <w:proofErr w:type="spellEnd"/>
      <w:r w:rsidR="005937C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937CA">
        <w:rPr>
          <w:rFonts w:ascii="Arial" w:hAnsi="Arial" w:cs="Arial"/>
          <w:color w:val="000000"/>
          <w:sz w:val="20"/>
        </w:rPr>
        <w:t>xxx</w:t>
      </w:r>
      <w:proofErr w:type="spellEnd"/>
      <w:r w:rsidR="005937C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937CA">
        <w:rPr>
          <w:rFonts w:ascii="Arial" w:hAnsi="Arial" w:cs="Arial"/>
          <w:color w:val="000000"/>
          <w:sz w:val="20"/>
        </w:rPr>
        <w:t>xxx</w:t>
      </w:r>
      <w:proofErr w:type="spellEnd"/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:rsidR="00151738" w:rsidRDefault="00151738" w:rsidP="0015173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151738" w:rsidRDefault="00151738" w:rsidP="0015173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151738" w:rsidRDefault="00151738" w:rsidP="00151738">
      <w:pPr>
        <w:spacing w:line="276" w:lineRule="auto"/>
        <w:rPr>
          <w:rFonts w:cs="Times New Roman"/>
          <w:bCs/>
          <w:sz w:val="20"/>
        </w:rPr>
      </w:pP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5937CA">
        <w:rPr>
          <w:rFonts w:cs="Times New Roman"/>
          <w:bCs/>
          <w:sz w:val="20"/>
        </w:rPr>
        <w:t>xxxxxx</w:t>
      </w:r>
      <w:proofErr w:type="spellEnd"/>
      <w:r w:rsidR="005937CA">
        <w:rPr>
          <w:rFonts w:cs="Times New Roman"/>
          <w:bCs/>
          <w:sz w:val="20"/>
        </w:rPr>
        <w:t xml:space="preserve"> </w:t>
      </w:r>
      <w:proofErr w:type="spellStart"/>
      <w:r w:rsidR="005937CA">
        <w:rPr>
          <w:rFonts w:cs="Times New Roman"/>
          <w:bCs/>
          <w:sz w:val="20"/>
        </w:rPr>
        <w:t>xxxxxxx</w:t>
      </w:r>
      <w:proofErr w:type="spellEnd"/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151738" w:rsidRDefault="00151738" w:rsidP="00151738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5937CA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5937CA">
        <w:rPr>
          <w:rFonts w:cs="Times New Roman"/>
          <w:color w:val="000000"/>
          <w:sz w:val="20"/>
        </w:rPr>
        <w:t>xxxxxxx</w:t>
      </w:r>
      <w:proofErr w:type="spellEnd"/>
      <w:r w:rsidR="005937CA">
        <w:rPr>
          <w:rFonts w:cs="Times New Roman"/>
          <w:color w:val="000000"/>
          <w:sz w:val="20"/>
        </w:rPr>
        <w:t xml:space="preserve"> </w:t>
      </w:r>
      <w:proofErr w:type="spellStart"/>
      <w:r w:rsidR="005937CA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5937CA">
        <w:rPr>
          <w:rFonts w:cs="Times New Roman"/>
          <w:bCs/>
          <w:sz w:val="20"/>
          <w:lang w:val="en-US"/>
        </w:rPr>
        <w:t>xxx</w:t>
      </w:r>
      <w:proofErr w:type="gramEnd"/>
      <w:r w:rsidR="005937C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5937CA">
        <w:rPr>
          <w:rFonts w:cs="Times New Roman"/>
          <w:bCs/>
          <w:sz w:val="20"/>
          <w:lang w:val="en-US"/>
        </w:rPr>
        <w:t>xxx</w:t>
      </w:r>
      <w:proofErr w:type="spellEnd"/>
      <w:r w:rsidR="005937C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5937CA">
        <w:rPr>
          <w:rFonts w:cs="Times New Roman"/>
          <w:bCs/>
          <w:sz w:val="20"/>
          <w:lang w:val="en-US"/>
        </w:rPr>
        <w:t>xxx</w:t>
      </w:r>
      <w:proofErr w:type="spellEnd"/>
    </w:p>
    <w:p w:rsidR="00151738" w:rsidRDefault="00151738" w:rsidP="00151738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:rsidR="00151738" w:rsidRDefault="00151738" w:rsidP="00151738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151738" w:rsidRDefault="00151738" w:rsidP="00151738">
      <w:pPr>
        <w:rPr>
          <w:rFonts w:cs="Times New Roman"/>
        </w:rPr>
      </w:pPr>
    </w:p>
    <w:p w:rsidR="00151738" w:rsidRDefault="00151738" w:rsidP="00151738">
      <w:pPr>
        <w:rPr>
          <w:rFonts w:cs="Times New Roman"/>
          <w:szCs w:val="22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151738" w:rsidRDefault="00151738" w:rsidP="00151738">
      <w:pPr>
        <w:spacing w:line="276" w:lineRule="auto"/>
        <w:rPr>
          <w:b/>
          <w:sz w:val="20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>
        <w:rPr>
          <w:b/>
          <w:bCs/>
        </w:rPr>
        <w:t>Oprava bytu č.2, Dvořákova ulice č.p. 330</w:t>
      </w:r>
    </w:p>
    <w:p w:rsidR="00151738" w:rsidRDefault="00151738" w:rsidP="00151738">
      <w:pPr>
        <w:autoSpaceDE w:val="0"/>
        <w:ind w:left="567"/>
      </w:pPr>
      <w:r>
        <w:rPr>
          <w:color w:val="000000"/>
          <w:sz w:val="20"/>
        </w:rPr>
        <w:t>Místo stavby, parcelní číslo pozemku: Dvořákova ulice, 397 01 Písek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</w:t>
      </w:r>
      <w:r w:rsidRPr="00151738">
        <w:rPr>
          <w:rFonts w:eastAsia="Calibri"/>
          <w:sz w:val="20"/>
        </w:rPr>
        <w:t>dne</w:t>
      </w:r>
      <w:r>
        <w:rPr>
          <w:rFonts w:eastAsia="Calibri"/>
          <w:sz w:val="20"/>
        </w:rPr>
        <w:t xml:space="preserve"> </w:t>
      </w:r>
      <w:r w:rsidRPr="00151738">
        <w:rPr>
          <w:rFonts w:eastAsia="Calibri"/>
          <w:sz w:val="20"/>
        </w:rPr>
        <w:t>10.2.2020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 xml:space="preserve">že </w:t>
      </w:r>
      <w:r>
        <w:rPr>
          <w:rFonts w:eastAsia="Calibri"/>
          <w:sz w:val="20"/>
        </w:rPr>
        <w:lastRenderedPageBreak/>
        <w:t>předaný výkaz výměr podrobně prostudoval a prohlašuje, že projektovou dokumentaci a výkaz výměr považuje za úplné a že podle nich lze dílo realizovat.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151738" w:rsidRDefault="00151738" w:rsidP="00151738">
      <w:pPr>
        <w:autoSpaceDE w:val="0"/>
        <w:ind w:left="450"/>
        <w:rPr>
          <w:color w:val="000000"/>
          <w:szCs w:val="22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151738" w:rsidRDefault="00151738" w:rsidP="0015173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151738" w:rsidRDefault="00151738" w:rsidP="00151738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30.3.2020</w:t>
      </w:r>
    </w:p>
    <w:p w:rsidR="00151738" w:rsidRDefault="00151738" w:rsidP="0015173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  <w:t>28.9.2020</w:t>
      </w:r>
      <w:r>
        <w:rPr>
          <w:sz w:val="20"/>
          <w:shd w:val="clear" w:color="auto" w:fill="FBD4B4"/>
        </w:rPr>
        <w:t xml:space="preserve"> </w:t>
      </w:r>
    </w:p>
    <w:p w:rsidR="00151738" w:rsidRDefault="00151738" w:rsidP="0015173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30.9.2020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151738" w:rsidRDefault="00151738" w:rsidP="0015173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151738" w:rsidRDefault="00151738" w:rsidP="00151738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151738" w:rsidRDefault="00151738" w:rsidP="00151738">
      <w:pPr>
        <w:pStyle w:val="Odstavecseseznamem"/>
        <w:rPr>
          <w:color w:val="000000"/>
          <w:szCs w:val="22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151738" w:rsidRDefault="00151738" w:rsidP="00151738">
      <w:pPr>
        <w:ind w:left="567"/>
        <w:rPr>
          <w:b/>
          <w:szCs w:val="22"/>
        </w:rPr>
      </w:pPr>
    </w:p>
    <w:p w:rsidR="00151738" w:rsidRDefault="00151738" w:rsidP="00151738">
      <w:pPr>
        <w:pStyle w:val="Nadpis2"/>
        <w:spacing w:before="0"/>
        <w:ind w:left="567" w:hanging="567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4.1 </w:t>
      </w:r>
      <w:r>
        <w:rPr>
          <w:rFonts w:ascii="Arial" w:hAnsi="Arial" w:cs="Arial"/>
          <w:b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</w:p>
    <w:p w:rsidR="00151738" w:rsidRDefault="00151738" w:rsidP="00151738">
      <w:pPr>
        <w:ind w:right="-2" w:firstLine="567"/>
      </w:pPr>
    </w:p>
    <w:p w:rsidR="00151738" w:rsidRDefault="00151738" w:rsidP="00151738">
      <w:pPr>
        <w:ind w:right="-2" w:firstLine="567"/>
        <w:rPr>
          <w:b/>
          <w:sz w:val="20"/>
        </w:rPr>
      </w:pPr>
      <w:r>
        <w:t xml:space="preserve">    </w:t>
      </w:r>
      <w:r w:rsidRPr="00C44525">
        <w:rPr>
          <w:b/>
          <w:bCs/>
        </w:rPr>
        <w:t>230.000,-</w:t>
      </w:r>
      <w:r>
        <w:t xml:space="preserve"> </w:t>
      </w:r>
      <w:r>
        <w:rPr>
          <w:b/>
          <w:sz w:val="20"/>
        </w:rPr>
        <w:t xml:space="preserve">Kč (slovy </w:t>
      </w:r>
      <w:proofErr w:type="spellStart"/>
      <w:r w:rsidR="000C45D0" w:rsidRPr="000C45D0">
        <w:rPr>
          <w:b/>
          <w:sz w:val="20"/>
        </w:rPr>
        <w:t>dvěstětřřicettisíc</w:t>
      </w:r>
      <w:proofErr w:type="spellEnd"/>
      <w:r w:rsidRPr="000C45D0">
        <w:rPr>
          <w:b/>
          <w:sz w:val="20"/>
        </w:rPr>
        <w:t xml:space="preserve"> </w:t>
      </w:r>
      <w:r>
        <w:rPr>
          <w:b/>
          <w:sz w:val="20"/>
        </w:rPr>
        <w:t>korun českých) bez DPH.</w:t>
      </w:r>
    </w:p>
    <w:p w:rsidR="00151738" w:rsidRDefault="00151738" w:rsidP="00151738">
      <w:pPr>
        <w:ind w:right="-2" w:firstLine="567"/>
        <w:rPr>
          <w:b/>
          <w:sz w:val="20"/>
        </w:rPr>
      </w:pPr>
    </w:p>
    <w:p w:rsidR="00151738" w:rsidRDefault="00151738" w:rsidP="00151738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151738" w:rsidRDefault="00151738" w:rsidP="00151738">
      <w:pPr>
        <w:ind w:left="567" w:right="-2"/>
        <w:rPr>
          <w:i/>
          <w:sz w:val="20"/>
        </w:rPr>
      </w:pPr>
    </w:p>
    <w:p w:rsidR="00151738" w:rsidRDefault="00151738" w:rsidP="00151738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151738" w:rsidRDefault="00151738" w:rsidP="00151738">
      <w:pPr>
        <w:ind w:left="567" w:right="-2"/>
        <w:rPr>
          <w:szCs w:val="22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151738" w:rsidRDefault="00151738" w:rsidP="0015173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151738" w:rsidRDefault="00151738" w:rsidP="00151738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151738" w:rsidRDefault="00151738" w:rsidP="0015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151738" w:rsidRDefault="00151738" w:rsidP="00151738">
      <w:pPr>
        <w:ind w:left="567"/>
        <w:rPr>
          <w:b/>
          <w:szCs w:val="22"/>
        </w:rPr>
      </w:pP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151738" w:rsidRDefault="00151738" w:rsidP="00151738">
      <w:pPr>
        <w:ind w:left="567" w:right="-2"/>
      </w:pPr>
      <w:r>
        <w:lastRenderedPageBreak/>
        <w:t xml:space="preserve"> </w:t>
      </w:r>
    </w:p>
    <w:p w:rsidR="00151738" w:rsidRDefault="00151738" w:rsidP="00151738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151738" w:rsidRDefault="00151738" w:rsidP="00151738">
      <w:pPr>
        <w:ind w:left="567" w:right="-2"/>
        <w:rPr>
          <w:b/>
          <w:szCs w:val="22"/>
        </w:rPr>
      </w:pPr>
    </w:p>
    <w:p w:rsidR="00151738" w:rsidRDefault="00151738" w:rsidP="00151738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151738" w:rsidRDefault="00151738" w:rsidP="0015173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</w:t>
      </w:r>
      <w:r w:rsidR="00F93B3A">
        <w:rPr>
          <w:color w:val="000000"/>
          <w:sz w:val="20"/>
        </w:rPr>
        <w:t xml:space="preserve"> 1x </w:t>
      </w:r>
      <w:r>
        <w:rPr>
          <w:color w:val="000000"/>
          <w:sz w:val="20"/>
        </w:rPr>
        <w:t>krát týdně.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F93B3A">
        <w:rPr>
          <w:sz w:val="20"/>
        </w:rPr>
        <w:t xml:space="preserve"> 5.000.000 </w:t>
      </w:r>
      <w:r>
        <w:rPr>
          <w:sz w:val="20"/>
        </w:rPr>
        <w:t>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151738" w:rsidRDefault="00151738" w:rsidP="00151738">
      <w:pPr>
        <w:suppressAutoHyphens/>
        <w:autoSpaceDN w:val="0"/>
        <w:ind w:left="567" w:right="-2"/>
        <w:textAlignment w:val="baseline"/>
      </w:pPr>
    </w:p>
    <w:p w:rsidR="00F93B3A" w:rsidRDefault="00F93B3A" w:rsidP="00151738">
      <w:pPr>
        <w:suppressAutoHyphens/>
        <w:autoSpaceDN w:val="0"/>
        <w:ind w:left="567" w:right="-2"/>
        <w:textAlignment w:val="baseline"/>
      </w:pPr>
    </w:p>
    <w:p w:rsidR="00151738" w:rsidRDefault="00151738" w:rsidP="0015173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Smluvní pokuty  </w:t>
      </w:r>
    </w:p>
    <w:p w:rsidR="00151738" w:rsidRDefault="00151738" w:rsidP="00151738">
      <w:pPr>
        <w:ind w:left="567"/>
        <w:rPr>
          <w:b/>
          <w:szCs w:val="22"/>
        </w:rPr>
      </w:pP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F93B3A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151738" w:rsidRDefault="00151738" w:rsidP="00151738">
      <w:pPr>
        <w:ind w:left="567" w:right="-2"/>
      </w:pPr>
    </w:p>
    <w:p w:rsidR="00151738" w:rsidRDefault="00151738" w:rsidP="00151738">
      <w:pPr>
        <w:ind w:left="567" w:right="-2"/>
      </w:pPr>
    </w:p>
    <w:p w:rsidR="00151738" w:rsidRDefault="00151738" w:rsidP="00151738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151738" w:rsidRDefault="00151738" w:rsidP="00151738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151738" w:rsidRDefault="00151738" w:rsidP="00151738">
      <w:pPr>
        <w:numPr>
          <w:ilvl w:val="1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:rsidR="00151738" w:rsidRDefault="00151738" w:rsidP="00151738">
      <w:pPr>
        <w:numPr>
          <w:ilvl w:val="1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151738" w:rsidRDefault="00151738" w:rsidP="00C44525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151738" w:rsidRDefault="00151738" w:rsidP="00C44525">
      <w:pPr>
        <w:numPr>
          <w:ilvl w:val="1"/>
          <w:numId w:val="2"/>
        </w:numPr>
        <w:rPr>
          <w:snapToGrid w:val="0"/>
          <w:sz w:val="20"/>
        </w:rPr>
      </w:pPr>
      <w:r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 </w:t>
      </w:r>
      <w:hyperlink r:id="rId5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  <w:r>
        <w:rPr>
          <w:rFonts w:eastAsia="Arial"/>
          <w:color w:val="0000FF"/>
          <w:sz w:val="20"/>
        </w:rPr>
        <w:t>.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:rsidR="00151738" w:rsidRDefault="00151738" w:rsidP="00151738">
      <w:pPr>
        <w:numPr>
          <w:ilvl w:val="1"/>
          <w:numId w:val="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lastRenderedPageBreak/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151738" w:rsidRDefault="00151738" w:rsidP="00151738">
      <w:pPr>
        <w:numPr>
          <w:ilvl w:val="1"/>
          <w:numId w:val="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:rsidR="00151738" w:rsidRDefault="00151738" w:rsidP="0015173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151738" w:rsidRDefault="00151738" w:rsidP="00151738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151738" w:rsidRDefault="00151738" w:rsidP="00151738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>
        <w:rPr>
          <w:sz w:val="20"/>
        </w:rPr>
        <w:t>Přílohy:  cenová</w:t>
      </w:r>
      <w:proofErr w:type="gramEnd"/>
      <w:r>
        <w:rPr>
          <w:sz w:val="20"/>
        </w:rPr>
        <w:t xml:space="preserve"> nabídka zhotovitele</w:t>
      </w:r>
    </w:p>
    <w:p w:rsidR="00151738" w:rsidRDefault="00151738" w:rsidP="00151738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  <w:t xml:space="preserve">  návrh likvidace odpadů</w:t>
      </w:r>
      <w:r>
        <w:rPr>
          <w:sz w:val="20"/>
        </w:rPr>
        <w:tab/>
      </w:r>
    </w:p>
    <w:p w:rsidR="00151738" w:rsidRDefault="00151738" w:rsidP="00151738">
      <w:pPr>
        <w:ind w:right="-2"/>
        <w:rPr>
          <w:sz w:val="20"/>
        </w:rPr>
      </w:pPr>
      <w:r>
        <w:rPr>
          <w:sz w:val="20"/>
        </w:rPr>
        <w:tab/>
        <w:t xml:space="preserve"> </w:t>
      </w:r>
    </w:p>
    <w:p w:rsidR="00151738" w:rsidRDefault="00151738" w:rsidP="00151738">
      <w:pPr>
        <w:ind w:right="-2"/>
      </w:pPr>
    </w:p>
    <w:p w:rsidR="00151738" w:rsidRDefault="00151738" w:rsidP="00151738">
      <w:pPr>
        <w:ind w:right="-2"/>
      </w:pPr>
    </w:p>
    <w:p w:rsidR="00151738" w:rsidRDefault="00151738" w:rsidP="00151738">
      <w:pPr>
        <w:ind w:right="-2"/>
      </w:pPr>
    </w:p>
    <w:p w:rsidR="00151738" w:rsidRDefault="00151738" w:rsidP="00151738">
      <w:pPr>
        <w:ind w:right="-2"/>
      </w:pPr>
    </w:p>
    <w:p w:rsidR="00151738" w:rsidRDefault="00151738" w:rsidP="00151738">
      <w:pPr>
        <w:rPr>
          <w:color w:val="FF0000"/>
          <w:sz w:val="20"/>
        </w:rPr>
      </w:pPr>
    </w:p>
    <w:p w:rsidR="00151738" w:rsidRDefault="00151738" w:rsidP="00151738">
      <w:pPr>
        <w:rPr>
          <w:sz w:val="20"/>
        </w:rPr>
      </w:pPr>
      <w:r>
        <w:rPr>
          <w:sz w:val="20"/>
        </w:rPr>
        <w:t xml:space="preserve">V </w:t>
      </w:r>
      <w:r w:rsidR="00970C24">
        <w:rPr>
          <w:sz w:val="20"/>
        </w:rPr>
        <w:t>Písku</w:t>
      </w:r>
      <w:r>
        <w:rPr>
          <w:sz w:val="20"/>
        </w:rPr>
        <w:t xml:space="preserve"> dne </w:t>
      </w:r>
      <w:r w:rsidR="00C44525">
        <w:rPr>
          <w:sz w:val="20"/>
        </w:rPr>
        <w:t>5.3.2020</w:t>
      </w:r>
      <w:r w:rsidR="00C4452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70C24">
        <w:rPr>
          <w:sz w:val="20"/>
        </w:rPr>
        <w:tab/>
      </w:r>
      <w:r>
        <w:rPr>
          <w:sz w:val="20"/>
        </w:rPr>
        <w:t>V </w:t>
      </w:r>
      <w:r w:rsidR="00970C24">
        <w:rPr>
          <w:sz w:val="20"/>
        </w:rPr>
        <w:t>Písku</w:t>
      </w:r>
      <w:r>
        <w:rPr>
          <w:sz w:val="20"/>
        </w:rPr>
        <w:t xml:space="preserve"> dn</w:t>
      </w:r>
      <w:r w:rsidR="00970C24">
        <w:rPr>
          <w:sz w:val="20"/>
        </w:rPr>
        <w:t>e 4.3.2020</w:t>
      </w:r>
      <w:r>
        <w:rPr>
          <w:sz w:val="20"/>
        </w:rPr>
        <w:t xml:space="preserve"> </w:t>
      </w:r>
    </w:p>
    <w:p w:rsidR="00151738" w:rsidRDefault="00151738" w:rsidP="00151738">
      <w:pPr>
        <w:rPr>
          <w:sz w:val="20"/>
        </w:rPr>
      </w:pPr>
    </w:p>
    <w:p w:rsidR="00151738" w:rsidRDefault="00151738" w:rsidP="00151738">
      <w:pPr>
        <w:rPr>
          <w:sz w:val="20"/>
        </w:rPr>
      </w:pPr>
    </w:p>
    <w:p w:rsidR="00C44525" w:rsidRDefault="00C44525" w:rsidP="00151738">
      <w:pPr>
        <w:rPr>
          <w:sz w:val="20"/>
        </w:rPr>
      </w:pPr>
    </w:p>
    <w:p w:rsidR="00C44525" w:rsidRDefault="00C44525" w:rsidP="00151738">
      <w:pPr>
        <w:rPr>
          <w:sz w:val="20"/>
        </w:rPr>
      </w:pPr>
    </w:p>
    <w:p w:rsidR="00151738" w:rsidRDefault="00151738" w:rsidP="00151738">
      <w:pPr>
        <w:rPr>
          <w:sz w:val="20"/>
        </w:rPr>
      </w:pPr>
    </w:p>
    <w:p w:rsidR="00151738" w:rsidRDefault="00151738" w:rsidP="00151738">
      <w:pPr>
        <w:rPr>
          <w:sz w:val="20"/>
        </w:rPr>
      </w:pPr>
    </w:p>
    <w:p w:rsidR="00151738" w:rsidRDefault="00151738" w:rsidP="00151738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970C24" w:rsidRDefault="00970C24" w:rsidP="00151738">
      <w:pPr>
        <w:rPr>
          <w:sz w:val="20"/>
        </w:rPr>
      </w:pPr>
    </w:p>
    <w:p w:rsidR="00970C24" w:rsidRDefault="00C31D8A" w:rsidP="00151738">
      <w:pPr>
        <w:rPr>
          <w:sz w:val="20"/>
        </w:rPr>
      </w:pPr>
      <w:proofErr w:type="spellStart"/>
      <w:r>
        <w:rPr>
          <w:sz w:val="20"/>
        </w:rPr>
        <w:t>xxxxx</w:t>
      </w:r>
      <w:proofErr w:type="spellEnd"/>
      <w:r w:rsidR="005937CA">
        <w:rPr>
          <w:sz w:val="20"/>
        </w:rPr>
        <w:t xml:space="preserve"> </w:t>
      </w:r>
      <w:proofErr w:type="spellStart"/>
      <w:r w:rsidR="005937CA">
        <w:rPr>
          <w:sz w:val="20"/>
        </w:rPr>
        <w:t>xxxxx</w:t>
      </w:r>
      <w:bookmarkStart w:id="0" w:name="_GoBack"/>
      <w:bookmarkEnd w:id="0"/>
      <w:proofErr w:type="spellEnd"/>
      <w:r w:rsidR="00970C24">
        <w:rPr>
          <w:sz w:val="20"/>
        </w:rPr>
        <w:tab/>
      </w:r>
      <w:r w:rsidR="00970C24">
        <w:rPr>
          <w:sz w:val="20"/>
        </w:rPr>
        <w:tab/>
      </w:r>
      <w:r w:rsidR="00970C24">
        <w:rPr>
          <w:sz w:val="20"/>
        </w:rPr>
        <w:tab/>
      </w:r>
      <w:r w:rsidR="00970C24">
        <w:rPr>
          <w:sz w:val="20"/>
        </w:rPr>
        <w:tab/>
      </w:r>
      <w:r w:rsidR="00970C24">
        <w:rPr>
          <w:sz w:val="20"/>
        </w:rPr>
        <w:tab/>
      </w:r>
      <w:r w:rsidR="00970C24">
        <w:rPr>
          <w:sz w:val="20"/>
        </w:rPr>
        <w:tab/>
        <w:t xml:space="preserve">   Ing. Zdeňka Šartnerová</w:t>
      </w:r>
    </w:p>
    <w:p w:rsidR="00970C24" w:rsidRDefault="00970C24" w:rsidP="001517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Ředitelka DBS města Písku</w:t>
      </w:r>
    </w:p>
    <w:p w:rsidR="00151738" w:rsidRDefault="00151738" w:rsidP="00151738">
      <w:r>
        <w:rPr>
          <w:color w:val="000000"/>
          <w:sz w:val="20"/>
        </w:rPr>
        <w:tab/>
        <w:t xml:space="preserve"> </w:t>
      </w: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8"/>
    <w:rsid w:val="000C45D0"/>
    <w:rsid w:val="00151738"/>
    <w:rsid w:val="005937CA"/>
    <w:rsid w:val="00970C24"/>
    <w:rsid w:val="00B63F2C"/>
    <w:rsid w:val="00C31D8A"/>
    <w:rsid w:val="00C44525"/>
    <w:rsid w:val="00C7559E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8FB0-DBC6-4FE9-8BA3-D8BE6657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738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517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517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1738"/>
    <w:pPr>
      <w:ind w:left="708"/>
    </w:pPr>
  </w:style>
  <w:style w:type="paragraph" w:customStyle="1" w:styleId="ZkladntextIMP">
    <w:name w:val="Základní text_IMP"/>
    <w:basedOn w:val="Normln"/>
    <w:rsid w:val="00151738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bspisek.cz/index.php?linkID=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2950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3</cp:revision>
  <cp:lastPrinted>2020-03-03T09:46:00Z</cp:lastPrinted>
  <dcterms:created xsi:type="dcterms:W3CDTF">2020-03-03T08:57:00Z</dcterms:created>
  <dcterms:modified xsi:type="dcterms:W3CDTF">2020-03-18T13:11:00Z</dcterms:modified>
</cp:coreProperties>
</file>