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C4AA" w14:textId="5E68573A" w:rsidR="000E7DF5" w:rsidRDefault="000E7DF5" w:rsidP="00BD02E8">
      <w:pPr>
        <w:ind w:left="4956" w:firstLine="70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ascii="Calibri" w:hAnsi="Calibri"/>
          <w:lang w:eastAsia="cs-CZ"/>
        </w:rPr>
        <w:t>Příloha č. 1</w:t>
      </w:r>
      <w:r w:rsidR="00FB699C">
        <w:rPr>
          <w:rFonts w:ascii="Calibri" w:hAnsi="Calibri"/>
          <w:lang w:eastAsia="cs-CZ"/>
        </w:rPr>
        <w:t xml:space="preserve"> </w:t>
      </w:r>
      <w:r w:rsidRPr="00C8348A">
        <w:rPr>
          <w:rFonts w:ascii="Calibri" w:hAnsi="Calibri"/>
          <w:lang w:eastAsia="cs-CZ"/>
        </w:rPr>
        <w:t>– Technická specifikace</w:t>
      </w:r>
      <w:r w:rsidR="00FB699C">
        <w:rPr>
          <w:rFonts w:ascii="Calibri" w:hAnsi="Calibri"/>
          <w:lang w:eastAsia="cs-CZ"/>
        </w:rPr>
        <w:t xml:space="preserve"> dodávek</w:t>
      </w:r>
    </w:p>
    <w:p w14:paraId="66C16127" w14:textId="07810BF7" w:rsidR="0055708E" w:rsidRDefault="0055708E" w:rsidP="007465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Technická specifikace ICT vy</w:t>
      </w:r>
      <w:r w:rsidR="0074656B">
        <w:rPr>
          <w:b/>
          <w:sz w:val="32"/>
          <w:szCs w:val="32"/>
        </w:rPr>
        <w:t xml:space="preserve">bavení </w:t>
      </w:r>
      <w:r w:rsidR="00E90535">
        <w:rPr>
          <w:b/>
          <w:sz w:val="32"/>
          <w:szCs w:val="32"/>
        </w:rPr>
        <w:t>pro SPŠ dopravní na rok</w:t>
      </w:r>
      <w:r w:rsidR="0074656B">
        <w:rPr>
          <w:b/>
          <w:sz w:val="32"/>
          <w:szCs w:val="32"/>
        </w:rPr>
        <w:t xml:space="preserve"> </w:t>
      </w:r>
      <w:r w:rsidR="00AD7F35">
        <w:rPr>
          <w:b/>
          <w:sz w:val="32"/>
          <w:szCs w:val="32"/>
        </w:rPr>
        <w:t>2020</w:t>
      </w:r>
      <w:r>
        <w:rPr>
          <w:b/>
          <w:sz w:val="32"/>
          <w:szCs w:val="32"/>
        </w:rPr>
        <w:t xml:space="preserve"> </w:t>
      </w:r>
      <w:r w:rsidR="00D2517A">
        <w:rPr>
          <w:b/>
          <w:sz w:val="32"/>
          <w:szCs w:val="32"/>
        </w:rPr>
        <w:t>- Servery</w:t>
      </w:r>
    </w:p>
    <w:p w14:paraId="23B8FFA5" w14:textId="77777777" w:rsidR="008E3302" w:rsidRDefault="008E3302" w:rsidP="0074656B">
      <w:pPr>
        <w:spacing w:line="240" w:lineRule="auto"/>
        <w:contextualSpacing/>
        <w:jc w:val="both"/>
        <w:rPr>
          <w:rFonts w:cs="Calibri"/>
          <w:b/>
          <w:sz w:val="32"/>
          <w:szCs w:val="32"/>
        </w:rPr>
      </w:pPr>
    </w:p>
    <w:p w14:paraId="0B3414B1" w14:textId="77777777" w:rsidR="0074656B" w:rsidRDefault="0074656B" w:rsidP="0074656B">
      <w:pPr>
        <w:spacing w:line="240" w:lineRule="auto"/>
        <w:contextualSpacing/>
        <w:jc w:val="both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2</w:t>
      </w:r>
      <w:r w:rsidRPr="00ED3F19">
        <w:rPr>
          <w:rFonts w:cs="Calibri"/>
          <w:b/>
          <w:sz w:val="32"/>
          <w:szCs w:val="32"/>
        </w:rPr>
        <w:t xml:space="preserve"> ks </w:t>
      </w:r>
      <w:r w:rsidR="00AD7F35">
        <w:rPr>
          <w:rFonts w:cs="Calibri"/>
          <w:b/>
          <w:sz w:val="32"/>
          <w:szCs w:val="32"/>
        </w:rPr>
        <w:t>server</w:t>
      </w:r>
      <w:r w:rsidR="008D028A">
        <w:rPr>
          <w:rFonts w:cs="Calibri"/>
          <w:b/>
          <w:sz w:val="32"/>
          <w:szCs w:val="32"/>
        </w:rPr>
        <w:t xml:space="preserve"> níže uvedené konfigurace</w:t>
      </w:r>
      <w:r w:rsidR="00876552">
        <w:rPr>
          <w:rFonts w:cs="Calibri"/>
          <w:b/>
          <w:sz w:val="32"/>
          <w:szCs w:val="32"/>
        </w:rPr>
        <w:t xml:space="preserve"> (oba servery musí být stejné konfigurace)</w:t>
      </w:r>
    </w:p>
    <w:p w14:paraId="680A832B" w14:textId="77777777" w:rsidR="00D2517A" w:rsidRDefault="00D2517A" w:rsidP="0074656B">
      <w:pPr>
        <w:spacing w:line="240" w:lineRule="auto"/>
        <w:contextualSpacing/>
        <w:jc w:val="both"/>
        <w:rPr>
          <w:rFonts w:cs="Calibri"/>
          <w:b/>
          <w:sz w:val="32"/>
          <w:szCs w:val="32"/>
        </w:rPr>
      </w:pPr>
    </w:p>
    <w:p w14:paraId="765703A6" w14:textId="77777777" w:rsidR="00E12A54" w:rsidRPr="00E12A54" w:rsidRDefault="00E12A54" w:rsidP="0074656B">
      <w:pPr>
        <w:spacing w:line="240" w:lineRule="auto"/>
        <w:contextualSpacing/>
        <w:jc w:val="both"/>
        <w:rPr>
          <w:rFonts w:cs="Calibri"/>
          <w:b/>
        </w:rPr>
      </w:pPr>
      <w:r w:rsidRPr="00E12A54">
        <w:rPr>
          <w:rFonts w:cs="Calibri"/>
          <w:b/>
        </w:rPr>
        <w:t xml:space="preserve">Rackový </w:t>
      </w:r>
      <w:r w:rsidR="00AA6ABF">
        <w:rPr>
          <w:rFonts w:cs="Calibri"/>
          <w:b/>
        </w:rPr>
        <w:t xml:space="preserve">2U </w:t>
      </w:r>
      <w:proofErr w:type="spellStart"/>
      <w:r w:rsidRPr="00E12A54">
        <w:rPr>
          <w:rFonts w:cs="Calibri"/>
          <w:b/>
        </w:rPr>
        <w:t>dual</w:t>
      </w:r>
      <w:proofErr w:type="spellEnd"/>
      <w:r w:rsidRPr="00E12A54">
        <w:rPr>
          <w:rFonts w:cs="Calibri"/>
          <w:b/>
        </w:rPr>
        <w:t xml:space="preserve"> </w:t>
      </w:r>
      <w:proofErr w:type="spellStart"/>
      <w:r w:rsidRPr="00E12A54">
        <w:rPr>
          <w:rFonts w:cs="Calibri"/>
          <w:b/>
        </w:rPr>
        <w:t>socket</w:t>
      </w:r>
      <w:proofErr w:type="spellEnd"/>
      <w:r w:rsidRPr="00E12A54">
        <w:rPr>
          <w:rFonts w:cs="Calibri"/>
          <w:b/>
        </w:rPr>
        <w:t xml:space="preserve"> server</w:t>
      </w:r>
      <w:r>
        <w:rPr>
          <w:rFonts w:cs="Calibri"/>
          <w:b/>
        </w:rPr>
        <w:t xml:space="preserve"> o níže uvedené MINIMÁLNÍ specifikaci</w:t>
      </w:r>
    </w:p>
    <w:p w14:paraId="03340140" w14:textId="77777777" w:rsidR="00E12A54" w:rsidRPr="00E12A54" w:rsidRDefault="00E12A54" w:rsidP="0074656B">
      <w:pPr>
        <w:spacing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7D20B728" w14:textId="77777777" w:rsidR="0074656B" w:rsidRDefault="0074656B" w:rsidP="0074656B">
      <w:pPr>
        <w:spacing w:line="240" w:lineRule="auto"/>
        <w:contextualSpacing/>
        <w:rPr>
          <w:rFonts w:cs="Calibri"/>
        </w:rPr>
      </w:pPr>
      <w:r w:rsidRPr="002A76B9">
        <w:rPr>
          <w:rFonts w:cs="Calibri"/>
          <w:b/>
        </w:rPr>
        <w:t>Procesor:</w:t>
      </w:r>
    </w:p>
    <w:p w14:paraId="6B1F819A" w14:textId="77777777" w:rsidR="0074656B" w:rsidRDefault="001A4DF9" w:rsidP="0074656B">
      <w:pPr>
        <w:spacing w:line="240" w:lineRule="auto"/>
        <w:contextualSpacing/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cs="Calibri"/>
        </w:rPr>
        <w:t xml:space="preserve">Osazen 1 </w:t>
      </w:r>
      <w:r w:rsidR="00CF4308">
        <w:rPr>
          <w:rFonts w:cs="Calibri"/>
        </w:rPr>
        <w:t xml:space="preserve">serverový </w:t>
      </w:r>
      <w:r>
        <w:rPr>
          <w:rFonts w:cs="Calibri"/>
        </w:rPr>
        <w:t xml:space="preserve">CPU o </w:t>
      </w:r>
      <w:r w:rsidR="00A34055">
        <w:rPr>
          <w:rFonts w:cs="Calibri"/>
        </w:rPr>
        <w:t>výkon</w:t>
      </w:r>
      <w:r>
        <w:rPr>
          <w:rFonts w:cs="Calibri"/>
        </w:rPr>
        <w:t>u</w:t>
      </w:r>
      <w:r w:rsidR="00A34055">
        <w:rPr>
          <w:rFonts w:cs="Calibri"/>
        </w:rPr>
        <w:t xml:space="preserve"> procesoru min. </w:t>
      </w:r>
      <w:r w:rsidR="00AD7F35">
        <w:rPr>
          <w:rFonts w:cs="Calibri"/>
        </w:rPr>
        <w:t xml:space="preserve">20 600 </w:t>
      </w:r>
      <w:r w:rsidR="0074656B">
        <w:rPr>
          <w:rFonts w:cs="Calibri"/>
        </w:rPr>
        <w:t xml:space="preserve">bodů </w:t>
      </w:r>
      <w:proofErr w:type="spellStart"/>
      <w:r w:rsidR="0074656B">
        <w:rPr>
          <w:rFonts w:cs="Calibri"/>
        </w:rPr>
        <w:t>benchmarku</w:t>
      </w:r>
      <w:proofErr w:type="spellEnd"/>
      <w:r w:rsidR="0074656B">
        <w:rPr>
          <w:rFonts w:cs="Calibri"/>
        </w:rPr>
        <w:t xml:space="preserve"> (</w:t>
      </w:r>
      <w:hyperlink r:id="rId4" w:tgtFrame="_blank" w:history="1">
        <w:r w:rsidR="0074656B" w:rsidRPr="00014C88">
          <w:rPr>
            <w:rFonts w:eastAsia="Times New Roman"/>
            <w:color w:val="0000FF"/>
            <w:sz w:val="24"/>
            <w:szCs w:val="24"/>
            <w:u w:val="single"/>
            <w:lang w:eastAsia="cs-CZ"/>
          </w:rPr>
          <w:t>http://www.cpubenchmark.net/cpu_list.php</w:t>
        </w:r>
      </w:hyperlink>
      <w:r w:rsidR="0074656B" w:rsidRPr="00014C88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)</w:t>
      </w:r>
      <w:r w:rsidR="0074656B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,</w:t>
      </w:r>
    </w:p>
    <w:p w14:paraId="32BBDC78" w14:textId="77777777" w:rsidR="0074656B" w:rsidRDefault="00AD7F35" w:rsidP="0074656B">
      <w:pPr>
        <w:spacing w:line="240" w:lineRule="auto"/>
        <w:contextualSpacing/>
      </w:pPr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16</w:t>
      </w:r>
      <w:r w:rsidR="002C2696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fyzických jader @ 2,3</w:t>
      </w:r>
      <w:r w:rsidR="0074656B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GHz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– 3.9 GHz (turbo</w:t>
      </w:r>
      <w:r w:rsidR="00A34055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)</w:t>
      </w:r>
      <w:r w:rsidR="0074656B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, podpora funkce hyper-</w:t>
      </w:r>
      <w:proofErr w:type="spellStart"/>
      <w:r w:rsidR="0074656B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threading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(2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logical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cores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per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physical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)</w:t>
      </w:r>
      <w:r w:rsidR="00A34055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74656B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, HW</w:t>
      </w:r>
      <w:proofErr w:type="gramEnd"/>
      <w:r w:rsidR="0074656B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podpora </w:t>
      </w:r>
      <w:proofErr w:type="spellStart"/>
      <w:r w:rsidR="0074656B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>virtualizačních</w:t>
      </w:r>
      <w:proofErr w:type="spellEnd"/>
      <w:r w:rsidR="0074656B">
        <w:rPr>
          <w:rFonts w:eastAsia="Times New Roman"/>
          <w:color w:val="000000"/>
          <w:sz w:val="24"/>
          <w:szCs w:val="24"/>
          <w:shd w:val="clear" w:color="auto" w:fill="FFFFFF"/>
          <w:lang w:eastAsia="cs-CZ"/>
        </w:rPr>
        <w:t xml:space="preserve"> funkcí (musí být kompatibilní s technologií </w:t>
      </w:r>
      <w:r w:rsidR="0074656B">
        <w:t>VT-d, VT-x), HW podpora kryptografických funkcí AES</w:t>
      </w:r>
      <w:r w:rsidR="00CF4308">
        <w:t xml:space="preserve"> NI,</w:t>
      </w:r>
      <w:r>
        <w:t xml:space="preserve"> TDP </w:t>
      </w:r>
      <w:r w:rsidR="007E381F">
        <w:t>max. 125W</w:t>
      </w:r>
    </w:p>
    <w:p w14:paraId="6C05B43E" w14:textId="77777777" w:rsidR="00AA6ABF" w:rsidRPr="00F269BC" w:rsidRDefault="00AA6ABF" w:rsidP="0074656B">
      <w:pPr>
        <w:spacing w:line="240" w:lineRule="auto"/>
        <w:contextualSpacing/>
        <w:rPr>
          <w:rFonts w:cs="Calibri"/>
        </w:rPr>
      </w:pPr>
    </w:p>
    <w:p w14:paraId="31E0A7C2" w14:textId="77777777" w:rsidR="0074656B" w:rsidRDefault="0074656B" w:rsidP="0074656B">
      <w:pPr>
        <w:spacing w:line="240" w:lineRule="auto"/>
        <w:contextualSpacing/>
        <w:rPr>
          <w:rFonts w:cs="Calibri"/>
          <w:b/>
        </w:rPr>
      </w:pPr>
      <w:r w:rsidRPr="002A76B9">
        <w:rPr>
          <w:rFonts w:cs="Calibri"/>
          <w:b/>
        </w:rPr>
        <w:t>Paměť RAM:</w:t>
      </w:r>
    </w:p>
    <w:p w14:paraId="1290936C" w14:textId="77777777" w:rsidR="0074656B" w:rsidRDefault="002B316E" w:rsidP="0074656B">
      <w:pPr>
        <w:spacing w:line="240" w:lineRule="auto"/>
        <w:contextualSpacing/>
        <w:rPr>
          <w:rFonts w:cs="Calibri"/>
        </w:rPr>
      </w:pPr>
      <w:r>
        <w:rPr>
          <w:rFonts w:cs="Calibri"/>
        </w:rPr>
        <w:t xml:space="preserve">Osazeno </w:t>
      </w:r>
      <w:r w:rsidR="00AD7F35">
        <w:rPr>
          <w:rFonts w:cs="Calibri"/>
        </w:rPr>
        <w:t xml:space="preserve">min. </w:t>
      </w:r>
      <w:r w:rsidR="00F93FE6">
        <w:rPr>
          <w:rFonts w:cs="Calibri"/>
        </w:rPr>
        <w:t>4x 32</w:t>
      </w:r>
      <w:r w:rsidR="002C2696">
        <w:rPr>
          <w:rFonts w:cs="Calibri"/>
        </w:rPr>
        <w:t xml:space="preserve">GB DDR4 @ </w:t>
      </w:r>
      <w:r>
        <w:rPr>
          <w:rFonts w:cs="Calibri"/>
        </w:rPr>
        <w:t xml:space="preserve">min. </w:t>
      </w:r>
      <w:r w:rsidR="002C2696">
        <w:rPr>
          <w:rFonts w:cs="Calibri"/>
        </w:rPr>
        <w:t>2666MHz</w:t>
      </w:r>
      <w:r w:rsidR="00AD7F35">
        <w:rPr>
          <w:rFonts w:cs="Calibri"/>
        </w:rPr>
        <w:t xml:space="preserve"> </w:t>
      </w:r>
      <w:r w:rsidR="00F93FE6">
        <w:rPr>
          <w:rFonts w:cs="Calibri"/>
        </w:rPr>
        <w:t>ECC</w:t>
      </w:r>
      <w:r w:rsidR="00E12A54">
        <w:rPr>
          <w:rFonts w:cs="Calibri"/>
        </w:rPr>
        <w:t xml:space="preserve">, min. 16 </w:t>
      </w:r>
      <w:r w:rsidR="00F93FE6">
        <w:rPr>
          <w:rFonts w:cs="Calibri"/>
        </w:rPr>
        <w:t>paměťových slotů</w:t>
      </w:r>
      <w:r w:rsidR="00E12A54">
        <w:rPr>
          <w:rFonts w:cs="Calibri"/>
        </w:rPr>
        <w:t xml:space="preserve"> </w:t>
      </w:r>
      <w:r w:rsidR="00F93FE6">
        <w:rPr>
          <w:rFonts w:cs="Calibri"/>
        </w:rPr>
        <w:t>celkem</w:t>
      </w:r>
    </w:p>
    <w:p w14:paraId="4F7456D2" w14:textId="77777777" w:rsidR="0074656B" w:rsidRDefault="0074656B" w:rsidP="0074656B">
      <w:pPr>
        <w:spacing w:line="240" w:lineRule="auto"/>
        <w:contextualSpacing/>
        <w:rPr>
          <w:rFonts w:cs="Calibri"/>
        </w:rPr>
      </w:pPr>
    </w:p>
    <w:p w14:paraId="3D33A628" w14:textId="77777777" w:rsidR="0074656B" w:rsidRDefault="00AD7F35" w:rsidP="0074656B">
      <w:pPr>
        <w:spacing w:line="240" w:lineRule="auto"/>
        <w:contextualSpacing/>
        <w:rPr>
          <w:rFonts w:cs="Calibri"/>
          <w:b/>
        </w:rPr>
      </w:pPr>
      <w:r>
        <w:rPr>
          <w:rFonts w:cs="Calibri"/>
          <w:b/>
        </w:rPr>
        <w:t>Úložiště</w:t>
      </w:r>
    </w:p>
    <w:p w14:paraId="017A2DA4" w14:textId="77777777" w:rsidR="0074656B" w:rsidRDefault="00B27AD9" w:rsidP="0074656B">
      <w:pPr>
        <w:spacing w:line="240" w:lineRule="auto"/>
        <w:contextualSpacing/>
        <w:rPr>
          <w:rFonts w:cs="Calibri"/>
        </w:rPr>
      </w:pPr>
      <w:proofErr w:type="spellStart"/>
      <w:r>
        <w:rPr>
          <w:rFonts w:cs="Calibri"/>
        </w:rPr>
        <w:t>Internal</w:t>
      </w:r>
      <w:proofErr w:type="spellEnd"/>
      <w:r>
        <w:rPr>
          <w:rFonts w:cs="Calibri"/>
        </w:rPr>
        <w:t xml:space="preserve"> </w:t>
      </w:r>
      <w:proofErr w:type="spellStart"/>
      <w:r w:rsidR="00D2517A">
        <w:rPr>
          <w:rFonts w:cs="Calibri"/>
        </w:rPr>
        <w:t>PCIe</w:t>
      </w:r>
      <w:proofErr w:type="spellEnd"/>
      <w:r w:rsidR="00D2517A">
        <w:rPr>
          <w:rFonts w:cs="Calibri"/>
        </w:rPr>
        <w:t xml:space="preserve"> </w:t>
      </w:r>
      <w:r w:rsidR="00AD7F35">
        <w:rPr>
          <w:rFonts w:cs="Calibri"/>
        </w:rPr>
        <w:t xml:space="preserve">HW RAID řadič s podporou RAID 0,1,5,6,10,50,60, </w:t>
      </w:r>
      <w:r w:rsidR="00F93FE6">
        <w:rPr>
          <w:rFonts w:cs="Calibri"/>
        </w:rPr>
        <w:t xml:space="preserve">alespoň </w:t>
      </w:r>
      <w:r w:rsidR="00AD7F35">
        <w:rPr>
          <w:rFonts w:cs="Calibri"/>
        </w:rPr>
        <w:t xml:space="preserve">8 port SAS+SATA </w:t>
      </w:r>
      <w:r w:rsidR="00E12A54">
        <w:rPr>
          <w:rFonts w:cs="Calibri"/>
        </w:rPr>
        <w:t xml:space="preserve">, </w:t>
      </w:r>
      <w:r w:rsidR="00AD7F35">
        <w:rPr>
          <w:rFonts w:cs="Calibri"/>
        </w:rPr>
        <w:t>6Gb/s a 12Gb/s</w:t>
      </w:r>
      <w:r w:rsidR="00D2517A">
        <w:rPr>
          <w:rFonts w:cs="Calibri"/>
        </w:rPr>
        <w:t xml:space="preserve">, </w:t>
      </w:r>
      <w:r w:rsidR="00CF4308">
        <w:rPr>
          <w:rFonts w:cs="Calibri"/>
        </w:rPr>
        <w:t xml:space="preserve">podpora </w:t>
      </w:r>
      <w:r w:rsidR="0001376F">
        <w:rPr>
          <w:rFonts w:cs="Calibri"/>
        </w:rPr>
        <w:t xml:space="preserve">min. </w:t>
      </w:r>
      <w:r w:rsidR="00D2517A">
        <w:rPr>
          <w:rFonts w:cs="Calibri"/>
        </w:rPr>
        <w:t xml:space="preserve">32 SAS/SATA disků, 8GB NV </w:t>
      </w:r>
      <w:proofErr w:type="spellStart"/>
      <w:r w:rsidR="00D2517A">
        <w:rPr>
          <w:rFonts w:cs="Calibri"/>
        </w:rPr>
        <w:t>Cache</w:t>
      </w:r>
      <w:proofErr w:type="spellEnd"/>
      <w:r w:rsidR="00F93FE6">
        <w:rPr>
          <w:rFonts w:cs="Calibri"/>
        </w:rPr>
        <w:t>, chráněno proti výpadku napájení</w:t>
      </w:r>
      <w:r w:rsidR="0001376F">
        <w:rPr>
          <w:rFonts w:cs="Calibri"/>
        </w:rPr>
        <w:t>.</w:t>
      </w:r>
    </w:p>
    <w:p w14:paraId="4735AFA4" w14:textId="77777777" w:rsidR="002E654A" w:rsidRDefault="002E654A" w:rsidP="00D2517A">
      <w:pPr>
        <w:spacing w:line="240" w:lineRule="auto"/>
        <w:contextualSpacing/>
        <w:rPr>
          <w:rFonts w:cs="Calibri"/>
        </w:rPr>
      </w:pPr>
      <w:r>
        <w:rPr>
          <w:rFonts w:cs="Calibri"/>
        </w:rPr>
        <w:t xml:space="preserve">2x 240GB SSD na </w:t>
      </w:r>
      <w:proofErr w:type="gramStart"/>
      <w:r>
        <w:rPr>
          <w:rFonts w:cs="Calibri"/>
        </w:rPr>
        <w:t>OS</w:t>
      </w:r>
      <w:proofErr w:type="gramEnd"/>
      <w:r>
        <w:rPr>
          <w:rFonts w:cs="Calibri"/>
        </w:rPr>
        <w:t xml:space="preserve"> v RAID 1</w:t>
      </w:r>
    </w:p>
    <w:p w14:paraId="719FEFDB" w14:textId="77777777" w:rsidR="0074656B" w:rsidRDefault="002E654A" w:rsidP="00D2517A">
      <w:pPr>
        <w:spacing w:line="240" w:lineRule="auto"/>
        <w:contextualSpacing/>
        <w:rPr>
          <w:rFonts w:cs="Calibri"/>
        </w:rPr>
      </w:pPr>
      <w:r>
        <w:rPr>
          <w:rFonts w:cs="Calibri"/>
        </w:rPr>
        <w:t>2</w:t>
      </w:r>
      <w:r w:rsidR="00AA6ABF">
        <w:rPr>
          <w:rFonts w:cs="Calibri"/>
        </w:rPr>
        <w:t xml:space="preserve">x 240GB SSD </w:t>
      </w:r>
      <w:proofErr w:type="spellStart"/>
      <w:r w:rsidR="00AA6ABF">
        <w:rPr>
          <w:rFonts w:cs="Calibri"/>
        </w:rPr>
        <w:t>Mixed</w:t>
      </w:r>
      <w:proofErr w:type="spellEnd"/>
      <w:r w:rsidR="00AA6ABF">
        <w:rPr>
          <w:rFonts w:cs="Calibri"/>
        </w:rPr>
        <w:t xml:space="preserve"> use,</w:t>
      </w:r>
      <w:r w:rsidR="00D2517A">
        <w:rPr>
          <w:rFonts w:cs="Calibri"/>
        </w:rPr>
        <w:t xml:space="preserve"> Hot-</w:t>
      </w:r>
      <w:proofErr w:type="spellStart"/>
      <w:r w:rsidR="00D2517A">
        <w:rPr>
          <w:rFonts w:cs="Calibri"/>
        </w:rPr>
        <w:t>Plug</w:t>
      </w:r>
      <w:proofErr w:type="spellEnd"/>
      <w:r w:rsidR="00D2517A">
        <w:rPr>
          <w:rFonts w:cs="Calibri"/>
        </w:rPr>
        <w:t xml:space="preserve"> 6Gbps </w:t>
      </w:r>
      <w:r>
        <w:rPr>
          <w:rFonts w:cs="Calibri"/>
        </w:rPr>
        <w:t>v RAID1</w:t>
      </w:r>
      <w:r w:rsidR="0001376F" w:rsidRPr="0001376F">
        <w:rPr>
          <w:rFonts w:cs="Calibri"/>
        </w:rPr>
        <w:t xml:space="preserve"> </w:t>
      </w:r>
      <w:r w:rsidR="0001376F">
        <w:rPr>
          <w:rFonts w:cs="Calibri"/>
        </w:rPr>
        <w:t xml:space="preserve">nebo lepší </w:t>
      </w:r>
      <w:r w:rsidR="00AB6897">
        <w:rPr>
          <w:rFonts w:cs="Calibri"/>
        </w:rPr>
        <w:t xml:space="preserve"> pro rychlá data</w:t>
      </w:r>
    </w:p>
    <w:p w14:paraId="1FC1A297" w14:textId="77777777" w:rsidR="00D2517A" w:rsidRDefault="00AA6ABF" w:rsidP="0001376F">
      <w:p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6x 1.2TB 10k RPM SAS 12Gbps,</w:t>
      </w:r>
      <w:r w:rsidR="00D2517A">
        <w:rPr>
          <w:rFonts w:cs="Calibri"/>
        </w:rPr>
        <w:t xml:space="preserve"> Hot-</w:t>
      </w:r>
      <w:proofErr w:type="spellStart"/>
      <w:r w:rsidR="00D2517A">
        <w:rPr>
          <w:rFonts w:cs="Calibri"/>
        </w:rPr>
        <w:t>Plug</w:t>
      </w:r>
      <w:proofErr w:type="spellEnd"/>
      <w:r w:rsidR="00F93FE6">
        <w:rPr>
          <w:rFonts w:cs="Calibri"/>
        </w:rPr>
        <w:t xml:space="preserve"> </w:t>
      </w:r>
      <w:r w:rsidR="002E654A">
        <w:rPr>
          <w:rFonts w:cs="Calibri"/>
        </w:rPr>
        <w:t>v RAID 6</w:t>
      </w:r>
      <w:r w:rsidR="0001376F">
        <w:rPr>
          <w:rFonts w:cs="Calibri"/>
        </w:rPr>
        <w:t xml:space="preserve"> nebo lepší</w:t>
      </w:r>
    </w:p>
    <w:p w14:paraId="62874269" w14:textId="77777777" w:rsidR="00D2517A" w:rsidRDefault="002E654A" w:rsidP="0074656B">
      <w:p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Možnost</w:t>
      </w:r>
      <w:r w:rsidR="0001376F">
        <w:rPr>
          <w:rFonts w:cs="Calibri"/>
        </w:rPr>
        <w:t xml:space="preserve"> dalšího</w:t>
      </w:r>
      <w:r>
        <w:rPr>
          <w:rFonts w:cs="Calibri"/>
        </w:rPr>
        <w:t xml:space="preserve"> rozšíření kapacity </w:t>
      </w:r>
      <w:r w:rsidR="00AB6897">
        <w:rPr>
          <w:rFonts w:cs="Calibri"/>
        </w:rPr>
        <w:t xml:space="preserve">alespoň </w:t>
      </w:r>
      <w:r>
        <w:rPr>
          <w:rFonts w:cs="Calibri"/>
        </w:rPr>
        <w:t>o 14 TB</w:t>
      </w:r>
      <w:r w:rsidR="00DA0D6F">
        <w:rPr>
          <w:rFonts w:cs="Calibri"/>
        </w:rPr>
        <w:t xml:space="preserve"> </w:t>
      </w:r>
      <w:r w:rsidR="00AB6897">
        <w:rPr>
          <w:rFonts w:cs="Calibri"/>
        </w:rPr>
        <w:t>(</w:t>
      </w:r>
      <w:r w:rsidR="00434E8A">
        <w:rPr>
          <w:rFonts w:cs="Calibri"/>
        </w:rPr>
        <w:t xml:space="preserve">interní </w:t>
      </w:r>
      <w:r w:rsidR="00AB6897">
        <w:rPr>
          <w:rFonts w:cs="Calibri"/>
        </w:rPr>
        <w:t>HDD</w:t>
      </w:r>
      <w:r w:rsidR="0001376F">
        <w:rPr>
          <w:rFonts w:cs="Calibri"/>
        </w:rPr>
        <w:t xml:space="preserve"> disky</w:t>
      </w:r>
      <w:r w:rsidR="00AB6897">
        <w:rPr>
          <w:rFonts w:cs="Calibri"/>
        </w:rPr>
        <w:t xml:space="preserve"> </w:t>
      </w:r>
      <w:r w:rsidR="00DA0D6F">
        <w:rPr>
          <w:rFonts w:cs="Calibri"/>
        </w:rPr>
        <w:t>typu</w:t>
      </w:r>
      <w:r>
        <w:rPr>
          <w:rFonts w:cs="Calibri"/>
        </w:rPr>
        <w:t xml:space="preserve"> SAS</w:t>
      </w:r>
      <w:r w:rsidR="00DA0D6F">
        <w:rPr>
          <w:rFonts w:cs="Calibri"/>
        </w:rPr>
        <w:t xml:space="preserve"> 10k RPM</w:t>
      </w:r>
      <w:r w:rsidR="00AB6897">
        <w:rPr>
          <w:rFonts w:cs="Calibri"/>
        </w:rPr>
        <w:t xml:space="preserve"> Hot-</w:t>
      </w:r>
      <w:proofErr w:type="spellStart"/>
      <w:r w:rsidR="00AB6897">
        <w:rPr>
          <w:rFonts w:cs="Calibri"/>
        </w:rPr>
        <w:t>Plug</w:t>
      </w:r>
      <w:proofErr w:type="spellEnd"/>
      <w:r w:rsidR="00C651EF">
        <w:rPr>
          <w:rFonts w:cs="Calibri"/>
        </w:rPr>
        <w:t xml:space="preserve"> nebo NL-SAS</w:t>
      </w:r>
      <w:r w:rsidR="00AB6897">
        <w:rPr>
          <w:rFonts w:cs="Calibri"/>
        </w:rPr>
        <w:t>)</w:t>
      </w:r>
    </w:p>
    <w:p w14:paraId="7A0BA1E3" w14:textId="77777777" w:rsidR="002E654A" w:rsidRDefault="002E654A" w:rsidP="0074656B">
      <w:pPr>
        <w:spacing w:line="240" w:lineRule="auto"/>
        <w:contextualSpacing/>
        <w:jc w:val="both"/>
        <w:rPr>
          <w:rFonts w:cs="Calibri"/>
        </w:rPr>
      </w:pPr>
    </w:p>
    <w:p w14:paraId="2B4E8950" w14:textId="77777777" w:rsidR="00D2517A" w:rsidRDefault="00D2517A" w:rsidP="0074656B">
      <w:pPr>
        <w:spacing w:line="240" w:lineRule="auto"/>
        <w:contextualSpacing/>
        <w:jc w:val="both"/>
        <w:rPr>
          <w:rFonts w:cs="Calibri"/>
          <w:b/>
        </w:rPr>
      </w:pPr>
      <w:r w:rsidRPr="00D2517A">
        <w:rPr>
          <w:rFonts w:cs="Calibri"/>
          <w:b/>
        </w:rPr>
        <w:t>Síťová konektivita</w:t>
      </w:r>
    </w:p>
    <w:p w14:paraId="7EF681AC" w14:textId="77777777" w:rsidR="00D2517A" w:rsidRDefault="00D2517A" w:rsidP="0074656B">
      <w:p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Min. 2x 1Gbps + 4x 10Gbps SFP+ adapter</w:t>
      </w:r>
      <w:r w:rsidR="0007326E">
        <w:rPr>
          <w:rFonts w:cs="Calibri"/>
        </w:rPr>
        <w:t>, dedikovaný LAN 1Gbps pro vzdálený management</w:t>
      </w:r>
    </w:p>
    <w:p w14:paraId="51D9ABDA" w14:textId="77777777" w:rsidR="00D2517A" w:rsidRDefault="00D2517A" w:rsidP="0074656B">
      <w:pPr>
        <w:spacing w:line="240" w:lineRule="auto"/>
        <w:contextualSpacing/>
        <w:jc w:val="both"/>
        <w:rPr>
          <w:rFonts w:cs="Calibri"/>
        </w:rPr>
      </w:pPr>
    </w:p>
    <w:p w14:paraId="26A2BA84" w14:textId="77777777" w:rsidR="0074656B" w:rsidRDefault="0074656B" w:rsidP="0074656B">
      <w:pPr>
        <w:spacing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Další požadované vlastnosti:</w:t>
      </w:r>
    </w:p>
    <w:p w14:paraId="4BDA1825" w14:textId="77777777" w:rsidR="0074656B" w:rsidRDefault="0074656B" w:rsidP="0074656B">
      <w:pPr>
        <w:spacing w:line="240" w:lineRule="auto"/>
        <w:contextualSpacing/>
        <w:jc w:val="both"/>
        <w:rPr>
          <w:rFonts w:cs="Calibri"/>
          <w:b/>
        </w:rPr>
      </w:pPr>
    </w:p>
    <w:p w14:paraId="08DD1425" w14:textId="77777777" w:rsidR="00E12A54" w:rsidRDefault="00E12A54" w:rsidP="0074656B">
      <w:p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Redundantní napájecí zdroj Hot-</w:t>
      </w:r>
      <w:proofErr w:type="spellStart"/>
      <w:r>
        <w:rPr>
          <w:rFonts w:cs="Calibri"/>
        </w:rPr>
        <w:t>Plug</w:t>
      </w:r>
      <w:proofErr w:type="spellEnd"/>
    </w:p>
    <w:p w14:paraId="245A749C" w14:textId="77777777" w:rsidR="00E12A54" w:rsidRDefault="00E12A54" w:rsidP="0074656B">
      <w:p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TPM 2.0</w:t>
      </w:r>
    </w:p>
    <w:p w14:paraId="3D383BBF" w14:textId="77777777" w:rsidR="00327557" w:rsidRDefault="00F93FE6" w:rsidP="0074656B">
      <w:p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HW Management umožňují vzdálenou správu serveru, mimo jiné tedy zapn</w:t>
      </w:r>
      <w:r w:rsidR="008834E3">
        <w:rPr>
          <w:rFonts w:cs="Calibri"/>
        </w:rPr>
        <w:t>utí, vypnutí a restart serveru</w:t>
      </w:r>
      <w:r>
        <w:rPr>
          <w:rFonts w:cs="Calibri"/>
        </w:rPr>
        <w:t>, vzdálené ovládání serveru (klávesnice, myš, video výstup) nezávisle na OS</w:t>
      </w:r>
      <w:r w:rsidR="0007326E">
        <w:rPr>
          <w:rFonts w:cs="Calibri"/>
        </w:rPr>
        <w:t>,</w:t>
      </w:r>
      <w:r w:rsidR="008834E3">
        <w:rPr>
          <w:rFonts w:cs="Calibri"/>
        </w:rPr>
        <w:t xml:space="preserve"> s podporou HTML5 a schopností vzdáleně připojit média,</w:t>
      </w:r>
      <w:r>
        <w:rPr>
          <w:rFonts w:cs="Calibri"/>
        </w:rPr>
        <w:t xml:space="preserve"> dedikovaný LAN port</w:t>
      </w:r>
      <w:r w:rsidR="00807001">
        <w:rPr>
          <w:rFonts w:cs="Calibri"/>
        </w:rPr>
        <w:t xml:space="preserve"> 1Gbps</w:t>
      </w:r>
      <w:r>
        <w:rPr>
          <w:rFonts w:cs="Calibri"/>
        </w:rPr>
        <w:t xml:space="preserve"> pro management, časově neomezená licence</w:t>
      </w:r>
      <w:r w:rsidR="00807001">
        <w:rPr>
          <w:rFonts w:cs="Calibri"/>
        </w:rPr>
        <w:t xml:space="preserve">, schopnost monitorovat </w:t>
      </w:r>
      <w:r w:rsidR="008834E3">
        <w:rPr>
          <w:rFonts w:cs="Calibri"/>
        </w:rPr>
        <w:t xml:space="preserve">stav HW – napájení, ventilátory, CPU, RAM, řadiče diskových polí, disky a síťové porty </w:t>
      </w:r>
      <w:r w:rsidR="00807001">
        <w:rPr>
          <w:rFonts w:cs="Calibri"/>
        </w:rPr>
        <w:t>(SNMP v2, v3</w:t>
      </w:r>
      <w:r w:rsidR="008834E3">
        <w:rPr>
          <w:rFonts w:cs="Calibri"/>
        </w:rPr>
        <w:t xml:space="preserve">, e-mail, </w:t>
      </w:r>
      <w:proofErr w:type="spellStart"/>
      <w:r w:rsidR="008834E3">
        <w:rPr>
          <w:rFonts w:cs="Calibri"/>
        </w:rPr>
        <w:t>syslog</w:t>
      </w:r>
      <w:proofErr w:type="spellEnd"/>
      <w:r w:rsidR="00807001">
        <w:rPr>
          <w:rFonts w:cs="Calibri"/>
        </w:rPr>
        <w:t>)</w:t>
      </w:r>
      <w:r w:rsidR="008834E3">
        <w:rPr>
          <w:rFonts w:cs="Calibri"/>
        </w:rPr>
        <w:t xml:space="preserve"> bez nutnosti instalace agenta do </w:t>
      </w:r>
      <w:proofErr w:type="gramStart"/>
      <w:r w:rsidR="008834E3">
        <w:rPr>
          <w:rFonts w:cs="Calibri"/>
        </w:rPr>
        <w:t>OS , správa</w:t>
      </w:r>
      <w:proofErr w:type="gramEnd"/>
      <w:r w:rsidR="008834E3">
        <w:rPr>
          <w:rFonts w:cs="Calibri"/>
        </w:rPr>
        <w:t xml:space="preserve"> napájení včetně omezení příkonu, bezpečný </w:t>
      </w:r>
      <w:proofErr w:type="spellStart"/>
      <w:r w:rsidR="008834E3">
        <w:rPr>
          <w:rFonts w:cs="Calibri"/>
        </w:rPr>
        <w:t>boot</w:t>
      </w:r>
      <w:proofErr w:type="spellEnd"/>
      <w:r w:rsidR="008834E3">
        <w:rPr>
          <w:rFonts w:cs="Calibri"/>
        </w:rPr>
        <w:t xml:space="preserve"> s podporou </w:t>
      </w:r>
      <w:proofErr w:type="spellStart"/>
      <w:r w:rsidR="008834E3">
        <w:rPr>
          <w:rFonts w:cs="Calibri"/>
        </w:rPr>
        <w:t>secure</w:t>
      </w:r>
      <w:proofErr w:type="spellEnd"/>
      <w:r w:rsidR="008834E3">
        <w:rPr>
          <w:rFonts w:cs="Calibri"/>
        </w:rPr>
        <w:t xml:space="preserve"> UEFI se správou certifikátů, import a export serverových profilů,</w:t>
      </w:r>
      <w:r w:rsidR="0088656D">
        <w:rPr>
          <w:rFonts w:cs="Calibri"/>
        </w:rPr>
        <w:t xml:space="preserve"> vestavěná diagnostika HW.</w:t>
      </w:r>
      <w:r w:rsidR="008834E3">
        <w:rPr>
          <w:rFonts w:cs="Calibri"/>
        </w:rPr>
        <w:t xml:space="preserve"> </w:t>
      </w:r>
      <w:r w:rsidR="00243D56">
        <w:rPr>
          <w:rFonts w:cs="Calibri"/>
        </w:rPr>
        <w:t>Vzdálená aktualizace firmware.</w:t>
      </w:r>
    </w:p>
    <w:p w14:paraId="3158D545" w14:textId="77777777" w:rsidR="0007326E" w:rsidRDefault="0007326E" w:rsidP="0074656B">
      <w:pPr>
        <w:spacing w:line="240" w:lineRule="auto"/>
        <w:contextualSpacing/>
        <w:jc w:val="both"/>
        <w:rPr>
          <w:rFonts w:cs="Calibri"/>
        </w:rPr>
      </w:pPr>
    </w:p>
    <w:p w14:paraId="37FA8B76" w14:textId="77777777" w:rsidR="00F93FE6" w:rsidRPr="00103EC7" w:rsidRDefault="0007326E" w:rsidP="0074656B">
      <w:p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Dodat včetně výsuvných</w:t>
      </w:r>
      <w:r w:rsidR="00103EC7" w:rsidRPr="00103EC7">
        <w:rPr>
          <w:rFonts w:cs="Calibri"/>
        </w:rPr>
        <w:t xml:space="preserve"> l</w:t>
      </w:r>
      <w:r>
        <w:rPr>
          <w:rFonts w:cs="Calibri"/>
        </w:rPr>
        <w:t>ižin</w:t>
      </w:r>
      <w:r w:rsidR="00103EC7" w:rsidRPr="00103EC7">
        <w:rPr>
          <w:rFonts w:cs="Calibri"/>
        </w:rPr>
        <w:t xml:space="preserve"> do rozvaděče</w:t>
      </w:r>
      <w:r>
        <w:rPr>
          <w:rFonts w:cs="Calibri"/>
        </w:rPr>
        <w:t>.</w:t>
      </w:r>
    </w:p>
    <w:p w14:paraId="21C50E14" w14:textId="77777777" w:rsidR="00F93FE6" w:rsidRDefault="00F93FE6" w:rsidP="0074656B">
      <w:pPr>
        <w:spacing w:line="240" w:lineRule="auto"/>
        <w:contextualSpacing/>
        <w:jc w:val="both"/>
        <w:rPr>
          <w:rFonts w:cs="Calibri"/>
          <w:b/>
        </w:rPr>
      </w:pPr>
    </w:p>
    <w:p w14:paraId="1FB9D16F" w14:textId="77777777" w:rsidR="0074656B" w:rsidRPr="00F00A5D" w:rsidRDefault="0074656B" w:rsidP="0074656B">
      <w:pPr>
        <w:spacing w:line="240" w:lineRule="auto"/>
        <w:contextualSpacing/>
        <w:jc w:val="both"/>
        <w:rPr>
          <w:rFonts w:cs="Calibri"/>
          <w:b/>
        </w:rPr>
      </w:pPr>
      <w:r w:rsidRPr="00F00A5D">
        <w:rPr>
          <w:rFonts w:cs="Calibri"/>
          <w:b/>
        </w:rPr>
        <w:t>Záruka</w:t>
      </w:r>
      <w:r w:rsidR="002E1BB2">
        <w:rPr>
          <w:rFonts w:cs="Calibri"/>
          <w:b/>
        </w:rPr>
        <w:t xml:space="preserve">, servis, </w:t>
      </w:r>
      <w:r w:rsidR="00D2517A">
        <w:rPr>
          <w:rFonts w:cs="Calibri"/>
          <w:b/>
        </w:rPr>
        <w:t>podpora</w:t>
      </w:r>
      <w:r w:rsidRPr="00F00A5D">
        <w:rPr>
          <w:rFonts w:cs="Calibri"/>
          <w:b/>
        </w:rPr>
        <w:t xml:space="preserve">: </w:t>
      </w:r>
    </w:p>
    <w:p w14:paraId="36A463B2" w14:textId="77777777" w:rsidR="0088656D" w:rsidRPr="0088656D" w:rsidRDefault="0088656D" w:rsidP="0074656B">
      <w:pPr>
        <w:spacing w:after="0"/>
        <w:rPr>
          <w:rFonts w:cs="Calibri"/>
        </w:rPr>
      </w:pPr>
      <w:r>
        <w:rPr>
          <w:rFonts w:cs="Calibri"/>
        </w:rPr>
        <w:t xml:space="preserve">Min. 7 let na kompletní HW, přístup k technické podpoře </w:t>
      </w:r>
      <w:r w:rsidR="00680DCF">
        <w:rPr>
          <w:rFonts w:cs="Calibri"/>
        </w:rPr>
        <w:t>min. 9x5</w:t>
      </w:r>
      <w:r>
        <w:rPr>
          <w:rFonts w:cs="Calibri"/>
        </w:rPr>
        <w:t>, odezva</w:t>
      </w:r>
      <w:r w:rsidR="00680DCF">
        <w:rPr>
          <w:rFonts w:cs="Calibri"/>
        </w:rPr>
        <w:t xml:space="preserve"> a oprava v místě instalace</w:t>
      </w:r>
      <w:r>
        <w:rPr>
          <w:rFonts w:cs="Calibri"/>
        </w:rPr>
        <w:t xml:space="preserve"> </w:t>
      </w:r>
      <w:r w:rsidR="00680DCF">
        <w:rPr>
          <w:rFonts w:cs="Calibri"/>
        </w:rPr>
        <w:t xml:space="preserve">nejpozději </w:t>
      </w:r>
      <w:r>
        <w:rPr>
          <w:rFonts w:cs="Calibri"/>
        </w:rPr>
        <w:t>následující pracovní den při nahl</w:t>
      </w:r>
      <w:r w:rsidR="00680DCF">
        <w:rPr>
          <w:rFonts w:cs="Calibri"/>
        </w:rPr>
        <w:t>ášení požadavku v pracovní době</w:t>
      </w:r>
      <w:r>
        <w:rPr>
          <w:rFonts w:cs="Calibri"/>
        </w:rPr>
        <w:t>, servis musí být poskytován výrobcem nebo jím certifikovaným partnerem</w:t>
      </w:r>
      <w:r w:rsidR="002E1BB2">
        <w:rPr>
          <w:rFonts w:cs="Calibri"/>
        </w:rPr>
        <w:t>. Zdarma aktualizace firmware. Možnost stažení firmware přímo do serveru ze stránek výrobce přes HTTP nebo FTP.</w:t>
      </w:r>
      <w:r w:rsidR="005303D7">
        <w:rPr>
          <w:rFonts w:cs="Calibri"/>
        </w:rPr>
        <w:t xml:space="preserve"> Přístup ke všem uživatelsky vyměnitelným komponentám bez nutnosti nářadí</w:t>
      </w:r>
      <w:r w:rsidR="004C1672">
        <w:rPr>
          <w:rFonts w:cs="Calibri"/>
        </w:rPr>
        <w:t>.</w:t>
      </w:r>
    </w:p>
    <w:p w14:paraId="5B916B5E" w14:textId="77777777" w:rsidR="000E096D" w:rsidRDefault="000E096D" w:rsidP="0074656B">
      <w:pPr>
        <w:spacing w:line="240" w:lineRule="auto"/>
        <w:contextualSpacing/>
        <w:jc w:val="both"/>
        <w:rPr>
          <w:rFonts w:cs="Calibri"/>
          <w:b/>
          <w:color w:val="FF0000"/>
          <w:sz w:val="24"/>
          <w:szCs w:val="24"/>
        </w:rPr>
      </w:pPr>
    </w:p>
    <w:sectPr w:rsidR="000E096D" w:rsidSect="00C96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8E"/>
    <w:rsid w:val="0001376F"/>
    <w:rsid w:val="000224D5"/>
    <w:rsid w:val="0003079B"/>
    <w:rsid w:val="0007326E"/>
    <w:rsid w:val="00082FD1"/>
    <w:rsid w:val="00083A5C"/>
    <w:rsid w:val="000A7033"/>
    <w:rsid w:val="000B4E66"/>
    <w:rsid w:val="000B58A4"/>
    <w:rsid w:val="000C2A1A"/>
    <w:rsid w:val="000C68D1"/>
    <w:rsid w:val="000D218E"/>
    <w:rsid w:val="000E096D"/>
    <w:rsid w:val="000E7DF5"/>
    <w:rsid w:val="000F0BE8"/>
    <w:rsid w:val="00103991"/>
    <w:rsid w:val="00103EC7"/>
    <w:rsid w:val="00105613"/>
    <w:rsid w:val="0012282A"/>
    <w:rsid w:val="00134566"/>
    <w:rsid w:val="00135952"/>
    <w:rsid w:val="00141C06"/>
    <w:rsid w:val="001615FC"/>
    <w:rsid w:val="0019366D"/>
    <w:rsid w:val="0019681A"/>
    <w:rsid w:val="001A4DF9"/>
    <w:rsid w:val="001A5551"/>
    <w:rsid w:val="001B1D02"/>
    <w:rsid w:val="001B68AF"/>
    <w:rsid w:val="001D151F"/>
    <w:rsid w:val="001F335C"/>
    <w:rsid w:val="00201F0B"/>
    <w:rsid w:val="002143F0"/>
    <w:rsid w:val="0021636B"/>
    <w:rsid w:val="002234C3"/>
    <w:rsid w:val="0022393D"/>
    <w:rsid w:val="002427F0"/>
    <w:rsid w:val="00243D56"/>
    <w:rsid w:val="00247DA0"/>
    <w:rsid w:val="00261627"/>
    <w:rsid w:val="00262528"/>
    <w:rsid w:val="002B316E"/>
    <w:rsid w:val="002B7CF2"/>
    <w:rsid w:val="002C2696"/>
    <w:rsid w:val="002E131B"/>
    <w:rsid w:val="002E1BB2"/>
    <w:rsid w:val="002E654A"/>
    <w:rsid w:val="002F0024"/>
    <w:rsid w:val="002F6180"/>
    <w:rsid w:val="00305FBF"/>
    <w:rsid w:val="00317450"/>
    <w:rsid w:val="00327557"/>
    <w:rsid w:val="003416FA"/>
    <w:rsid w:val="00380D69"/>
    <w:rsid w:val="003A5343"/>
    <w:rsid w:val="003B2405"/>
    <w:rsid w:val="003C04C3"/>
    <w:rsid w:val="003D1168"/>
    <w:rsid w:val="003F1697"/>
    <w:rsid w:val="003F3A89"/>
    <w:rsid w:val="00434E8A"/>
    <w:rsid w:val="00447F06"/>
    <w:rsid w:val="00455B26"/>
    <w:rsid w:val="004A0623"/>
    <w:rsid w:val="004C1672"/>
    <w:rsid w:val="004C2B4F"/>
    <w:rsid w:val="004E4499"/>
    <w:rsid w:val="004F15CB"/>
    <w:rsid w:val="005008DB"/>
    <w:rsid w:val="00514389"/>
    <w:rsid w:val="005303D7"/>
    <w:rsid w:val="00540C30"/>
    <w:rsid w:val="0055708E"/>
    <w:rsid w:val="005844F6"/>
    <w:rsid w:val="005A142F"/>
    <w:rsid w:val="005A41EA"/>
    <w:rsid w:val="005B2C51"/>
    <w:rsid w:val="005C67C4"/>
    <w:rsid w:val="005F4EB4"/>
    <w:rsid w:val="00602B21"/>
    <w:rsid w:val="0062435D"/>
    <w:rsid w:val="006436C3"/>
    <w:rsid w:val="006440D0"/>
    <w:rsid w:val="006626BA"/>
    <w:rsid w:val="006651AF"/>
    <w:rsid w:val="006713AA"/>
    <w:rsid w:val="006732BA"/>
    <w:rsid w:val="00680DCF"/>
    <w:rsid w:val="00691501"/>
    <w:rsid w:val="00692751"/>
    <w:rsid w:val="00694AE7"/>
    <w:rsid w:val="006A5CFE"/>
    <w:rsid w:val="006B6554"/>
    <w:rsid w:val="006D6064"/>
    <w:rsid w:val="00734BD6"/>
    <w:rsid w:val="00736909"/>
    <w:rsid w:val="0074462B"/>
    <w:rsid w:val="0074656B"/>
    <w:rsid w:val="00756BCD"/>
    <w:rsid w:val="00765D17"/>
    <w:rsid w:val="007A69FF"/>
    <w:rsid w:val="007D409A"/>
    <w:rsid w:val="007D689B"/>
    <w:rsid w:val="007E381F"/>
    <w:rsid w:val="00807001"/>
    <w:rsid w:val="00815B3D"/>
    <w:rsid w:val="00817C38"/>
    <w:rsid w:val="0084216A"/>
    <w:rsid w:val="00842927"/>
    <w:rsid w:val="00844275"/>
    <w:rsid w:val="008442C5"/>
    <w:rsid w:val="00853DC9"/>
    <w:rsid w:val="00874F22"/>
    <w:rsid w:val="00876552"/>
    <w:rsid w:val="008834E3"/>
    <w:rsid w:val="00884A18"/>
    <w:rsid w:val="0088656D"/>
    <w:rsid w:val="00891BC5"/>
    <w:rsid w:val="008C6186"/>
    <w:rsid w:val="008D028A"/>
    <w:rsid w:val="008D74B9"/>
    <w:rsid w:val="008E3302"/>
    <w:rsid w:val="008E5520"/>
    <w:rsid w:val="00901122"/>
    <w:rsid w:val="00902016"/>
    <w:rsid w:val="00904BAB"/>
    <w:rsid w:val="009223E8"/>
    <w:rsid w:val="009237A5"/>
    <w:rsid w:val="009502A6"/>
    <w:rsid w:val="0099697D"/>
    <w:rsid w:val="009A1B2B"/>
    <w:rsid w:val="009D5725"/>
    <w:rsid w:val="009D5B53"/>
    <w:rsid w:val="00A06BB5"/>
    <w:rsid w:val="00A0719E"/>
    <w:rsid w:val="00A34055"/>
    <w:rsid w:val="00A37731"/>
    <w:rsid w:val="00A80148"/>
    <w:rsid w:val="00A9656B"/>
    <w:rsid w:val="00AA6ABF"/>
    <w:rsid w:val="00AB6897"/>
    <w:rsid w:val="00AC5F92"/>
    <w:rsid w:val="00AD7F35"/>
    <w:rsid w:val="00B16351"/>
    <w:rsid w:val="00B27AD9"/>
    <w:rsid w:val="00BB0902"/>
    <w:rsid w:val="00BC397E"/>
    <w:rsid w:val="00BD02E8"/>
    <w:rsid w:val="00BE0251"/>
    <w:rsid w:val="00C06994"/>
    <w:rsid w:val="00C500BB"/>
    <w:rsid w:val="00C64CD4"/>
    <w:rsid w:val="00C651EF"/>
    <w:rsid w:val="00C7412B"/>
    <w:rsid w:val="00C9198B"/>
    <w:rsid w:val="00C96FBE"/>
    <w:rsid w:val="00CB2FCE"/>
    <w:rsid w:val="00CB7831"/>
    <w:rsid w:val="00CC6798"/>
    <w:rsid w:val="00CF4308"/>
    <w:rsid w:val="00D01181"/>
    <w:rsid w:val="00D1503E"/>
    <w:rsid w:val="00D2517A"/>
    <w:rsid w:val="00D30B5E"/>
    <w:rsid w:val="00D54FED"/>
    <w:rsid w:val="00D61DFA"/>
    <w:rsid w:val="00D62CE0"/>
    <w:rsid w:val="00D664D8"/>
    <w:rsid w:val="00D7267E"/>
    <w:rsid w:val="00DA0D6F"/>
    <w:rsid w:val="00DF069E"/>
    <w:rsid w:val="00E00F13"/>
    <w:rsid w:val="00E05E60"/>
    <w:rsid w:val="00E12A54"/>
    <w:rsid w:val="00E1471E"/>
    <w:rsid w:val="00E213F3"/>
    <w:rsid w:val="00E25C44"/>
    <w:rsid w:val="00E53E8D"/>
    <w:rsid w:val="00E56722"/>
    <w:rsid w:val="00E64263"/>
    <w:rsid w:val="00E8205E"/>
    <w:rsid w:val="00E90535"/>
    <w:rsid w:val="00EA0564"/>
    <w:rsid w:val="00EB2011"/>
    <w:rsid w:val="00EB67FF"/>
    <w:rsid w:val="00EB70C7"/>
    <w:rsid w:val="00EC3046"/>
    <w:rsid w:val="00EC6AC2"/>
    <w:rsid w:val="00F411CA"/>
    <w:rsid w:val="00F5457D"/>
    <w:rsid w:val="00F6172B"/>
    <w:rsid w:val="00F92023"/>
    <w:rsid w:val="00F93FE6"/>
    <w:rsid w:val="00F94FC2"/>
    <w:rsid w:val="00FB3458"/>
    <w:rsid w:val="00FB5DCB"/>
    <w:rsid w:val="00FB699C"/>
    <w:rsid w:val="00FD2C52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3A9F"/>
  <w15:chartTrackingRefBased/>
  <w15:docId w15:val="{4ACAE7B9-1125-4114-A642-ECAE5E1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08E"/>
  </w:style>
  <w:style w:type="paragraph" w:styleId="Nadpis1">
    <w:name w:val="heading 1"/>
    <w:basedOn w:val="Normln"/>
    <w:link w:val="Nadpis1Char"/>
    <w:uiPriority w:val="9"/>
    <w:qFormat/>
    <w:rsid w:val="00884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lue">
    <w:name w:val="value"/>
    <w:basedOn w:val="Standardnpsmoodstavce"/>
    <w:rsid w:val="003F3A89"/>
  </w:style>
  <w:style w:type="paragraph" w:styleId="Normlnweb">
    <w:name w:val="Normal (Web)"/>
    <w:basedOn w:val="Normln"/>
    <w:uiPriority w:val="99"/>
    <w:unhideWhenUsed/>
    <w:rsid w:val="001A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67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664D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84A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Princl</dc:creator>
  <cp:keywords/>
  <dc:description/>
  <cp:lastModifiedBy>Jana Slámová</cp:lastModifiedBy>
  <cp:revision>2</cp:revision>
  <dcterms:created xsi:type="dcterms:W3CDTF">2020-03-18T10:11:00Z</dcterms:created>
  <dcterms:modified xsi:type="dcterms:W3CDTF">2020-03-18T10:11:00Z</dcterms:modified>
</cp:coreProperties>
</file>