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Renata Číhalová, ředitelka Krajského pozemkového úřadu pro Jihomoravský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Hroznová 17, 60300 Brno</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proofErr w:type="gramStart"/>
      <w:r w:rsidRPr="00BA0CC9">
        <w:rPr>
          <w:rFonts w:ascii="Arial" w:hAnsi="Arial" w:cs="Arial"/>
          <w:sz w:val="22"/>
          <w:szCs w:val="22"/>
        </w:rPr>
        <w:t>DIČ:  CZ</w:t>
      </w:r>
      <w:proofErr w:type="gramEnd"/>
      <w:r w:rsidRPr="00BA0CC9">
        <w:rPr>
          <w:rFonts w:ascii="Arial" w:hAnsi="Arial" w:cs="Arial"/>
          <w:sz w:val="22"/>
          <w:szCs w:val="22"/>
        </w:rPr>
        <w:t>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1002932027</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136D24" w:rsidRPr="00BA0CC9" w:rsidRDefault="00136D24">
      <w:pPr>
        <w:widowControl/>
        <w:rPr>
          <w:rFonts w:ascii="Arial" w:hAnsi="Arial" w:cs="Arial"/>
          <w:color w:val="000000"/>
          <w:sz w:val="22"/>
          <w:szCs w:val="22"/>
        </w:rPr>
      </w:pPr>
      <w:proofErr w:type="spellStart"/>
      <w:r w:rsidRPr="00BA0CC9">
        <w:rPr>
          <w:rFonts w:ascii="Arial" w:hAnsi="Arial" w:cs="Arial"/>
          <w:b/>
          <w:color w:val="000000"/>
          <w:sz w:val="22"/>
          <w:szCs w:val="22"/>
        </w:rPr>
        <w:t>Zea</w:t>
      </w:r>
      <w:proofErr w:type="spellEnd"/>
      <w:r w:rsidRPr="00BA0CC9">
        <w:rPr>
          <w:rFonts w:ascii="Arial" w:hAnsi="Arial" w:cs="Arial"/>
          <w:b/>
          <w:color w:val="000000"/>
          <w:sz w:val="22"/>
          <w:szCs w:val="22"/>
        </w:rPr>
        <w:t>, a.s.</w:t>
      </w:r>
      <w:r w:rsidRPr="00BA0CC9">
        <w:rPr>
          <w:rFonts w:ascii="Arial" w:hAnsi="Arial" w:cs="Arial"/>
          <w:color w:val="000000"/>
          <w:sz w:val="22"/>
          <w:szCs w:val="22"/>
        </w:rPr>
        <w:t xml:space="preserve">, sídlo Hostěradice 48, Hostěradice, PSČ 67171, IČO 49967941, DIČ CZ49967941, zapsán v obchodním rejstříku, vedeném Krajským soudem v Brně oddíl B, vložka 1201, </w:t>
      </w:r>
    </w:p>
    <w:p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předseda představenstva Pevný Jiří, Ing., (dále </w:t>
      </w:r>
      <w:proofErr w:type="gramStart"/>
      <w:r w:rsidRPr="00BA0CC9">
        <w:rPr>
          <w:rFonts w:ascii="Arial" w:hAnsi="Arial" w:cs="Arial"/>
          <w:color w:val="000000"/>
          <w:sz w:val="22"/>
          <w:szCs w:val="22"/>
        </w:rPr>
        <w:t>jen  "</w:t>
      </w:r>
      <w:proofErr w:type="gramEnd"/>
      <w:r w:rsidRPr="00BA0CC9">
        <w:rPr>
          <w:rFonts w:ascii="Arial" w:hAnsi="Arial" w:cs="Arial"/>
          <w:color w:val="000000"/>
          <w:sz w:val="22"/>
          <w:szCs w:val="22"/>
        </w:rPr>
        <w:t>k u p u j í c í")</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1002932027</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Jihomoravský kraj se sídlem v Brně, Katastrální pracoviště Znojmo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462/1</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462/4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3021</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3022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9152/2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Hostěradice</w:t>
      </w:r>
      <w:proofErr w:type="spellEnd"/>
      <w:r w:rsidRPr="00BA0CC9">
        <w:rPr>
          <w:rFonts w:ascii="Arial" w:hAnsi="Arial" w:cs="Arial"/>
          <w:sz w:val="18"/>
          <w:szCs w:val="18"/>
        </w:rPr>
        <w:t xml:space="preserve"> na Moravě</w:t>
      </w:r>
      <w:r w:rsidRPr="00BA0CC9">
        <w:rPr>
          <w:rFonts w:ascii="Arial" w:hAnsi="Arial" w:cs="Arial"/>
          <w:sz w:val="18"/>
          <w:szCs w:val="18"/>
        </w:rPr>
        <w:tab/>
        <w:t>9202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409</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416</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420</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stavební</w:t>
      </w:r>
      <w:proofErr w:type="gramEnd"/>
    </w:p>
    <w:p w:rsidR="00136D24"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433</w:t>
      </w:r>
      <w:r w:rsidRPr="00BA0CC9">
        <w:rPr>
          <w:rFonts w:ascii="Arial" w:hAnsi="Arial" w:cs="Arial"/>
          <w:sz w:val="18"/>
          <w:szCs w:val="18"/>
        </w:rPr>
        <w:tab/>
        <w:t>zastavěná plocha a nádvoří</w:t>
      </w:r>
    </w:p>
    <w:p w:rsidR="00082E21" w:rsidRDefault="00082E21">
      <w:pPr>
        <w:pStyle w:val="obec1"/>
        <w:widowControl/>
        <w:rPr>
          <w:rFonts w:ascii="Arial" w:hAnsi="Arial" w:cs="Arial"/>
          <w:sz w:val="18"/>
          <w:szCs w:val="18"/>
        </w:rPr>
      </w:pPr>
    </w:p>
    <w:p w:rsidR="00082E21" w:rsidRDefault="00082E21" w:rsidP="00082E21">
      <w:pPr>
        <w:pStyle w:val="obec1"/>
        <w:widowControl/>
        <w:rPr>
          <w:rFonts w:ascii="Arial" w:hAnsi="Arial" w:cs="Arial"/>
          <w:sz w:val="18"/>
          <w:szCs w:val="18"/>
        </w:rPr>
      </w:pPr>
      <w:r>
        <w:rPr>
          <w:rFonts w:ascii="Arial" w:hAnsi="Arial" w:cs="Arial"/>
          <w:sz w:val="18"/>
          <w:szCs w:val="18"/>
        </w:rPr>
        <w:lastRenderedPageBreak/>
        <w:t xml:space="preserve">Katastr </w:t>
      </w:r>
      <w:proofErr w:type="gramStart"/>
      <w:r>
        <w:rPr>
          <w:rFonts w:ascii="Arial" w:hAnsi="Arial" w:cs="Arial"/>
          <w:sz w:val="18"/>
          <w:szCs w:val="18"/>
        </w:rPr>
        <w:t>nemovitostí - stavební</w:t>
      </w:r>
      <w:proofErr w:type="gramEnd"/>
    </w:p>
    <w:p w:rsidR="00082E21" w:rsidRPr="00BA0CC9" w:rsidRDefault="00082E21" w:rsidP="00082E21">
      <w:pPr>
        <w:pStyle w:val="obec1"/>
        <w:widowControl/>
        <w:rPr>
          <w:rFonts w:ascii="Arial" w:hAnsi="Arial" w:cs="Arial"/>
          <w:sz w:val="18"/>
          <w:szCs w:val="18"/>
        </w:rPr>
      </w:pPr>
      <w:r>
        <w:rPr>
          <w:rFonts w:ascii="Arial" w:hAnsi="Arial" w:cs="Arial"/>
          <w:sz w:val="18"/>
          <w:szCs w:val="18"/>
        </w:rPr>
        <w:t>Hostěradice</w:t>
      </w:r>
      <w:r>
        <w:rPr>
          <w:rFonts w:ascii="Arial" w:hAnsi="Arial" w:cs="Arial"/>
          <w:sz w:val="18"/>
          <w:szCs w:val="18"/>
        </w:rPr>
        <w:tab/>
      </w:r>
      <w:proofErr w:type="spellStart"/>
      <w:r>
        <w:rPr>
          <w:rFonts w:ascii="Arial" w:hAnsi="Arial" w:cs="Arial"/>
          <w:sz w:val="18"/>
          <w:szCs w:val="18"/>
        </w:rPr>
        <w:t>Míšovice</w:t>
      </w:r>
      <w:proofErr w:type="spellEnd"/>
      <w:r>
        <w:rPr>
          <w:rFonts w:ascii="Arial" w:hAnsi="Arial" w:cs="Arial"/>
          <w:sz w:val="18"/>
          <w:szCs w:val="18"/>
        </w:rPr>
        <w:tab/>
        <w:t>451</w:t>
      </w:r>
      <w:r>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6827</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6829</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6831</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6832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6842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6861</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6862</w:t>
      </w:r>
      <w:r w:rsidRPr="00BA0CC9">
        <w:rPr>
          <w:rFonts w:ascii="Arial" w:hAnsi="Arial" w:cs="Arial"/>
          <w:sz w:val="18"/>
          <w:szCs w:val="18"/>
        </w:rPr>
        <w:tab/>
        <w:t>orná půda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6883</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7182</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rsidR="00136D24" w:rsidRPr="00BA0CC9" w:rsidRDefault="00136D24">
      <w:pPr>
        <w:pStyle w:val="obec1"/>
        <w:widowControl/>
        <w:rPr>
          <w:rFonts w:ascii="Arial" w:hAnsi="Arial" w:cs="Arial"/>
          <w:sz w:val="18"/>
          <w:szCs w:val="18"/>
        </w:rPr>
      </w:pPr>
      <w:r w:rsidRPr="00BA0CC9">
        <w:rPr>
          <w:rFonts w:ascii="Arial" w:hAnsi="Arial" w:cs="Arial"/>
          <w:sz w:val="18"/>
          <w:szCs w:val="18"/>
        </w:rPr>
        <w:t>Hostěradice</w:t>
      </w:r>
      <w:r w:rsidRPr="00BA0CC9">
        <w:rPr>
          <w:rFonts w:ascii="Arial" w:hAnsi="Arial" w:cs="Arial"/>
          <w:sz w:val="18"/>
          <w:szCs w:val="18"/>
        </w:rPr>
        <w:tab/>
      </w:r>
      <w:proofErr w:type="spellStart"/>
      <w:r w:rsidRPr="00BA0CC9">
        <w:rPr>
          <w:rFonts w:ascii="Arial" w:hAnsi="Arial" w:cs="Arial"/>
          <w:sz w:val="18"/>
          <w:szCs w:val="18"/>
        </w:rPr>
        <w:t>Míšovice</w:t>
      </w:r>
      <w:proofErr w:type="spellEnd"/>
      <w:r w:rsidRPr="00BA0CC9">
        <w:rPr>
          <w:rFonts w:ascii="Arial" w:hAnsi="Arial" w:cs="Arial"/>
          <w:sz w:val="18"/>
          <w:szCs w:val="18"/>
        </w:rPr>
        <w:tab/>
        <w:t>7184</w:t>
      </w:r>
      <w:r w:rsidRPr="00BA0CC9">
        <w:rPr>
          <w:rFonts w:ascii="Arial" w:hAnsi="Arial" w:cs="Arial"/>
          <w:sz w:val="18"/>
          <w:szCs w:val="18"/>
        </w:rPr>
        <w:tab/>
        <w:t>ostatní plocha</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DD22E5">
        <w:rPr>
          <w:rFonts w:ascii="Arial" w:hAnsi="Arial" w:cs="Arial"/>
          <w:sz w:val="22"/>
          <w:szCs w:val="22"/>
        </w:rPr>
        <w:t>§10</w:t>
      </w:r>
      <w:r w:rsidR="00437B7C">
        <w:rPr>
          <w:rFonts w:ascii="Arial" w:hAnsi="Arial" w:cs="Arial"/>
          <w:sz w:val="22"/>
          <w:szCs w:val="22"/>
        </w:rPr>
        <w:t>,</w:t>
      </w:r>
      <w:r w:rsidR="00C5472C">
        <w:rPr>
          <w:rFonts w:ascii="Arial" w:hAnsi="Arial" w:cs="Arial"/>
          <w:sz w:val="22"/>
          <w:szCs w:val="22"/>
        </w:rPr>
        <w:t xml:space="preserve"> odst. 3,4</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w:t>
      </w:r>
      <w:proofErr w:type="gramStart"/>
      <w:r w:rsidRPr="00BA0CC9">
        <w:rPr>
          <w:rFonts w:ascii="Arial" w:hAnsi="Arial" w:cs="Arial"/>
          <w:sz w:val="22"/>
          <w:szCs w:val="22"/>
        </w:rPr>
        <w:t>stavu</w:t>
      </w:r>
      <w:proofErr w:type="gramEnd"/>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IV.</w:t>
      </w:r>
    </w:p>
    <w:p w:rsidR="003237EF"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4A0" w:firstRow="1" w:lastRow="0" w:firstColumn="1" w:lastColumn="0" w:noHBand="0" w:noVBand="1"/>
      </w:tblPr>
      <w:tblGrid>
        <w:gridCol w:w="3095"/>
        <w:gridCol w:w="3096"/>
        <w:gridCol w:w="3096"/>
      </w:tblGrid>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Katastrální</w:t>
            </w:r>
          </w:p>
          <w:p w:rsidR="00774175" w:rsidRDefault="00774175">
            <w:pPr>
              <w:widowControl/>
              <w:spacing w:line="276" w:lineRule="auto"/>
              <w:jc w:val="center"/>
              <w:rPr>
                <w:rFonts w:ascii="Arial" w:hAnsi="Arial" w:cs="Arial"/>
                <w:sz w:val="18"/>
                <w:szCs w:val="18"/>
              </w:rPr>
            </w:pPr>
            <w:r>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Parc.č</w:t>
            </w:r>
            <w:proofErr w:type="spellEnd"/>
            <w:r>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Kupní cena</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462/1</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109 700,00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462/4</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192 700,00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3021</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197 100,00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3022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242 200,00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9152/2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155 800,00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Hostěradice na Moravě</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9202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540 000,00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409</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221 800,00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416</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53 020,00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420</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1 980,00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433</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68 640,00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451</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31 460,00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6827</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517 000,00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6829</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433 600,00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6831</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188 800,00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6832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113 700,00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lastRenderedPageBreak/>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6842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878 200,00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6861</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1 172 000,00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6862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772 600,00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6883</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845 200,00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7182</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5 280,00 Kč</w:t>
            </w:r>
          </w:p>
        </w:tc>
      </w:tr>
      <w:tr w:rsidR="00774175" w:rsidTr="00774175">
        <w:tc>
          <w:tcPr>
            <w:tcW w:w="3095"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proofErr w:type="spellStart"/>
            <w:r>
              <w:rPr>
                <w:rFonts w:ascii="Arial" w:hAnsi="Arial" w:cs="Arial"/>
                <w:sz w:val="18"/>
                <w:szCs w:val="18"/>
              </w:rPr>
              <w:t>Míšovice</w:t>
            </w:r>
            <w:proofErr w:type="spellEnd"/>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7184</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96 580,00 Kč</w:t>
            </w:r>
          </w:p>
        </w:tc>
      </w:tr>
    </w:tbl>
    <w:p w:rsidR="00594B0E" w:rsidRDefault="00594B0E">
      <w:pPr>
        <w:widowControl/>
        <w:tabs>
          <w:tab w:val="left" w:pos="426"/>
        </w:tabs>
        <w:rPr>
          <w:rFonts w:ascii="Arial" w:hAnsi="Arial" w:cs="Arial"/>
          <w:sz w:val="22"/>
          <w:szCs w:val="22"/>
        </w:rPr>
      </w:pPr>
    </w:p>
    <w:tbl>
      <w:tblPr>
        <w:tblW w:w="0" w:type="auto"/>
        <w:tblLayout w:type="fixed"/>
        <w:tblLook w:val="04A0" w:firstRow="1" w:lastRow="0" w:firstColumn="1" w:lastColumn="0" w:noHBand="0" w:noVBand="1"/>
      </w:tblPr>
      <w:tblGrid>
        <w:gridCol w:w="6191"/>
        <w:gridCol w:w="3096"/>
      </w:tblGrid>
      <w:tr w:rsidR="00774175" w:rsidTr="00774175">
        <w:tc>
          <w:tcPr>
            <w:tcW w:w="6191"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hideMark/>
          </w:tcPr>
          <w:p w:rsidR="00774175" w:rsidRDefault="00774175">
            <w:pPr>
              <w:widowControl/>
              <w:spacing w:line="276" w:lineRule="auto"/>
              <w:jc w:val="center"/>
              <w:rPr>
                <w:rFonts w:ascii="Arial" w:hAnsi="Arial" w:cs="Arial"/>
                <w:sz w:val="18"/>
                <w:szCs w:val="18"/>
              </w:rPr>
            </w:pPr>
            <w:r>
              <w:rPr>
                <w:rFonts w:ascii="Arial" w:hAnsi="Arial" w:cs="Arial"/>
                <w:sz w:val="18"/>
                <w:szCs w:val="18"/>
              </w:rPr>
              <w:t>6 837 360,00 Kč</w:t>
            </w:r>
          </w:p>
        </w:tc>
      </w:tr>
    </w:tbl>
    <w:p w:rsidR="00774175" w:rsidRDefault="00774175">
      <w:pPr>
        <w:widowControl/>
        <w:tabs>
          <w:tab w:val="left" w:pos="426"/>
        </w:tabs>
        <w:rPr>
          <w:rFonts w:ascii="Arial" w:hAnsi="Arial" w:cs="Arial"/>
          <w:sz w:val="22"/>
          <w:szCs w:val="22"/>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2906EC" w:rsidRDefault="002906EC">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2)  Užívací vztah k prodávaným pozemkům: </w:t>
      </w:r>
    </w:p>
    <w:p w:rsidR="00136D24" w:rsidRPr="00BA0CC9" w:rsidRDefault="00136D24" w:rsidP="00B02B9D">
      <w:pPr>
        <w:pStyle w:val="vnitrniText"/>
        <w:widowControl/>
        <w:ind w:firstLine="0"/>
        <w:rPr>
          <w:rFonts w:ascii="Arial" w:hAnsi="Arial" w:cs="Arial"/>
          <w:sz w:val="22"/>
          <w:szCs w:val="22"/>
        </w:rPr>
      </w:pPr>
      <w:r w:rsidRPr="00BA0CC9">
        <w:rPr>
          <w:rFonts w:ascii="Arial" w:hAnsi="Arial" w:cs="Arial"/>
          <w:sz w:val="22"/>
          <w:szCs w:val="22"/>
        </w:rPr>
        <w:t xml:space="preserve">Hostěradice na Moravě KN st. 462/1, Hostěradice na Moravě KN st. 462/4, Hostěradice na Moravě KN 3021, Hostěradice na Moravě KN 3022, Hostěradice na Moravě KN 9152/2, </w:t>
      </w:r>
    </w:p>
    <w:p w:rsidR="00136D24" w:rsidRPr="00BA0CC9" w:rsidRDefault="00136D24" w:rsidP="00B02B9D">
      <w:pPr>
        <w:pStyle w:val="vnitrniText"/>
        <w:widowControl/>
        <w:ind w:firstLine="0"/>
        <w:rPr>
          <w:rFonts w:ascii="Arial" w:hAnsi="Arial" w:cs="Arial"/>
          <w:sz w:val="22"/>
          <w:szCs w:val="22"/>
        </w:rPr>
      </w:pPr>
      <w:r w:rsidRPr="00BA0CC9">
        <w:rPr>
          <w:rFonts w:ascii="Arial" w:hAnsi="Arial" w:cs="Arial"/>
          <w:sz w:val="22"/>
          <w:szCs w:val="22"/>
        </w:rPr>
        <w:t xml:space="preserve">Hostěradice na Moravě KN 9202,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st. 409,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st. 416,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st. 420,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st. 433,</w:t>
      </w:r>
      <w:r w:rsidR="00C55E9F">
        <w:rPr>
          <w:rFonts w:ascii="Arial" w:hAnsi="Arial" w:cs="Arial"/>
          <w:sz w:val="22"/>
          <w:szCs w:val="22"/>
        </w:rPr>
        <w:t xml:space="preserve">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7182, </w:t>
      </w: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7184 je řešen nájemní smlouvou č. 338N16/27, kterou se Státním pozemkovým úřadem uzavřel </w:t>
      </w:r>
      <w:proofErr w:type="spellStart"/>
      <w:r w:rsidRPr="00BA0CC9">
        <w:rPr>
          <w:rFonts w:ascii="Arial" w:hAnsi="Arial" w:cs="Arial"/>
          <w:sz w:val="22"/>
          <w:szCs w:val="22"/>
        </w:rPr>
        <w:t>Zea</w:t>
      </w:r>
      <w:proofErr w:type="spellEnd"/>
      <w:r w:rsidRPr="00BA0CC9">
        <w:rPr>
          <w:rFonts w:ascii="Arial" w:hAnsi="Arial" w:cs="Arial"/>
          <w:sz w:val="22"/>
          <w:szCs w:val="22"/>
        </w:rPr>
        <w:t>, a.s., jakožto nájemce. S obsahem nájemní smlouvy byl kupující seznámen před podpisem této smlouvy, což stvrzuje svým podpisem.</w:t>
      </w:r>
    </w:p>
    <w:p w:rsidR="00B02B9D"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rsidR="00136D24" w:rsidRPr="00BA0CC9" w:rsidRDefault="008F42AA">
      <w:pPr>
        <w:pStyle w:val="vnitrniText"/>
        <w:widowControl/>
        <w:rPr>
          <w:rFonts w:ascii="Arial" w:hAnsi="Arial" w:cs="Arial"/>
          <w:sz w:val="22"/>
          <w:szCs w:val="22"/>
        </w:rPr>
      </w:pPr>
      <w:proofErr w:type="spellStart"/>
      <w:r w:rsidRPr="00BA0CC9">
        <w:rPr>
          <w:rFonts w:ascii="Arial" w:hAnsi="Arial" w:cs="Arial"/>
          <w:sz w:val="22"/>
          <w:szCs w:val="22"/>
        </w:rPr>
        <w:t>Míšovice</w:t>
      </w:r>
      <w:proofErr w:type="spellEnd"/>
      <w:r w:rsidRPr="00BA0CC9">
        <w:rPr>
          <w:rFonts w:ascii="Arial" w:hAnsi="Arial" w:cs="Arial"/>
          <w:sz w:val="22"/>
          <w:szCs w:val="22"/>
        </w:rPr>
        <w:t xml:space="preserve"> KN st. 4</w:t>
      </w:r>
      <w:r>
        <w:rPr>
          <w:rFonts w:ascii="Arial" w:hAnsi="Arial" w:cs="Arial"/>
          <w:sz w:val="22"/>
          <w:szCs w:val="22"/>
        </w:rPr>
        <w:t xml:space="preserve">51,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6827,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6829,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6831,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6832,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6842,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6861,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6862, </w:t>
      </w:r>
      <w:proofErr w:type="spellStart"/>
      <w:r w:rsidR="00136D24" w:rsidRPr="00BA0CC9">
        <w:rPr>
          <w:rFonts w:ascii="Arial" w:hAnsi="Arial" w:cs="Arial"/>
          <w:sz w:val="22"/>
          <w:szCs w:val="22"/>
        </w:rPr>
        <w:t>Míšovice</w:t>
      </w:r>
      <w:proofErr w:type="spellEnd"/>
      <w:r w:rsidR="00136D24" w:rsidRPr="00BA0CC9">
        <w:rPr>
          <w:rFonts w:ascii="Arial" w:hAnsi="Arial" w:cs="Arial"/>
          <w:sz w:val="22"/>
          <w:szCs w:val="22"/>
        </w:rPr>
        <w:t xml:space="preserve"> KN 6883 je řešen pachtovní smlouvou č. 94N19/27, kterou se Státním pozemkovým úřadem uzavřel </w:t>
      </w:r>
      <w:proofErr w:type="spellStart"/>
      <w:r w:rsidR="00136D24" w:rsidRPr="00BA0CC9">
        <w:rPr>
          <w:rFonts w:ascii="Arial" w:hAnsi="Arial" w:cs="Arial"/>
          <w:sz w:val="22"/>
          <w:szCs w:val="22"/>
        </w:rPr>
        <w:t>Zea</w:t>
      </w:r>
      <w:proofErr w:type="spellEnd"/>
      <w:r w:rsidR="00136D24" w:rsidRPr="00BA0CC9">
        <w:rPr>
          <w:rFonts w:ascii="Arial" w:hAnsi="Arial" w:cs="Arial"/>
          <w:sz w:val="22"/>
          <w:szCs w:val="22"/>
        </w:rPr>
        <w:t>, a.s., jakožto pachtýř. S obsahem pachtovní smlouvy byl kupující seznámen před podpisem této smlouvy, což stvrzuje svým podpisem.</w:t>
      </w: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w:t>
      </w:r>
      <w:r w:rsidR="00107D52" w:rsidRPr="00107D52">
        <w:rPr>
          <w:rFonts w:ascii="Arial" w:hAnsi="Arial" w:cs="Arial"/>
          <w:sz w:val="22"/>
          <w:szCs w:val="22"/>
        </w:rPr>
        <w:lastRenderedPageBreak/>
        <w:t>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E85DC1"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rsidR="00562C72" w:rsidRPr="00BA0CC9" w:rsidRDefault="00562C72">
      <w:pPr>
        <w:widowControl/>
        <w:ind w:firstLine="426"/>
        <w:jc w:val="both"/>
        <w:rPr>
          <w:rFonts w:ascii="Arial" w:hAnsi="Arial" w:cs="Arial"/>
          <w:sz w:val="22"/>
          <w:szCs w:val="22"/>
        </w:rPr>
      </w:pPr>
      <w:r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V Brně dne</w:t>
      </w:r>
      <w:r w:rsidR="004D6DD3">
        <w:rPr>
          <w:rFonts w:ascii="Arial" w:hAnsi="Arial" w:cs="Arial"/>
          <w:sz w:val="22"/>
          <w:szCs w:val="22"/>
        </w:rPr>
        <w:t xml:space="preserve"> 16.3.2020</w:t>
      </w:r>
      <w:r w:rsidRPr="00BA0CC9">
        <w:rPr>
          <w:rFonts w:ascii="Arial" w:hAnsi="Arial" w:cs="Arial"/>
          <w:sz w:val="22"/>
          <w:szCs w:val="22"/>
        </w:rPr>
        <w:tab/>
        <w:t xml:space="preserve">V </w:t>
      </w:r>
      <w:r w:rsidR="004D6DD3">
        <w:rPr>
          <w:rFonts w:ascii="Arial" w:hAnsi="Arial" w:cs="Arial"/>
          <w:sz w:val="22"/>
          <w:szCs w:val="22"/>
        </w:rPr>
        <w:t>Hostěradicích</w:t>
      </w:r>
      <w:r w:rsidRPr="00BA0CC9">
        <w:rPr>
          <w:rFonts w:ascii="Arial" w:hAnsi="Arial" w:cs="Arial"/>
          <w:sz w:val="22"/>
          <w:szCs w:val="22"/>
        </w:rPr>
        <w:t xml:space="preserve"> dne .</w:t>
      </w:r>
      <w:r w:rsidR="004D6DD3">
        <w:rPr>
          <w:rFonts w:ascii="Arial" w:hAnsi="Arial" w:cs="Arial"/>
          <w:sz w:val="22"/>
          <w:szCs w:val="22"/>
        </w:rPr>
        <w:t>16.3.2020</w:t>
      </w:r>
      <w:bookmarkStart w:id="0" w:name="_GoBack"/>
      <w:bookmarkEnd w:id="0"/>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proofErr w:type="spellStart"/>
      <w:r w:rsidRPr="00BA0CC9">
        <w:rPr>
          <w:rFonts w:ascii="Arial" w:hAnsi="Arial" w:cs="Arial"/>
          <w:sz w:val="22"/>
          <w:szCs w:val="22"/>
        </w:rPr>
        <w:t>Zea</w:t>
      </w:r>
      <w:proofErr w:type="spellEnd"/>
      <w:r w:rsidRPr="00BA0CC9">
        <w:rPr>
          <w:rFonts w:ascii="Arial" w:hAnsi="Arial" w:cs="Arial"/>
          <w:sz w:val="22"/>
          <w:szCs w:val="22"/>
        </w:rPr>
        <w:t>, a.s.</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proofErr w:type="spellStart"/>
      <w:r w:rsidRPr="00BA0CC9">
        <w:rPr>
          <w:rFonts w:ascii="Arial" w:hAnsi="Arial" w:cs="Arial"/>
          <w:sz w:val="22"/>
          <w:szCs w:val="22"/>
        </w:rPr>
        <w:t>zast</w:t>
      </w:r>
      <w:proofErr w:type="spellEnd"/>
      <w:r w:rsidRPr="00BA0CC9">
        <w:rPr>
          <w:rFonts w:ascii="Arial" w:hAnsi="Arial" w:cs="Arial"/>
          <w:sz w:val="22"/>
          <w:szCs w:val="22"/>
        </w:rPr>
        <w:t>. předseda představenstva Pevný Jiří, Ing.</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Jihomoravský kraj</w:t>
      </w:r>
      <w:r w:rsidRPr="00BA0CC9">
        <w:rPr>
          <w:rFonts w:ascii="Arial" w:hAnsi="Arial" w:cs="Arial"/>
          <w:sz w:val="22"/>
          <w:szCs w:val="22"/>
        </w:rPr>
        <w:tab/>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Renata Číhalová</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3486827, 5075727, 4019927, 4020027, 3404127, 6197927, 5806927, 5807027, 5807127, 5807427, 5813627, 5813827, 5814027, 5814127, 5814327, 5814427, 5814527, 5814827, 6404727, 6404627</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Jihomoravský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JUDr. Jarmila Báčová</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Ing. Martin Berka</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4B4" w:rsidRDefault="00E544B4">
      <w:r>
        <w:separator/>
      </w:r>
    </w:p>
  </w:endnote>
  <w:endnote w:type="continuationSeparator" w:id="0">
    <w:p w:rsidR="00E544B4" w:rsidRDefault="00E5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4B4" w:rsidRDefault="00E544B4">
      <w:r>
        <w:separator/>
      </w:r>
    </w:p>
  </w:footnote>
  <w:footnote w:type="continuationSeparator" w:id="0">
    <w:p w:rsidR="00E544B4" w:rsidRDefault="00E54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82E21"/>
    <w:rsid w:val="000B1BBF"/>
    <w:rsid w:val="000B4F47"/>
    <w:rsid w:val="000C15E5"/>
    <w:rsid w:val="000D38CD"/>
    <w:rsid w:val="000F22E7"/>
    <w:rsid w:val="0010217E"/>
    <w:rsid w:val="00107D52"/>
    <w:rsid w:val="00110AFC"/>
    <w:rsid w:val="00136D24"/>
    <w:rsid w:val="0019035F"/>
    <w:rsid w:val="002055A2"/>
    <w:rsid w:val="002115AE"/>
    <w:rsid w:val="00224A79"/>
    <w:rsid w:val="002273B1"/>
    <w:rsid w:val="002359DB"/>
    <w:rsid w:val="002605CC"/>
    <w:rsid w:val="002750DE"/>
    <w:rsid w:val="002906EC"/>
    <w:rsid w:val="003237EF"/>
    <w:rsid w:val="00371381"/>
    <w:rsid w:val="00371BEF"/>
    <w:rsid w:val="003B6AD2"/>
    <w:rsid w:val="003E522A"/>
    <w:rsid w:val="0043604A"/>
    <w:rsid w:val="00437B7C"/>
    <w:rsid w:val="00474106"/>
    <w:rsid w:val="00495B42"/>
    <w:rsid w:val="004D6DD3"/>
    <w:rsid w:val="00562C72"/>
    <w:rsid w:val="0056566C"/>
    <w:rsid w:val="0057519C"/>
    <w:rsid w:val="00594B0E"/>
    <w:rsid w:val="005A7486"/>
    <w:rsid w:val="005C47E0"/>
    <w:rsid w:val="00625710"/>
    <w:rsid w:val="00634F8F"/>
    <w:rsid w:val="006B26DB"/>
    <w:rsid w:val="007041C9"/>
    <w:rsid w:val="00722FCE"/>
    <w:rsid w:val="00724A2B"/>
    <w:rsid w:val="00732D29"/>
    <w:rsid w:val="00740FFB"/>
    <w:rsid w:val="00774175"/>
    <w:rsid w:val="007E3A0A"/>
    <w:rsid w:val="007F129E"/>
    <w:rsid w:val="007F4AFB"/>
    <w:rsid w:val="008058B7"/>
    <w:rsid w:val="0081111C"/>
    <w:rsid w:val="00822906"/>
    <w:rsid w:val="00831AF0"/>
    <w:rsid w:val="00881E28"/>
    <w:rsid w:val="008A5273"/>
    <w:rsid w:val="008C265A"/>
    <w:rsid w:val="008E7B7C"/>
    <w:rsid w:val="008F42AA"/>
    <w:rsid w:val="009C7561"/>
    <w:rsid w:val="009E770C"/>
    <w:rsid w:val="00A31C3B"/>
    <w:rsid w:val="00A31FE2"/>
    <w:rsid w:val="00A347D4"/>
    <w:rsid w:val="00A349C4"/>
    <w:rsid w:val="00A57686"/>
    <w:rsid w:val="00A723F9"/>
    <w:rsid w:val="00A75050"/>
    <w:rsid w:val="00A84EFA"/>
    <w:rsid w:val="00A97C81"/>
    <w:rsid w:val="00B02B9D"/>
    <w:rsid w:val="00B078C0"/>
    <w:rsid w:val="00B201D6"/>
    <w:rsid w:val="00B32B99"/>
    <w:rsid w:val="00B56780"/>
    <w:rsid w:val="00BA0CC9"/>
    <w:rsid w:val="00C02AD1"/>
    <w:rsid w:val="00C06373"/>
    <w:rsid w:val="00C5472C"/>
    <w:rsid w:val="00C55E9F"/>
    <w:rsid w:val="00C70A46"/>
    <w:rsid w:val="00C91811"/>
    <w:rsid w:val="00C9419D"/>
    <w:rsid w:val="00CD75A6"/>
    <w:rsid w:val="00CF3A15"/>
    <w:rsid w:val="00D63429"/>
    <w:rsid w:val="00D65B9D"/>
    <w:rsid w:val="00DD22E5"/>
    <w:rsid w:val="00DF7F8F"/>
    <w:rsid w:val="00E544B4"/>
    <w:rsid w:val="00E66585"/>
    <w:rsid w:val="00E85DC1"/>
    <w:rsid w:val="00E904A2"/>
    <w:rsid w:val="00EC3E05"/>
    <w:rsid w:val="00F357C4"/>
    <w:rsid w:val="00F42986"/>
    <w:rsid w:val="00F56819"/>
    <w:rsid w:val="00F629A0"/>
    <w:rsid w:val="00FA7A96"/>
    <w:rsid w:val="00FC2127"/>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578226"/>
  <w14:defaultImageDpi w14:val="0"/>
  <w15:docId w15:val="{94875D17-169E-4373-80B2-6946157D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5166">
      <w:bodyDiv w:val="1"/>
      <w:marLeft w:val="0"/>
      <w:marRight w:val="0"/>
      <w:marTop w:val="0"/>
      <w:marBottom w:val="0"/>
      <w:divBdr>
        <w:top w:val="none" w:sz="0" w:space="0" w:color="auto"/>
        <w:left w:val="none" w:sz="0" w:space="0" w:color="auto"/>
        <w:bottom w:val="none" w:sz="0" w:space="0" w:color="auto"/>
        <w:right w:val="none" w:sz="0" w:space="0" w:color="auto"/>
      </w:divBdr>
    </w:div>
    <w:div w:id="253438961">
      <w:bodyDiv w:val="1"/>
      <w:marLeft w:val="0"/>
      <w:marRight w:val="0"/>
      <w:marTop w:val="0"/>
      <w:marBottom w:val="0"/>
      <w:divBdr>
        <w:top w:val="none" w:sz="0" w:space="0" w:color="auto"/>
        <w:left w:val="none" w:sz="0" w:space="0" w:color="auto"/>
        <w:bottom w:val="none" w:sz="0" w:space="0" w:color="auto"/>
        <w:right w:val="none" w:sz="0" w:space="0" w:color="auto"/>
      </w:divBdr>
    </w:div>
    <w:div w:id="575894267">
      <w:bodyDiv w:val="1"/>
      <w:marLeft w:val="0"/>
      <w:marRight w:val="0"/>
      <w:marTop w:val="0"/>
      <w:marBottom w:val="0"/>
      <w:divBdr>
        <w:top w:val="none" w:sz="0" w:space="0" w:color="auto"/>
        <w:left w:val="none" w:sz="0" w:space="0" w:color="auto"/>
        <w:bottom w:val="none" w:sz="0" w:space="0" w:color="auto"/>
        <w:right w:val="none" w:sz="0" w:space="0" w:color="auto"/>
      </w:divBdr>
    </w:div>
    <w:div w:id="1464882225">
      <w:bodyDiv w:val="1"/>
      <w:marLeft w:val="0"/>
      <w:marRight w:val="0"/>
      <w:marTop w:val="0"/>
      <w:marBottom w:val="0"/>
      <w:divBdr>
        <w:top w:val="none" w:sz="0" w:space="0" w:color="auto"/>
        <w:left w:val="none" w:sz="0" w:space="0" w:color="auto"/>
        <w:bottom w:val="none" w:sz="0" w:space="0" w:color="auto"/>
        <w:right w:val="none" w:sz="0" w:space="0" w:color="auto"/>
      </w:divBdr>
    </w:div>
    <w:div w:id="1552840942">
      <w:marLeft w:val="0"/>
      <w:marRight w:val="0"/>
      <w:marTop w:val="0"/>
      <w:marBottom w:val="0"/>
      <w:divBdr>
        <w:top w:val="none" w:sz="0" w:space="0" w:color="auto"/>
        <w:left w:val="none" w:sz="0" w:space="0" w:color="auto"/>
        <w:bottom w:val="none" w:sz="0" w:space="0" w:color="auto"/>
        <w:right w:val="none" w:sz="0" w:space="0" w:color="auto"/>
      </w:divBdr>
    </w:div>
    <w:div w:id="1552840943">
      <w:marLeft w:val="0"/>
      <w:marRight w:val="0"/>
      <w:marTop w:val="0"/>
      <w:marBottom w:val="0"/>
      <w:divBdr>
        <w:top w:val="none" w:sz="0" w:space="0" w:color="auto"/>
        <w:left w:val="none" w:sz="0" w:space="0" w:color="auto"/>
        <w:bottom w:val="none" w:sz="0" w:space="0" w:color="auto"/>
        <w:right w:val="none" w:sz="0" w:space="0" w:color="auto"/>
      </w:divBdr>
    </w:div>
    <w:div w:id="1552840944">
      <w:marLeft w:val="0"/>
      <w:marRight w:val="0"/>
      <w:marTop w:val="0"/>
      <w:marBottom w:val="0"/>
      <w:divBdr>
        <w:top w:val="none" w:sz="0" w:space="0" w:color="auto"/>
        <w:left w:val="none" w:sz="0" w:space="0" w:color="auto"/>
        <w:bottom w:val="none" w:sz="0" w:space="0" w:color="auto"/>
        <w:right w:val="none" w:sz="0" w:space="0" w:color="auto"/>
      </w:divBdr>
    </w:div>
    <w:div w:id="1552840945">
      <w:marLeft w:val="0"/>
      <w:marRight w:val="0"/>
      <w:marTop w:val="0"/>
      <w:marBottom w:val="0"/>
      <w:divBdr>
        <w:top w:val="none" w:sz="0" w:space="0" w:color="auto"/>
        <w:left w:val="none" w:sz="0" w:space="0" w:color="auto"/>
        <w:bottom w:val="none" w:sz="0" w:space="0" w:color="auto"/>
        <w:right w:val="none" w:sz="0" w:space="0" w:color="auto"/>
      </w:divBdr>
    </w:div>
    <w:div w:id="1552840946">
      <w:marLeft w:val="0"/>
      <w:marRight w:val="0"/>
      <w:marTop w:val="0"/>
      <w:marBottom w:val="0"/>
      <w:divBdr>
        <w:top w:val="none" w:sz="0" w:space="0" w:color="auto"/>
        <w:left w:val="none" w:sz="0" w:space="0" w:color="auto"/>
        <w:bottom w:val="none" w:sz="0" w:space="0" w:color="auto"/>
        <w:right w:val="none" w:sz="0" w:space="0" w:color="auto"/>
      </w:divBdr>
    </w:div>
    <w:div w:id="1552840947">
      <w:marLeft w:val="0"/>
      <w:marRight w:val="0"/>
      <w:marTop w:val="0"/>
      <w:marBottom w:val="0"/>
      <w:divBdr>
        <w:top w:val="none" w:sz="0" w:space="0" w:color="auto"/>
        <w:left w:val="none" w:sz="0" w:space="0" w:color="auto"/>
        <w:bottom w:val="none" w:sz="0" w:space="0" w:color="auto"/>
        <w:right w:val="none" w:sz="0" w:space="0" w:color="auto"/>
      </w:divBdr>
    </w:div>
    <w:div w:id="1552840948">
      <w:marLeft w:val="0"/>
      <w:marRight w:val="0"/>
      <w:marTop w:val="0"/>
      <w:marBottom w:val="0"/>
      <w:divBdr>
        <w:top w:val="none" w:sz="0" w:space="0" w:color="auto"/>
        <w:left w:val="none" w:sz="0" w:space="0" w:color="auto"/>
        <w:bottom w:val="none" w:sz="0" w:space="0" w:color="auto"/>
        <w:right w:val="none" w:sz="0" w:space="0" w:color="auto"/>
      </w:divBdr>
    </w:div>
    <w:div w:id="20499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5</Pages>
  <Words>1509</Words>
  <Characters>9376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 Martin Ing.</dc:creator>
  <cp:keywords/>
  <dc:description/>
  <cp:lastModifiedBy>Berka Martin Ing.</cp:lastModifiedBy>
  <cp:revision>27</cp:revision>
  <cp:lastPrinted>2000-06-22T10:13:00Z</cp:lastPrinted>
  <dcterms:created xsi:type="dcterms:W3CDTF">2020-02-17T10:17:00Z</dcterms:created>
  <dcterms:modified xsi:type="dcterms:W3CDTF">2020-03-18T08:21:00Z</dcterms:modified>
</cp:coreProperties>
</file>