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6AE13" w14:textId="77777777" w:rsidR="002F3D76" w:rsidRPr="005F2B92" w:rsidRDefault="002F3D76" w:rsidP="002F3D76">
      <w:pPr>
        <w:keepNext/>
        <w:keepLines/>
        <w:jc w:val="center"/>
        <w:rPr>
          <w:b/>
          <w:caps/>
        </w:rPr>
      </w:pPr>
      <w:r w:rsidRPr="005F2B92">
        <w:rPr>
          <w:b/>
          <w:caps/>
        </w:rPr>
        <w:t xml:space="preserve">Dodatek č. 1 </w:t>
      </w:r>
    </w:p>
    <w:p w14:paraId="16F10538" w14:textId="77777777" w:rsidR="002F3D76" w:rsidRPr="00BE30BA" w:rsidRDefault="002F3D76" w:rsidP="002F3D76">
      <w:pPr>
        <w:keepNext/>
        <w:keepLines/>
        <w:jc w:val="center"/>
        <w:rPr>
          <w:i/>
          <w:sz w:val="20"/>
        </w:rPr>
      </w:pPr>
      <w:r>
        <w:rPr>
          <w:b/>
          <w:caps/>
        </w:rPr>
        <w:t xml:space="preserve">ke </w:t>
      </w:r>
      <w:r w:rsidRPr="00963B34">
        <w:rPr>
          <w:b/>
          <w:caps/>
        </w:rPr>
        <w:t>SMLOUV</w:t>
      </w:r>
      <w:r>
        <w:rPr>
          <w:b/>
          <w:caps/>
        </w:rPr>
        <w:t>ě</w:t>
      </w:r>
      <w:r w:rsidRPr="00963B34">
        <w:rPr>
          <w:b/>
          <w:caps/>
        </w:rPr>
        <w:t xml:space="preserve"> O POSKYTNUTÍ ÚČELOVÝCH FINANČNÍCH PROSTŘEDKŮ NA ŘEŠENÍ DÍLČÍHO PROJEKTU NÁRODNÍHO CENTRA KOMPETENCE PRO KYBERBEZPEČNOST</w:t>
      </w:r>
    </w:p>
    <w:p w14:paraId="3761E1A1" w14:textId="77777777" w:rsidR="002F3D76" w:rsidRPr="004E25C8" w:rsidRDefault="002F3D76" w:rsidP="002F3D76">
      <w:pPr>
        <w:pStyle w:val="Zhlav"/>
        <w:widowControl/>
        <w:tabs>
          <w:tab w:val="clear" w:pos="4536"/>
          <w:tab w:val="clear" w:pos="9072"/>
        </w:tabs>
        <w:rPr>
          <w:szCs w:val="24"/>
        </w:rPr>
      </w:pPr>
    </w:p>
    <w:p w14:paraId="41199E60" w14:textId="77777777" w:rsidR="002F3D76" w:rsidRPr="00C54AF3" w:rsidRDefault="002F3D76" w:rsidP="002F3D76">
      <w:pPr>
        <w:pStyle w:val="Zhlav"/>
        <w:widowControl/>
        <w:tabs>
          <w:tab w:val="clear" w:pos="4536"/>
          <w:tab w:val="clear" w:pos="9072"/>
        </w:tabs>
        <w:rPr>
          <w:sz w:val="24"/>
          <w:szCs w:val="24"/>
        </w:rPr>
      </w:pPr>
      <w:r w:rsidRPr="00C54AF3">
        <w:rPr>
          <w:sz w:val="24"/>
          <w:szCs w:val="24"/>
        </w:rPr>
        <w:t xml:space="preserve">Smluvní strany: </w:t>
      </w:r>
    </w:p>
    <w:p w14:paraId="0EDDAE42" w14:textId="77777777" w:rsidR="002F3D76" w:rsidRPr="004E25C8" w:rsidRDefault="002F3D76" w:rsidP="002F3D76">
      <w:pPr>
        <w:pStyle w:val="Zhlav"/>
        <w:widowControl/>
        <w:tabs>
          <w:tab w:val="clear" w:pos="4536"/>
          <w:tab w:val="clear" w:pos="9072"/>
        </w:tabs>
        <w:rPr>
          <w:szCs w:val="24"/>
        </w:rPr>
      </w:pPr>
    </w:p>
    <w:p w14:paraId="6972C43C" w14:textId="77777777" w:rsidR="002F3D76" w:rsidRPr="00F557BC" w:rsidRDefault="002F3D76" w:rsidP="002F3D76">
      <w:pPr>
        <w:rPr>
          <w:rFonts w:ascii="Roboto" w:eastAsia="Roboto" w:hAnsi="Roboto" w:cs="Roboto"/>
          <w:b/>
          <w:bCs/>
        </w:rPr>
      </w:pPr>
      <w:r w:rsidRPr="00F557BC">
        <w:rPr>
          <w:rFonts w:ascii="Roboto" w:eastAsia="Roboto" w:hAnsi="Roboto" w:cs="Roboto"/>
          <w:b/>
          <w:bCs/>
        </w:rPr>
        <w:t xml:space="preserve">Masarykova univerzita </w:t>
      </w:r>
    </w:p>
    <w:p w14:paraId="72DF1CB7" w14:textId="77777777" w:rsidR="002F3D76" w:rsidRDefault="002F3D76" w:rsidP="002F3D76">
      <w:pPr>
        <w:ind w:left="708"/>
        <w:jc w:val="left"/>
        <w:rPr>
          <w:rFonts w:ascii="Roboto" w:eastAsia="Roboto" w:hAnsi="Roboto" w:cs="Roboto"/>
        </w:rPr>
      </w:pPr>
      <w:r w:rsidRPr="00F557BC">
        <w:rPr>
          <w:rFonts w:ascii="Roboto" w:eastAsia="Roboto" w:hAnsi="Roboto" w:cs="Roboto"/>
        </w:rPr>
        <w:t>Sídlem: Žerotínovo náměstí 617</w:t>
      </w:r>
      <w:r>
        <w:rPr>
          <w:rFonts w:ascii="Roboto" w:eastAsia="Roboto" w:hAnsi="Roboto" w:cs="Roboto"/>
        </w:rPr>
        <w:t>/9, 601 77 Brno</w:t>
      </w:r>
      <w:r w:rsidRPr="00F557BC">
        <w:tab/>
      </w:r>
      <w:r w:rsidRPr="00F557BC">
        <w:br/>
      </w:r>
      <w:r w:rsidRPr="00F557BC">
        <w:rPr>
          <w:rFonts w:ascii="Roboto" w:eastAsia="Roboto" w:hAnsi="Roboto" w:cs="Roboto"/>
        </w:rPr>
        <w:t>IČ: 00216224</w:t>
      </w:r>
      <w:r w:rsidRPr="00F557BC">
        <w:tab/>
      </w:r>
      <w:r w:rsidRPr="00F557BC">
        <w:br/>
      </w:r>
      <w:r w:rsidRPr="00F557BC">
        <w:rPr>
          <w:rFonts w:ascii="Roboto" w:eastAsia="Roboto" w:hAnsi="Roboto" w:cs="Roboto"/>
        </w:rPr>
        <w:t>DIČ: CZ00216224</w:t>
      </w:r>
      <w:r w:rsidRPr="00F557BC">
        <w:tab/>
      </w:r>
      <w:r w:rsidRPr="00F557BC">
        <w:tab/>
      </w:r>
      <w:r w:rsidRPr="00F557BC">
        <w:br/>
      </w:r>
      <w:r w:rsidRPr="00F557BC">
        <w:rPr>
          <w:rFonts w:ascii="Roboto" w:eastAsia="Roboto" w:hAnsi="Roboto" w:cs="Roboto"/>
        </w:rPr>
        <w:t xml:space="preserve">Bankovní spojení: </w:t>
      </w:r>
      <w:r w:rsidRPr="00066EDB">
        <w:t>115-9664120217</w:t>
      </w:r>
      <w:r>
        <w:t xml:space="preserve">/0100, </w:t>
      </w:r>
      <w:r w:rsidRPr="00F557BC">
        <w:rPr>
          <w:rFonts w:ascii="Roboto" w:eastAsia="Roboto" w:hAnsi="Roboto" w:cs="Roboto"/>
        </w:rPr>
        <w:t>vedený u Komerční bank</w:t>
      </w:r>
      <w:r>
        <w:rPr>
          <w:rFonts w:ascii="Roboto" w:eastAsia="Roboto" w:hAnsi="Roboto" w:cs="Roboto"/>
        </w:rPr>
        <w:t>y</w:t>
      </w:r>
      <w:r w:rsidRPr="00F557BC">
        <w:rPr>
          <w:rFonts w:ascii="Roboto" w:eastAsia="Roboto" w:hAnsi="Roboto" w:cs="Roboto"/>
        </w:rPr>
        <w:t>, a.s.</w:t>
      </w:r>
      <w:r>
        <w:rPr>
          <w:rFonts w:ascii="Roboto" w:eastAsia="Roboto" w:hAnsi="Roboto" w:cs="Roboto"/>
        </w:rPr>
        <w:t xml:space="preserve"> </w:t>
      </w:r>
      <w:r w:rsidRPr="00F557BC">
        <w:br/>
      </w:r>
      <w:r>
        <w:rPr>
          <w:rFonts w:ascii="Roboto" w:eastAsia="Roboto" w:hAnsi="Roboto" w:cs="Roboto"/>
        </w:rPr>
        <w:t xml:space="preserve">Zastoupená: </w:t>
      </w:r>
      <w:r w:rsidRPr="001764F7">
        <w:rPr>
          <w:rFonts w:ascii="Roboto" w:eastAsia="Roboto" w:hAnsi="Roboto" w:cs="Roboto"/>
        </w:rPr>
        <w:t>prof. MUDr. Martin Bareš, Ph.D.</w:t>
      </w:r>
      <w:r w:rsidRPr="00F557BC">
        <w:rPr>
          <w:rFonts w:ascii="Roboto" w:eastAsia="Roboto" w:hAnsi="Roboto" w:cs="Roboto"/>
        </w:rPr>
        <w:t xml:space="preserve"> (rektor)</w:t>
      </w:r>
      <w:r>
        <w:rPr>
          <w:rFonts w:ascii="Roboto" w:eastAsia="Roboto" w:hAnsi="Roboto" w:cs="Roboto"/>
        </w:rPr>
        <w:t xml:space="preserve"> </w:t>
      </w:r>
    </w:p>
    <w:p w14:paraId="104FA75D" w14:textId="77777777" w:rsidR="000F1ED6" w:rsidRDefault="002F3D76" w:rsidP="002F3D76">
      <w:pPr>
        <w:ind w:left="708"/>
        <w:jc w:val="left"/>
        <w:rPr>
          <w:rFonts w:ascii="Roboto" w:eastAsia="Roboto" w:hAnsi="Roboto" w:cs="Roboto"/>
        </w:rPr>
      </w:pPr>
      <w:r w:rsidRPr="00F557BC">
        <w:rPr>
          <w:rFonts w:ascii="Roboto" w:eastAsia="Roboto" w:hAnsi="Roboto" w:cs="Roboto"/>
        </w:rPr>
        <w:t xml:space="preserve">Odpovědný zástupce: </w:t>
      </w:r>
      <w:r w:rsidR="000F1ED6">
        <w:rPr>
          <w:rFonts w:ascii="Roboto" w:eastAsia="Roboto" w:hAnsi="Roboto" w:cs="Roboto"/>
        </w:rPr>
        <w:t>XXXXXXXXXXXXX</w:t>
      </w:r>
    </w:p>
    <w:p w14:paraId="745DA066" w14:textId="5AD447D1" w:rsidR="002F3D76" w:rsidRPr="00F557BC" w:rsidRDefault="002F3D76" w:rsidP="002F3D76">
      <w:pPr>
        <w:ind w:left="708"/>
        <w:jc w:val="left"/>
        <w:rPr>
          <w:rFonts w:ascii="Roboto" w:eastAsia="Roboto" w:hAnsi="Roboto" w:cs="Roboto"/>
          <w:b/>
          <w:bCs/>
        </w:rPr>
      </w:pPr>
      <w:r w:rsidRPr="00F557BC">
        <w:rPr>
          <w:rFonts w:ascii="Roboto" w:eastAsia="Roboto" w:hAnsi="Roboto" w:cs="Roboto"/>
        </w:rPr>
        <w:t xml:space="preserve">dále též jako </w:t>
      </w:r>
      <w:r w:rsidRPr="00F557BC">
        <w:rPr>
          <w:rFonts w:ascii="Roboto" w:eastAsia="Roboto" w:hAnsi="Roboto" w:cs="Roboto"/>
          <w:b/>
          <w:bCs/>
        </w:rPr>
        <w:t>„</w:t>
      </w:r>
      <w:r>
        <w:rPr>
          <w:rFonts w:ascii="Roboto" w:eastAsia="Roboto" w:hAnsi="Roboto" w:cs="Roboto"/>
          <w:b/>
          <w:bCs/>
        </w:rPr>
        <w:t>poskytovatel</w:t>
      </w:r>
      <w:r w:rsidRPr="00F557BC">
        <w:rPr>
          <w:rFonts w:ascii="Roboto" w:eastAsia="Roboto" w:hAnsi="Roboto" w:cs="Roboto"/>
          <w:b/>
          <w:bCs/>
        </w:rPr>
        <w:t>“</w:t>
      </w:r>
    </w:p>
    <w:p w14:paraId="46DF5613" w14:textId="77777777" w:rsidR="002F3D76" w:rsidRDefault="002F3D76" w:rsidP="002F3D76">
      <w:pPr>
        <w:rPr>
          <w:rFonts w:ascii="Roboto" w:eastAsia="Roboto" w:hAnsi="Roboto" w:cs="Roboto"/>
          <w:b/>
          <w:bCs/>
        </w:rPr>
      </w:pPr>
    </w:p>
    <w:p w14:paraId="00F5FBD6" w14:textId="77777777" w:rsidR="002F3D76" w:rsidRPr="00B905EE" w:rsidRDefault="002F3D76" w:rsidP="002F3D76">
      <w:pPr>
        <w:rPr>
          <w:rFonts w:ascii="Roboto" w:eastAsia="Roboto" w:hAnsi="Roboto" w:cs="Roboto"/>
          <w:bCs/>
        </w:rPr>
      </w:pPr>
      <w:r w:rsidRPr="00B905EE">
        <w:rPr>
          <w:rFonts w:ascii="Roboto" w:eastAsia="Roboto" w:hAnsi="Roboto" w:cs="Roboto"/>
          <w:bCs/>
        </w:rPr>
        <w:t>a</w:t>
      </w:r>
    </w:p>
    <w:p w14:paraId="77CAE78D" w14:textId="77777777" w:rsidR="002F3D76" w:rsidRPr="00F557BC" w:rsidRDefault="002F3D76" w:rsidP="002F3D76">
      <w:pPr>
        <w:rPr>
          <w:rFonts w:ascii="Roboto" w:eastAsia="Roboto" w:hAnsi="Roboto" w:cs="Roboto"/>
          <w:b/>
          <w:bCs/>
        </w:rPr>
      </w:pPr>
      <w:r w:rsidRPr="00F557BC">
        <w:rPr>
          <w:rFonts w:ascii="Roboto" w:eastAsia="Roboto" w:hAnsi="Roboto" w:cs="Roboto"/>
          <w:b/>
          <w:bCs/>
        </w:rPr>
        <w:t>Vysoké učení technické v Brně</w:t>
      </w:r>
    </w:p>
    <w:p w14:paraId="3E220FE0" w14:textId="0BA2E3E3" w:rsidR="002F3D76" w:rsidRPr="00F557BC" w:rsidRDefault="002F3D76" w:rsidP="002F3D76">
      <w:pPr>
        <w:ind w:left="708"/>
        <w:jc w:val="left"/>
        <w:rPr>
          <w:rFonts w:ascii="Roboto" w:eastAsia="Roboto" w:hAnsi="Roboto" w:cs="Roboto"/>
          <w:b/>
          <w:bCs/>
        </w:rPr>
      </w:pPr>
      <w:r w:rsidRPr="00F557BC">
        <w:rPr>
          <w:rFonts w:ascii="Roboto" w:eastAsia="Roboto" w:hAnsi="Roboto" w:cs="Roboto"/>
        </w:rPr>
        <w:t>Sídlem: Antonínská 548</w:t>
      </w:r>
      <w:r>
        <w:rPr>
          <w:rFonts w:ascii="Roboto" w:eastAsia="Roboto" w:hAnsi="Roboto" w:cs="Roboto"/>
        </w:rPr>
        <w:t>/1, 601 90 Brno</w:t>
      </w:r>
      <w:r w:rsidRPr="005C5C1B">
        <w:rPr>
          <w:rFonts w:ascii="Roboto" w:eastAsia="Roboto" w:hAnsi="Roboto" w:cs="Roboto"/>
        </w:rPr>
        <w:tab/>
      </w:r>
      <w:r w:rsidRPr="005C5C1B">
        <w:rPr>
          <w:rFonts w:ascii="Roboto" w:eastAsia="Roboto" w:hAnsi="Roboto" w:cs="Roboto"/>
        </w:rPr>
        <w:br/>
      </w:r>
      <w:r w:rsidRPr="00F557BC">
        <w:rPr>
          <w:rFonts w:ascii="Roboto" w:eastAsia="Roboto" w:hAnsi="Roboto" w:cs="Roboto"/>
        </w:rPr>
        <w:t>IČ: 00216305</w:t>
      </w:r>
      <w:r w:rsidRPr="0072646A">
        <w:rPr>
          <w:rFonts w:ascii="Roboto" w:eastAsia="Roboto" w:hAnsi="Roboto" w:cs="Roboto"/>
        </w:rPr>
        <w:tab/>
      </w:r>
      <w:r w:rsidRPr="0072646A">
        <w:rPr>
          <w:rFonts w:ascii="Roboto" w:eastAsia="Roboto" w:hAnsi="Roboto" w:cs="Roboto"/>
        </w:rPr>
        <w:br/>
      </w:r>
      <w:r w:rsidRPr="00F557BC">
        <w:rPr>
          <w:rFonts w:ascii="Roboto" w:eastAsia="Roboto" w:hAnsi="Roboto" w:cs="Roboto"/>
        </w:rPr>
        <w:t>DIČ: CZ00216335</w:t>
      </w:r>
      <w:r w:rsidRPr="0072646A">
        <w:rPr>
          <w:rFonts w:ascii="Roboto" w:eastAsia="Roboto" w:hAnsi="Roboto" w:cs="Roboto"/>
        </w:rPr>
        <w:tab/>
      </w:r>
      <w:r w:rsidRPr="0072646A">
        <w:rPr>
          <w:rFonts w:ascii="Roboto" w:eastAsia="Roboto" w:hAnsi="Roboto" w:cs="Roboto"/>
        </w:rPr>
        <w:tab/>
      </w:r>
      <w:r w:rsidRPr="0072646A">
        <w:rPr>
          <w:rFonts w:ascii="Roboto" w:eastAsia="Roboto" w:hAnsi="Roboto" w:cs="Roboto"/>
        </w:rPr>
        <w:br/>
      </w:r>
      <w:r w:rsidRPr="00F557BC">
        <w:rPr>
          <w:rFonts w:ascii="Roboto" w:eastAsia="Roboto" w:hAnsi="Roboto" w:cs="Roboto"/>
        </w:rPr>
        <w:t>Bankovní spojení: účet č. 27-8684040287/0100, vedený u Komerční banky</w:t>
      </w:r>
      <w:r>
        <w:rPr>
          <w:rFonts w:ascii="Roboto" w:eastAsia="Roboto" w:hAnsi="Roboto" w:cs="Roboto"/>
        </w:rPr>
        <w:t xml:space="preserve"> </w:t>
      </w:r>
      <w:r w:rsidRPr="00F557BC">
        <w:br/>
      </w:r>
      <w:r w:rsidRPr="00F557BC">
        <w:rPr>
          <w:rFonts w:ascii="Roboto" w:eastAsia="Roboto" w:hAnsi="Roboto" w:cs="Roboto"/>
        </w:rPr>
        <w:t>Zastoupená: prof. RNDr. Ing. Petr Štěpánek, CSc., d.r.h.c.</w:t>
      </w:r>
      <w:r w:rsidRPr="00F557BC">
        <w:tab/>
      </w:r>
      <w:r w:rsidRPr="00F557BC">
        <w:rPr>
          <w:rFonts w:ascii="Roboto" w:eastAsia="Roboto" w:hAnsi="Roboto" w:cs="Roboto"/>
        </w:rPr>
        <w:t>(rektor)</w:t>
      </w:r>
      <w:r w:rsidRPr="00F557BC">
        <w:br/>
      </w:r>
      <w:r w:rsidRPr="00F557BC">
        <w:rPr>
          <w:rFonts w:ascii="Roboto" w:eastAsia="Roboto" w:hAnsi="Roboto" w:cs="Roboto"/>
        </w:rPr>
        <w:t xml:space="preserve">Odpovědný zástupce: </w:t>
      </w:r>
      <w:r w:rsidR="000F1ED6">
        <w:rPr>
          <w:rFonts w:ascii="Roboto" w:eastAsia="Roboto" w:hAnsi="Roboto" w:cs="Roboto"/>
        </w:rPr>
        <w:t>XXXXXXXXXXXXX</w:t>
      </w:r>
      <w:bookmarkStart w:id="0" w:name="_GoBack"/>
      <w:bookmarkEnd w:id="0"/>
    </w:p>
    <w:p w14:paraId="3BC7C8EF" w14:textId="77777777" w:rsidR="002F3D76" w:rsidRPr="00F557BC" w:rsidRDefault="002F3D76" w:rsidP="002F3D76">
      <w:pPr>
        <w:jc w:val="left"/>
        <w:rPr>
          <w:rFonts w:ascii="Roboto" w:eastAsia="Roboto" w:hAnsi="Roboto" w:cs="Roboto"/>
          <w:b/>
          <w:bCs/>
        </w:rPr>
      </w:pPr>
      <w:r>
        <w:rPr>
          <w:rFonts w:ascii="Roboto" w:eastAsia="Roboto" w:hAnsi="Roboto" w:cs="Roboto"/>
        </w:rPr>
        <w:tab/>
      </w:r>
      <w:r w:rsidRPr="00F557BC">
        <w:rPr>
          <w:rFonts w:ascii="Roboto" w:eastAsia="Roboto" w:hAnsi="Roboto" w:cs="Roboto"/>
        </w:rPr>
        <w:t xml:space="preserve">dále též jako </w:t>
      </w:r>
      <w:r w:rsidRPr="00F557BC">
        <w:rPr>
          <w:rFonts w:ascii="Roboto" w:eastAsia="Roboto" w:hAnsi="Roboto" w:cs="Roboto"/>
          <w:b/>
          <w:bCs/>
        </w:rPr>
        <w:t>„příjemce“</w:t>
      </w:r>
    </w:p>
    <w:p w14:paraId="7A745A61" w14:textId="77777777" w:rsidR="002F3D76" w:rsidRDefault="002F3D76" w:rsidP="002F3D76">
      <w:pPr>
        <w:rPr>
          <w:rFonts w:ascii="Roboto" w:eastAsia="Roboto" w:hAnsi="Roboto" w:cs="Roboto"/>
        </w:rPr>
      </w:pPr>
    </w:p>
    <w:p w14:paraId="5CBC281C" w14:textId="77777777" w:rsidR="002F3D76" w:rsidRPr="004E25C8" w:rsidRDefault="002F3D76" w:rsidP="002F3D76">
      <w:pPr>
        <w:rPr>
          <w:szCs w:val="24"/>
        </w:rPr>
      </w:pPr>
      <w:r>
        <w:rPr>
          <w:szCs w:val="24"/>
        </w:rPr>
        <w:t>dále též společně jako „</w:t>
      </w:r>
      <w:r w:rsidRPr="00BE30BA">
        <w:rPr>
          <w:b/>
          <w:i/>
          <w:szCs w:val="24"/>
        </w:rPr>
        <w:t>smluvní strany</w:t>
      </w:r>
      <w:r>
        <w:rPr>
          <w:szCs w:val="24"/>
        </w:rPr>
        <w:t>“</w:t>
      </w:r>
    </w:p>
    <w:p w14:paraId="395B912A" w14:textId="77777777" w:rsidR="002F3D76" w:rsidRPr="00413FF1" w:rsidRDefault="002F3D76" w:rsidP="002F3D76">
      <w:pPr>
        <w:rPr>
          <w:sz w:val="16"/>
          <w:szCs w:val="16"/>
        </w:rPr>
      </w:pPr>
    </w:p>
    <w:p w14:paraId="08DCCDAE" w14:textId="77777777" w:rsidR="002F3D76" w:rsidRPr="004E25C8" w:rsidRDefault="002F3D76" w:rsidP="002F3D76">
      <w:pPr>
        <w:rPr>
          <w:szCs w:val="24"/>
        </w:rPr>
      </w:pPr>
    </w:p>
    <w:p w14:paraId="19CB4263" w14:textId="77777777" w:rsidR="002F3D76" w:rsidRPr="007643A8" w:rsidRDefault="002F3D76" w:rsidP="002F3D76">
      <w:pPr>
        <w:keepNext/>
        <w:keepLines/>
      </w:pPr>
      <w:r w:rsidRPr="004E25C8">
        <w:rPr>
          <w:szCs w:val="24"/>
        </w:rPr>
        <w:t>uzavřely</w:t>
      </w:r>
      <w:r>
        <w:t xml:space="preserve"> </w:t>
      </w:r>
      <w:r w:rsidRPr="007643A8">
        <w:t>t</w:t>
      </w:r>
      <w:r>
        <w:t xml:space="preserve">ento dodatek </w:t>
      </w:r>
      <w:r w:rsidRPr="00E405F8">
        <w:t xml:space="preserve">ke </w:t>
      </w:r>
      <w:r>
        <w:t>smlouvě</w:t>
      </w:r>
      <w:r w:rsidRPr="00963B34">
        <w:t xml:space="preserve"> o poskytnutí účelových finančních prostředků na řešení dílčího projektu </w:t>
      </w:r>
      <w:r>
        <w:t>N</w:t>
      </w:r>
      <w:r w:rsidRPr="00963B34">
        <w:t xml:space="preserve">árodního centra kompetence pro </w:t>
      </w:r>
      <w:r>
        <w:t>K</w:t>
      </w:r>
      <w:r w:rsidRPr="00963B34">
        <w:t>yberbezpečnost</w:t>
      </w:r>
      <w:r>
        <w:t xml:space="preserve">, dílčí projekt je identifikován jako </w:t>
      </w:r>
      <w:r w:rsidRPr="00F557BC">
        <w:rPr>
          <w:rFonts w:ascii="Roboto" w:eastAsia="Roboto" w:hAnsi="Roboto" w:cs="Roboto"/>
        </w:rPr>
        <w:t>TRACTOR: Síťová analýza a operační kyberbezpečnost pro ICS/SCADA</w:t>
      </w:r>
      <w:r>
        <w:rPr>
          <w:rFonts w:ascii="Roboto" w:eastAsia="Roboto" w:hAnsi="Roboto" w:cs="Roboto"/>
        </w:rPr>
        <w:t>,</w:t>
      </w:r>
      <w:r w:rsidRPr="00F557BC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>r</w:t>
      </w:r>
      <w:r w:rsidRPr="00F557BC">
        <w:rPr>
          <w:rFonts w:ascii="Roboto" w:eastAsia="Roboto" w:hAnsi="Roboto" w:cs="Roboto"/>
        </w:rPr>
        <w:t>eg. č.</w:t>
      </w:r>
      <w:r>
        <w:rPr>
          <w:rFonts w:ascii="Roboto" w:eastAsia="Roboto" w:hAnsi="Roboto" w:cs="Roboto"/>
        </w:rPr>
        <w:t xml:space="preserve"> projektu</w:t>
      </w:r>
      <w:r w:rsidRPr="00F557BC">
        <w:rPr>
          <w:rFonts w:ascii="Roboto" w:eastAsia="Roboto" w:hAnsi="Roboto" w:cs="Roboto"/>
        </w:rPr>
        <w:t xml:space="preserve">: </w:t>
      </w:r>
      <w:r w:rsidRPr="00C16336">
        <w:rPr>
          <w:rFonts w:ascii="Roboto" w:eastAsia="Roboto" w:hAnsi="Roboto" w:cs="Roboto"/>
        </w:rPr>
        <w:t>TN01000077/02</w:t>
      </w:r>
      <w:r>
        <w:rPr>
          <w:rFonts w:ascii="Roboto" w:eastAsia="Roboto" w:hAnsi="Roboto" w:cs="Roboto"/>
        </w:rPr>
        <w:t xml:space="preserve"> </w:t>
      </w:r>
      <w:r w:rsidRPr="007643A8">
        <w:t xml:space="preserve">(dále společně jen </w:t>
      </w:r>
      <w:r w:rsidRPr="007643A8">
        <w:rPr>
          <w:b/>
        </w:rPr>
        <w:t>„</w:t>
      </w:r>
      <w:r>
        <w:rPr>
          <w:b/>
          <w:i/>
        </w:rPr>
        <w:t>Dodatek</w:t>
      </w:r>
      <w:r w:rsidRPr="007643A8">
        <w:rPr>
          <w:b/>
        </w:rPr>
        <w:t xml:space="preserve">“ </w:t>
      </w:r>
      <w:r w:rsidRPr="007643A8">
        <w:t xml:space="preserve">či též </w:t>
      </w:r>
      <w:r w:rsidRPr="007643A8">
        <w:rPr>
          <w:b/>
          <w:i/>
        </w:rPr>
        <w:t>„t</w:t>
      </w:r>
      <w:r>
        <w:rPr>
          <w:b/>
          <w:i/>
        </w:rPr>
        <w:t>ento</w:t>
      </w:r>
      <w:r w:rsidRPr="007643A8">
        <w:rPr>
          <w:b/>
          <w:i/>
        </w:rPr>
        <w:t xml:space="preserve"> </w:t>
      </w:r>
      <w:r>
        <w:rPr>
          <w:b/>
          <w:i/>
        </w:rPr>
        <w:t>Dodatek</w:t>
      </w:r>
      <w:r w:rsidRPr="007643A8">
        <w:rPr>
          <w:b/>
          <w:i/>
        </w:rPr>
        <w:t>“</w:t>
      </w:r>
      <w:r w:rsidRPr="007643A8">
        <w:t>):</w:t>
      </w:r>
    </w:p>
    <w:p w14:paraId="25BE8FF5" w14:textId="77777777" w:rsidR="002F3D76" w:rsidRDefault="002F3D76" w:rsidP="002F3D76">
      <w:pPr>
        <w:pStyle w:val="Nadpis1"/>
      </w:pPr>
      <w:r>
        <w:t>Preambule</w:t>
      </w:r>
    </w:p>
    <w:p w14:paraId="1AA56221" w14:textId="77777777" w:rsidR="002F3D76" w:rsidRDefault="002F3D76" w:rsidP="002F3D76">
      <w:pPr>
        <w:pStyle w:val="Nadpis2"/>
      </w:pPr>
      <w:r>
        <w:t>Dne 29.5.2019 uzavřely smluvní strany smlouvu</w:t>
      </w:r>
      <w:r w:rsidRPr="00963B34">
        <w:t xml:space="preserve"> o poskytnutí účelových finančních prostředků na řešení dílčího projektu </w:t>
      </w:r>
      <w:r>
        <w:t>N</w:t>
      </w:r>
      <w:r w:rsidRPr="00963B34">
        <w:t>árodního centra kompetence pro kyberbezpečnost</w:t>
      </w:r>
      <w:r>
        <w:t>.</w:t>
      </w:r>
      <w:r w:rsidRPr="00963B34">
        <w:rPr>
          <w:rFonts w:ascii="Roboto" w:eastAsia="Roboto" w:hAnsi="Roboto" w:cs="Roboto"/>
        </w:rPr>
        <w:t xml:space="preserve"> Tento dílčí projekt je součástí výzkumu a vývoje předkládaného v rámci Národního centra kompetence pro </w:t>
      </w:r>
      <w:r>
        <w:rPr>
          <w:rFonts w:ascii="Roboto" w:eastAsia="Roboto" w:hAnsi="Roboto" w:cs="Roboto"/>
        </w:rPr>
        <w:t>K</w:t>
      </w:r>
      <w:r w:rsidRPr="00963B34">
        <w:rPr>
          <w:rFonts w:ascii="Roboto" w:eastAsia="Roboto" w:hAnsi="Roboto" w:cs="Roboto"/>
        </w:rPr>
        <w:t>yberbezpečnost č. TN01000077 podpořeného z programu na podporu aplikovaného výzkumu, experimentálního vývoje a inovací Národní centra k</w:t>
      </w:r>
      <w:r w:rsidRPr="00820CA7">
        <w:rPr>
          <w:rFonts w:ascii="Roboto" w:eastAsia="Roboto" w:hAnsi="Roboto" w:cs="Roboto"/>
        </w:rPr>
        <w:t>om</w:t>
      </w:r>
      <w:r w:rsidRPr="00963B34">
        <w:rPr>
          <w:rFonts w:ascii="Roboto" w:eastAsia="Roboto" w:hAnsi="Roboto" w:cs="Roboto"/>
        </w:rPr>
        <w:t xml:space="preserve">petence Technologické agentury České republiky. </w:t>
      </w:r>
      <w:r>
        <w:t>S</w:t>
      </w:r>
      <w:r w:rsidRPr="00963B34">
        <w:t xml:space="preserve">mlouva o poskytnutí účelových finančních prostředků na řešení dílčího projektu </w:t>
      </w:r>
      <w:r>
        <w:t>N</w:t>
      </w:r>
      <w:r w:rsidRPr="00963B34">
        <w:t xml:space="preserve">árodního centra kompetence pro </w:t>
      </w:r>
      <w:r>
        <w:t>K</w:t>
      </w:r>
      <w:r w:rsidRPr="00963B34">
        <w:t>yberbezpečnost</w:t>
      </w:r>
      <w:r>
        <w:t xml:space="preserve">, a tedy dílčí projekt upravený na jejím základě, jsou identifikovány jako </w:t>
      </w:r>
      <w:r w:rsidRPr="00963B34">
        <w:rPr>
          <w:rFonts w:ascii="Roboto" w:eastAsia="Roboto" w:hAnsi="Roboto" w:cs="Roboto"/>
        </w:rPr>
        <w:t>TRACTOR: Síťová analýza a operační kyberbezpečnost pro ICS/SCADA, reg. č. projektu: TN01000077/02</w:t>
      </w:r>
      <w:r>
        <w:rPr>
          <w:rFonts w:ascii="Roboto" w:eastAsia="Roboto" w:hAnsi="Roboto" w:cs="Roboto"/>
        </w:rPr>
        <w:t xml:space="preserve"> </w:t>
      </w:r>
      <w:r>
        <w:t>(dále jen „</w:t>
      </w:r>
      <w:r w:rsidRPr="00963B34">
        <w:rPr>
          <w:b/>
          <w:i/>
        </w:rPr>
        <w:t>Smlouva</w:t>
      </w:r>
      <w:r>
        <w:t xml:space="preserve">“). </w:t>
      </w:r>
    </w:p>
    <w:p w14:paraId="55B24156" w14:textId="77777777" w:rsidR="002F3D76" w:rsidRPr="00767D44" w:rsidRDefault="002F3D76" w:rsidP="002F3D76">
      <w:pPr>
        <w:pStyle w:val="Nadpis2"/>
        <w:tabs>
          <w:tab w:val="num" w:pos="-6663"/>
          <w:tab w:val="left" w:pos="0"/>
        </w:tabs>
      </w:pPr>
      <w:r>
        <w:t xml:space="preserve">Smluvní strany se rozhodly tento Dodatek uzavřít z důvodu aktualizace rozpočtu dílčího projektu, na jejímž základě došlo k přesunu částky </w:t>
      </w:r>
      <w:r w:rsidRPr="00821873">
        <w:t xml:space="preserve">podpory </w:t>
      </w:r>
      <w:r>
        <w:t xml:space="preserve">ve výši </w:t>
      </w:r>
      <w:r w:rsidRPr="004159F2">
        <w:t>456 650,40</w:t>
      </w:r>
      <w:r>
        <w:t xml:space="preserve"> Kč z roku </w:t>
      </w:r>
      <w:r w:rsidRPr="00821873">
        <w:t xml:space="preserve">2019 </w:t>
      </w:r>
      <w:r>
        <w:t xml:space="preserve">do roku 2020. Aktualizace rozpočtu dílčího projektu byla součástí souhrnného </w:t>
      </w:r>
      <w:r>
        <w:lastRenderedPageBreak/>
        <w:t>oznámení o změně projektu</w:t>
      </w:r>
      <w:r w:rsidRPr="00C77234">
        <w:t xml:space="preserve"> Národního centra kompetence pro Kyberbezpečnost</w:t>
      </w:r>
      <w:r>
        <w:t xml:space="preserve"> ze dne 30.10.2019, které bylo schváleno Technologickou agenturou České republiky na základě </w:t>
      </w:r>
      <w:r w:rsidRPr="006E3210">
        <w:t>Oznámení o výsledku změnového řízení</w:t>
      </w:r>
      <w:r>
        <w:t xml:space="preserve"> ze dne 16.12.2019.</w:t>
      </w:r>
    </w:p>
    <w:p w14:paraId="328166AC" w14:textId="77777777" w:rsidR="002F3D76" w:rsidRDefault="002F3D76" w:rsidP="002F3D76">
      <w:pPr>
        <w:pStyle w:val="Nadpis1"/>
      </w:pPr>
      <w:r>
        <w:t xml:space="preserve">Dodatek ke Smlouvě </w:t>
      </w:r>
    </w:p>
    <w:p w14:paraId="294C9393" w14:textId="77777777" w:rsidR="002F3D76" w:rsidRDefault="002F3D76" w:rsidP="002F3D76">
      <w:pPr>
        <w:pStyle w:val="Nadpis2"/>
      </w:pPr>
      <w:r>
        <w:t>Čl. III odst. 2 Smlouvy se nahrazuje a nově zní takto:</w:t>
      </w:r>
    </w:p>
    <w:p w14:paraId="79C645FE" w14:textId="77777777" w:rsidR="002F3D76" w:rsidRPr="001764F7" w:rsidRDefault="002F3D76" w:rsidP="002F3D76">
      <w:pPr>
        <w:ind w:left="851"/>
        <w:rPr>
          <w:i/>
          <w:lang w:eastAsia="cs-CZ"/>
        </w:rPr>
      </w:pPr>
      <w:r>
        <w:rPr>
          <w:lang w:eastAsia="cs-CZ"/>
        </w:rPr>
        <w:t>„</w:t>
      </w:r>
      <w:r>
        <w:rPr>
          <w:rFonts w:ascii="Roboto" w:eastAsia="Roboto" w:hAnsi="Roboto" w:cs="Roboto"/>
          <w:i/>
        </w:rPr>
        <w:t>Poskytovatel</w:t>
      </w:r>
      <w:r w:rsidRPr="001764F7">
        <w:rPr>
          <w:rFonts w:ascii="Roboto" w:eastAsia="Roboto" w:hAnsi="Roboto" w:cs="Roboto"/>
          <w:i/>
        </w:rPr>
        <w:t xml:space="preserve"> se na základě této smlouvy zavazuje </w:t>
      </w:r>
      <w:r>
        <w:rPr>
          <w:rFonts w:ascii="Roboto" w:eastAsia="Roboto" w:hAnsi="Roboto" w:cs="Roboto"/>
          <w:i/>
        </w:rPr>
        <w:t>příjemci</w:t>
      </w:r>
      <w:r w:rsidRPr="001764F7">
        <w:rPr>
          <w:rFonts w:ascii="Roboto" w:eastAsia="Roboto" w:hAnsi="Roboto" w:cs="Roboto"/>
          <w:i/>
        </w:rPr>
        <w:t xml:space="preserve"> převést na řešení věcné náplně dílčího projektu neinvestiční účelové finanční prostředky ve výši </w:t>
      </w:r>
      <w:r>
        <w:rPr>
          <w:rFonts w:ascii="Roboto" w:eastAsia="Roboto" w:hAnsi="Roboto" w:cs="Roboto"/>
          <w:i/>
        </w:rPr>
        <w:t>6.689.477</w:t>
      </w:r>
      <w:r w:rsidRPr="001764F7">
        <w:rPr>
          <w:rFonts w:ascii="Roboto" w:eastAsia="Roboto" w:hAnsi="Roboto" w:cs="Roboto"/>
          <w:i/>
        </w:rPr>
        <w:t xml:space="preserve"> Kč, a to</w:t>
      </w:r>
    </w:p>
    <w:p w14:paraId="46780813" w14:textId="77777777" w:rsidR="002F3D76" w:rsidRPr="001764F7" w:rsidRDefault="002F3D76" w:rsidP="002F3D76">
      <w:pPr>
        <w:jc w:val="center"/>
        <w:rPr>
          <w:rFonts w:ascii="Roboto" w:eastAsia="Roboto" w:hAnsi="Roboto" w:cs="Roboto"/>
          <w:i/>
        </w:rPr>
      </w:pPr>
      <w:r w:rsidRPr="001764F7">
        <w:rPr>
          <w:rFonts w:ascii="Roboto" w:eastAsia="Roboto" w:hAnsi="Roboto" w:cs="Roboto"/>
          <w:i/>
        </w:rPr>
        <w:t xml:space="preserve">v roce 2019 ve výši </w:t>
      </w:r>
      <w:r w:rsidRPr="00B12C76">
        <w:rPr>
          <w:rFonts w:ascii="Roboto" w:eastAsia="Roboto" w:hAnsi="Roboto" w:cs="Roboto"/>
          <w:i/>
        </w:rPr>
        <w:t>2</w:t>
      </w:r>
      <w:r>
        <w:rPr>
          <w:rFonts w:ascii="Roboto" w:eastAsia="Roboto" w:hAnsi="Roboto" w:cs="Roboto"/>
          <w:i/>
        </w:rPr>
        <w:t>.</w:t>
      </w:r>
      <w:r w:rsidRPr="00B12C76">
        <w:rPr>
          <w:rFonts w:ascii="Roboto" w:eastAsia="Roboto" w:hAnsi="Roboto" w:cs="Roboto"/>
          <w:i/>
        </w:rPr>
        <w:t>219</w:t>
      </w:r>
      <w:r>
        <w:rPr>
          <w:rFonts w:ascii="Roboto" w:eastAsia="Roboto" w:hAnsi="Roboto" w:cs="Roboto"/>
          <w:i/>
        </w:rPr>
        <w:t>.</w:t>
      </w:r>
      <w:r w:rsidRPr="00B12C76">
        <w:rPr>
          <w:rFonts w:ascii="Roboto" w:eastAsia="Roboto" w:hAnsi="Roboto" w:cs="Roboto"/>
          <w:i/>
        </w:rPr>
        <w:t>141</w:t>
      </w:r>
      <w:r w:rsidRPr="001764F7">
        <w:rPr>
          <w:rFonts w:ascii="Roboto" w:eastAsia="Roboto" w:hAnsi="Roboto" w:cs="Roboto"/>
          <w:i/>
        </w:rPr>
        <w:t xml:space="preserve"> Kč, </w:t>
      </w:r>
    </w:p>
    <w:p w14:paraId="05DAA2D6" w14:textId="77777777" w:rsidR="002F3D76" w:rsidRDefault="002F3D76" w:rsidP="002F3D76">
      <w:pPr>
        <w:jc w:val="center"/>
        <w:rPr>
          <w:lang w:eastAsia="cs-CZ"/>
        </w:rPr>
      </w:pPr>
      <w:r w:rsidRPr="001764F7">
        <w:rPr>
          <w:rFonts w:ascii="Roboto" w:eastAsia="Roboto" w:hAnsi="Roboto" w:cs="Roboto"/>
          <w:i/>
        </w:rPr>
        <w:t xml:space="preserve">v roce 2020 ve výši </w:t>
      </w:r>
      <w:r w:rsidRPr="00F65C78">
        <w:rPr>
          <w:rFonts w:ascii="Roboto" w:eastAsia="Roboto" w:hAnsi="Roboto" w:cs="Roboto"/>
          <w:i/>
        </w:rPr>
        <w:t>4</w:t>
      </w:r>
      <w:r>
        <w:rPr>
          <w:rFonts w:ascii="Roboto" w:eastAsia="Roboto" w:hAnsi="Roboto" w:cs="Roboto"/>
          <w:i/>
        </w:rPr>
        <w:t>.</w:t>
      </w:r>
      <w:r w:rsidRPr="00F65C78">
        <w:rPr>
          <w:rFonts w:ascii="Roboto" w:eastAsia="Roboto" w:hAnsi="Roboto" w:cs="Roboto"/>
          <w:i/>
        </w:rPr>
        <w:t>470</w:t>
      </w:r>
      <w:r>
        <w:rPr>
          <w:rFonts w:ascii="Roboto" w:eastAsia="Roboto" w:hAnsi="Roboto" w:cs="Roboto"/>
          <w:i/>
        </w:rPr>
        <w:t>.</w:t>
      </w:r>
      <w:r w:rsidRPr="00F65C78">
        <w:rPr>
          <w:rFonts w:ascii="Roboto" w:eastAsia="Roboto" w:hAnsi="Roboto" w:cs="Roboto"/>
          <w:i/>
        </w:rPr>
        <w:t>336</w:t>
      </w:r>
      <w:r w:rsidRPr="001764F7">
        <w:rPr>
          <w:rFonts w:ascii="Roboto" w:eastAsia="Roboto" w:hAnsi="Roboto" w:cs="Roboto"/>
          <w:i/>
        </w:rPr>
        <w:t xml:space="preserve"> Kč.</w:t>
      </w:r>
      <w:r>
        <w:rPr>
          <w:lang w:eastAsia="cs-CZ"/>
        </w:rPr>
        <w:t>“</w:t>
      </w:r>
    </w:p>
    <w:p w14:paraId="2FA5AEBB" w14:textId="77777777" w:rsidR="002F3D76" w:rsidRDefault="002F3D76" w:rsidP="002F3D76">
      <w:pPr>
        <w:jc w:val="center"/>
        <w:rPr>
          <w:lang w:eastAsia="cs-CZ"/>
        </w:rPr>
      </w:pPr>
    </w:p>
    <w:p w14:paraId="022CFE40" w14:textId="77777777" w:rsidR="002F3D76" w:rsidRPr="001108F8" w:rsidRDefault="002F3D76" w:rsidP="002F3D76">
      <w:pPr>
        <w:pStyle w:val="Nadpis2"/>
        <w:tabs>
          <w:tab w:val="num" w:pos="567"/>
        </w:tabs>
      </w:pPr>
      <w:r>
        <w:t xml:space="preserve">Ostatní ujednání Smlouvy zůstávají nezměněny. </w:t>
      </w:r>
    </w:p>
    <w:p w14:paraId="13228737" w14:textId="77777777" w:rsidR="002F3D76" w:rsidRDefault="002F3D76" w:rsidP="002F3D76">
      <w:pPr>
        <w:jc w:val="center"/>
        <w:rPr>
          <w:lang w:eastAsia="cs-CZ"/>
        </w:rPr>
      </w:pPr>
    </w:p>
    <w:p w14:paraId="2EA9F1AC" w14:textId="77777777" w:rsidR="002F3D76" w:rsidRDefault="002F3D76" w:rsidP="002F3D76">
      <w:pPr>
        <w:jc w:val="center"/>
        <w:rPr>
          <w:rFonts w:ascii="Roboto" w:eastAsia="Roboto" w:hAnsi="Roboto" w:cs="Roboto"/>
          <w:i/>
        </w:rPr>
      </w:pPr>
    </w:p>
    <w:p w14:paraId="48A90FCD" w14:textId="77777777" w:rsidR="002F3D76" w:rsidRDefault="002F3D76" w:rsidP="002F3D76">
      <w:pPr>
        <w:pStyle w:val="Nadpis1"/>
        <w:rPr>
          <w:lang w:eastAsia="cs-CZ"/>
        </w:rPr>
      </w:pPr>
      <w:r>
        <w:rPr>
          <w:lang w:eastAsia="cs-CZ"/>
        </w:rPr>
        <w:t>Závěrečná ujednání</w:t>
      </w:r>
    </w:p>
    <w:p w14:paraId="18D00DC8" w14:textId="77777777" w:rsidR="002F3D76" w:rsidRPr="002D5996" w:rsidRDefault="002F3D76" w:rsidP="002F3D76">
      <w:pPr>
        <w:rPr>
          <w:lang w:eastAsia="cs-CZ"/>
        </w:rPr>
      </w:pPr>
    </w:p>
    <w:p w14:paraId="00AD7120" w14:textId="185D24BD" w:rsidR="002F3D76" w:rsidRDefault="002F3D76" w:rsidP="002F3D76">
      <w:pPr>
        <w:pStyle w:val="Nadpis2"/>
        <w:tabs>
          <w:tab w:val="num" w:pos="567"/>
        </w:tabs>
        <w:rPr>
          <w:b/>
        </w:rPr>
      </w:pPr>
      <w:r>
        <w:t xml:space="preserve">Tento Dodatek nabývá účinnosti </w:t>
      </w:r>
      <w:r w:rsidRPr="00494E85">
        <w:t xml:space="preserve">od data </w:t>
      </w:r>
      <w:r w:rsidR="002C626F">
        <w:t xml:space="preserve">jeho </w:t>
      </w:r>
      <w:r>
        <w:t>zveřejnění v registru smluv</w:t>
      </w:r>
      <w:r w:rsidR="002C626F">
        <w:t>.</w:t>
      </w:r>
      <w:r>
        <w:t xml:space="preserve"> </w:t>
      </w:r>
      <w:r w:rsidRPr="009E2AC9">
        <w:t xml:space="preserve">Uveřejnění </w:t>
      </w:r>
      <w:r>
        <w:t xml:space="preserve">tohoto Dodatku </w:t>
      </w:r>
      <w:r w:rsidRPr="009E2AC9">
        <w:t>zaji</w:t>
      </w:r>
      <w:r>
        <w:t>stí Poskytovatel</w:t>
      </w:r>
      <w:r w:rsidRPr="009E2AC9">
        <w:t>.</w:t>
      </w:r>
    </w:p>
    <w:p w14:paraId="18D98655" w14:textId="77777777" w:rsidR="002F3D76" w:rsidRDefault="002F3D76" w:rsidP="002F3D76">
      <w:pPr>
        <w:pStyle w:val="Nadpis2"/>
        <w:tabs>
          <w:tab w:val="num" w:pos="567"/>
        </w:tabs>
      </w:pPr>
      <w:r>
        <w:t>Smluvní strany prohlašují, že si tento Dodatek řádně přečetly, že je projevem jejich svobodné a skutečné vůle a že nebyl uzavřen v tísni ani za nápadně nevýhodných podmínek.</w:t>
      </w:r>
    </w:p>
    <w:p w14:paraId="6C033D13" w14:textId="77777777" w:rsidR="002F3D76" w:rsidRDefault="002F3D76" w:rsidP="002F3D76">
      <w:pPr>
        <w:pStyle w:val="Nadpis2"/>
        <w:tabs>
          <w:tab w:val="num" w:pos="567"/>
        </w:tabs>
      </w:pPr>
      <w:r>
        <w:t>Tento Dodatek se sepisuje ve čtyřech vyhotoveních, z nichž každá smluvní strana si ponechá dvě vyhotovení.</w:t>
      </w:r>
    </w:p>
    <w:p w14:paraId="534AF135" w14:textId="77777777" w:rsidR="002F3D76" w:rsidRDefault="002F3D76" w:rsidP="002F3D76">
      <w:pPr>
        <w:rPr>
          <w:lang w:eastAsia="cs-CZ"/>
        </w:rPr>
      </w:pPr>
    </w:p>
    <w:p w14:paraId="7D1464AD" w14:textId="77777777" w:rsidR="002F3D76" w:rsidRPr="00F557BC" w:rsidRDefault="002F3D76" w:rsidP="002F3D76">
      <w:pPr>
        <w:tabs>
          <w:tab w:val="left" w:pos="0"/>
          <w:tab w:val="left" w:pos="5670"/>
        </w:tabs>
        <w:rPr>
          <w:rFonts w:ascii="Roboto" w:eastAsia="Roboto" w:hAnsi="Roboto" w:cs="Roboto"/>
        </w:rPr>
      </w:pPr>
      <w:r w:rsidRPr="00F557BC">
        <w:rPr>
          <w:rFonts w:ascii="Roboto" w:eastAsia="Roboto" w:hAnsi="Roboto" w:cs="Roboto"/>
        </w:rPr>
        <w:t>V Brně dne ___________</w:t>
      </w:r>
    </w:p>
    <w:p w14:paraId="12674CAB" w14:textId="77777777" w:rsidR="002F3D76" w:rsidRDefault="002F3D76" w:rsidP="002F3D76">
      <w:pPr>
        <w:tabs>
          <w:tab w:val="left" w:pos="0"/>
          <w:tab w:val="left" w:pos="5670"/>
        </w:tabs>
        <w:rPr>
          <w:rFonts w:ascii="Roboto" w:eastAsia="Roboto" w:hAnsi="Roboto" w:cs="Roboto"/>
        </w:rPr>
      </w:pPr>
    </w:p>
    <w:p w14:paraId="1FF4ED80" w14:textId="77777777" w:rsidR="002F3D76" w:rsidRDefault="002F3D76" w:rsidP="002F3D76">
      <w:pPr>
        <w:tabs>
          <w:tab w:val="left" w:pos="0"/>
          <w:tab w:val="left" w:pos="5670"/>
        </w:tabs>
        <w:rPr>
          <w:rFonts w:ascii="Roboto" w:eastAsia="Roboto" w:hAnsi="Roboto" w:cs="Roboto"/>
        </w:rPr>
      </w:pPr>
    </w:p>
    <w:p w14:paraId="124815E1" w14:textId="77777777" w:rsidR="002F3D76" w:rsidRPr="00F557BC" w:rsidRDefault="002F3D76" w:rsidP="002F3D76">
      <w:pPr>
        <w:tabs>
          <w:tab w:val="left" w:pos="0"/>
          <w:tab w:val="left" w:pos="5670"/>
        </w:tabs>
        <w:rPr>
          <w:rFonts w:ascii="Roboto" w:eastAsia="Roboto" w:hAnsi="Roboto" w:cs="Roboto"/>
        </w:rPr>
      </w:pPr>
    </w:p>
    <w:p w14:paraId="727C0C10" w14:textId="77777777" w:rsidR="002F3D76" w:rsidRPr="00F557BC" w:rsidRDefault="002F3D76" w:rsidP="002F3D76">
      <w:pPr>
        <w:tabs>
          <w:tab w:val="left" w:pos="0"/>
          <w:tab w:val="left" w:pos="5670"/>
        </w:tabs>
        <w:jc w:val="left"/>
        <w:rPr>
          <w:rFonts w:ascii="Roboto" w:eastAsia="Roboto" w:hAnsi="Roboto" w:cs="Roboto"/>
        </w:rPr>
      </w:pPr>
      <w:r w:rsidRPr="00F557BC">
        <w:rPr>
          <w:rFonts w:ascii="Roboto" w:eastAsia="Roboto" w:hAnsi="Roboto" w:cs="Roboto"/>
        </w:rPr>
        <w:t>_____________________________</w:t>
      </w:r>
      <w:r w:rsidRPr="00F557BC">
        <w:br/>
      </w:r>
      <w:r w:rsidRPr="001764F7">
        <w:rPr>
          <w:rFonts w:ascii="Roboto" w:eastAsia="Roboto" w:hAnsi="Roboto" w:cs="Roboto"/>
        </w:rPr>
        <w:t>prof. MUDr. Martin Bareš, Ph.D.</w:t>
      </w:r>
      <w:r w:rsidRPr="00F557BC">
        <w:rPr>
          <w:rFonts w:ascii="Roboto" w:eastAsia="Roboto" w:hAnsi="Roboto" w:cs="Roboto"/>
        </w:rPr>
        <w:t>, rektor</w:t>
      </w:r>
      <w:r w:rsidRPr="00F557BC">
        <w:br/>
      </w:r>
      <w:r w:rsidRPr="001764F7">
        <w:rPr>
          <w:rFonts w:ascii="Roboto" w:eastAsia="Roboto" w:hAnsi="Roboto" w:cs="Roboto"/>
          <w:b/>
        </w:rPr>
        <w:t xml:space="preserve">za </w:t>
      </w:r>
      <w:r>
        <w:rPr>
          <w:rFonts w:ascii="Roboto" w:eastAsia="Roboto" w:hAnsi="Roboto" w:cs="Roboto"/>
          <w:b/>
        </w:rPr>
        <w:t>poskytovatele</w:t>
      </w:r>
    </w:p>
    <w:p w14:paraId="1BE7ABEA" w14:textId="77777777" w:rsidR="002F3D76" w:rsidRDefault="002F3D76" w:rsidP="002F3D76">
      <w:pPr>
        <w:tabs>
          <w:tab w:val="left" w:pos="0"/>
          <w:tab w:val="left" w:pos="5670"/>
        </w:tabs>
        <w:rPr>
          <w:rFonts w:ascii="Roboto" w:eastAsia="Roboto" w:hAnsi="Roboto" w:cs="Roboto"/>
        </w:rPr>
      </w:pPr>
    </w:p>
    <w:p w14:paraId="21BAEB47" w14:textId="77777777" w:rsidR="002F3D76" w:rsidRDefault="002F3D76" w:rsidP="002F3D76">
      <w:pPr>
        <w:tabs>
          <w:tab w:val="left" w:pos="0"/>
          <w:tab w:val="left" w:pos="5670"/>
        </w:tabs>
        <w:rPr>
          <w:rFonts w:ascii="Roboto" w:eastAsia="Roboto" w:hAnsi="Roboto" w:cs="Roboto"/>
        </w:rPr>
      </w:pPr>
    </w:p>
    <w:p w14:paraId="1AE0D045" w14:textId="77777777" w:rsidR="002F3D76" w:rsidRPr="00F557BC" w:rsidRDefault="002F3D76" w:rsidP="002F3D76">
      <w:pPr>
        <w:tabs>
          <w:tab w:val="left" w:pos="0"/>
          <w:tab w:val="left" w:pos="5670"/>
        </w:tabs>
        <w:rPr>
          <w:rFonts w:ascii="Roboto" w:eastAsia="Roboto" w:hAnsi="Roboto" w:cs="Roboto"/>
        </w:rPr>
      </w:pPr>
      <w:r w:rsidRPr="00F557BC">
        <w:rPr>
          <w:rFonts w:ascii="Roboto" w:eastAsia="Roboto" w:hAnsi="Roboto" w:cs="Roboto"/>
        </w:rPr>
        <w:t>V Brně dne ___________</w:t>
      </w:r>
    </w:p>
    <w:p w14:paraId="3DA2B9DD" w14:textId="77777777" w:rsidR="002F3D76" w:rsidRDefault="002F3D76" w:rsidP="002F3D76">
      <w:pPr>
        <w:tabs>
          <w:tab w:val="left" w:pos="0"/>
          <w:tab w:val="left" w:pos="5670"/>
        </w:tabs>
        <w:rPr>
          <w:rFonts w:ascii="Roboto" w:eastAsia="Roboto" w:hAnsi="Roboto" w:cs="Roboto"/>
        </w:rPr>
      </w:pPr>
    </w:p>
    <w:p w14:paraId="26C1221D" w14:textId="77777777" w:rsidR="002F3D76" w:rsidRDefault="002F3D76" w:rsidP="002F3D76">
      <w:pPr>
        <w:tabs>
          <w:tab w:val="left" w:pos="0"/>
          <w:tab w:val="left" w:pos="5670"/>
        </w:tabs>
        <w:rPr>
          <w:rFonts w:ascii="Roboto" w:eastAsia="Roboto" w:hAnsi="Roboto" w:cs="Roboto"/>
        </w:rPr>
      </w:pPr>
    </w:p>
    <w:p w14:paraId="5A46694E" w14:textId="77777777" w:rsidR="002F3D76" w:rsidRPr="00F557BC" w:rsidRDefault="002F3D76" w:rsidP="002F3D76">
      <w:pPr>
        <w:tabs>
          <w:tab w:val="left" w:pos="0"/>
          <w:tab w:val="left" w:pos="5670"/>
        </w:tabs>
        <w:rPr>
          <w:rFonts w:ascii="Roboto" w:eastAsia="Roboto" w:hAnsi="Roboto" w:cs="Roboto"/>
        </w:rPr>
      </w:pPr>
    </w:p>
    <w:p w14:paraId="5A42CD12" w14:textId="77777777" w:rsidR="002F3D76" w:rsidRPr="00F557BC" w:rsidRDefault="002F3D76" w:rsidP="002F3D76">
      <w:pPr>
        <w:tabs>
          <w:tab w:val="left" w:pos="0"/>
          <w:tab w:val="left" w:pos="5670"/>
        </w:tabs>
        <w:jc w:val="left"/>
        <w:rPr>
          <w:rFonts w:ascii="Roboto" w:eastAsia="Roboto" w:hAnsi="Roboto" w:cs="Roboto"/>
        </w:rPr>
      </w:pPr>
      <w:r w:rsidRPr="00F557BC">
        <w:rPr>
          <w:rFonts w:ascii="Roboto" w:eastAsia="Roboto" w:hAnsi="Roboto" w:cs="Roboto"/>
        </w:rPr>
        <w:t>_____________________________</w:t>
      </w:r>
      <w:r w:rsidRPr="00F557BC">
        <w:br/>
      </w:r>
      <w:r w:rsidRPr="00F557BC">
        <w:rPr>
          <w:rFonts w:ascii="Roboto" w:eastAsia="Roboto" w:hAnsi="Roboto" w:cs="Roboto"/>
        </w:rPr>
        <w:t>prof. RNDr. Ing. Petr Štěpánek, CSc., d.r.h.c., rektor</w:t>
      </w:r>
      <w:r w:rsidRPr="00F557BC">
        <w:br/>
      </w:r>
      <w:r w:rsidRPr="001764F7">
        <w:rPr>
          <w:rFonts w:ascii="Roboto" w:eastAsia="Roboto" w:hAnsi="Roboto" w:cs="Roboto"/>
          <w:b/>
        </w:rPr>
        <w:t>za příjemce</w:t>
      </w:r>
    </w:p>
    <w:p w14:paraId="4FC20F6B" w14:textId="77777777" w:rsidR="002F3D76" w:rsidRPr="00F557BC" w:rsidRDefault="002F3D76" w:rsidP="002F3D76">
      <w:pPr>
        <w:tabs>
          <w:tab w:val="left" w:pos="0"/>
          <w:tab w:val="left" w:pos="5670"/>
        </w:tabs>
        <w:jc w:val="left"/>
        <w:rPr>
          <w:rFonts w:ascii="Roboto" w:eastAsia="Roboto" w:hAnsi="Roboto" w:cs="Roboto"/>
        </w:rPr>
      </w:pPr>
    </w:p>
    <w:p w14:paraId="62D65A94" w14:textId="77777777" w:rsidR="002F3D76" w:rsidRPr="00F557BC" w:rsidRDefault="002F3D76" w:rsidP="002F3D76">
      <w:pPr>
        <w:tabs>
          <w:tab w:val="left" w:pos="0"/>
          <w:tab w:val="left" w:pos="5812"/>
        </w:tabs>
        <w:jc w:val="left"/>
        <w:rPr>
          <w:rFonts w:ascii="Roboto" w:eastAsia="Roboto" w:hAnsi="Roboto" w:cs="Roboto"/>
        </w:rPr>
      </w:pPr>
    </w:p>
    <w:p w14:paraId="545DD062" w14:textId="77777777" w:rsidR="007A4F48" w:rsidRDefault="007A4F48"/>
    <w:sectPr w:rsidR="007A4F48" w:rsidSect="00C56C9B">
      <w:headerReference w:type="default" r:id="rId10"/>
      <w:footerReference w:type="default" r:id="rId11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0F7B9" w14:textId="77777777" w:rsidR="00B02E19" w:rsidRDefault="00B02E19">
      <w:r>
        <w:separator/>
      </w:r>
    </w:p>
  </w:endnote>
  <w:endnote w:type="continuationSeparator" w:id="0">
    <w:p w14:paraId="26E74B2B" w14:textId="77777777" w:rsidR="00B02E19" w:rsidRDefault="00B0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E8C00" w14:textId="7F31256E" w:rsidR="00D06CC6" w:rsidRDefault="002F3D76" w:rsidP="00AF5184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F1ED6">
      <w:rPr>
        <w:noProof/>
      </w:rPr>
      <w:t>1</w:t>
    </w:r>
    <w:r>
      <w:rPr>
        <w:noProof/>
      </w:rPr>
      <w:fldChar w:fldCharType="end"/>
    </w:r>
    <w:r>
      <w:t xml:space="preserve"> z </w:t>
    </w:r>
    <w:r w:rsidR="000F1ED6">
      <w:fldChar w:fldCharType="begin"/>
    </w:r>
    <w:r w:rsidR="000F1ED6">
      <w:instrText xml:space="preserve"> NUMPAGES   \* MERGEFORMAT </w:instrText>
    </w:r>
    <w:r w:rsidR="000F1ED6">
      <w:fldChar w:fldCharType="separate"/>
    </w:r>
    <w:r w:rsidR="000F1ED6">
      <w:rPr>
        <w:noProof/>
      </w:rPr>
      <w:t>2</w:t>
    </w:r>
    <w:r w:rsidR="000F1ED6">
      <w:rPr>
        <w:noProof/>
      </w:rPr>
      <w:fldChar w:fldCharType="end"/>
    </w:r>
  </w:p>
  <w:p w14:paraId="013DC940" w14:textId="77777777" w:rsidR="00D06CC6" w:rsidRDefault="000F1E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67D70" w14:textId="77777777" w:rsidR="00B02E19" w:rsidRDefault="00B02E19">
      <w:r>
        <w:separator/>
      </w:r>
    </w:p>
  </w:footnote>
  <w:footnote w:type="continuationSeparator" w:id="0">
    <w:p w14:paraId="53EE43A4" w14:textId="77777777" w:rsidR="00B02E19" w:rsidRDefault="00B02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976E4" w14:textId="7ED0DD9D" w:rsidR="00F4312D" w:rsidRDefault="00171F04" w:rsidP="00242C61">
    <w:pPr>
      <w:pStyle w:val="Zhlav"/>
      <w:tabs>
        <w:tab w:val="clear" w:pos="4536"/>
        <w:tab w:val="clear" w:pos="9072"/>
        <w:tab w:val="left" w:pos="7560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CDBF0C7" wp14:editId="4DEB7A34">
          <wp:simplePos x="0" y="0"/>
          <wp:positionH relativeFrom="column">
            <wp:posOffset>4182110</wp:posOffset>
          </wp:positionH>
          <wp:positionV relativeFrom="paragraph">
            <wp:posOffset>-168275</wp:posOffset>
          </wp:positionV>
          <wp:extent cx="1540510" cy="602615"/>
          <wp:effectExtent l="0" t="0" r="0" b="0"/>
          <wp:wrapTight wrapText="bothSides">
            <wp:wrapPolygon edited="0">
              <wp:start x="0" y="0"/>
              <wp:lineTo x="0" y="21168"/>
              <wp:lineTo x="21369" y="21168"/>
              <wp:lineTo x="21369" y="0"/>
              <wp:lineTo x="0" y="0"/>
            </wp:wrapPolygon>
          </wp:wrapTight>
          <wp:docPr id="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BB42B17" wp14:editId="20DB3D93">
          <wp:simplePos x="0" y="0"/>
          <wp:positionH relativeFrom="margin">
            <wp:posOffset>46355</wp:posOffset>
          </wp:positionH>
          <wp:positionV relativeFrom="paragraph">
            <wp:posOffset>-300355</wp:posOffset>
          </wp:positionV>
          <wp:extent cx="788035" cy="788035"/>
          <wp:effectExtent l="0" t="0" r="0" b="0"/>
          <wp:wrapTight wrapText="bothSides">
            <wp:wrapPolygon edited="0">
              <wp:start x="0" y="0"/>
              <wp:lineTo x="0" y="5222"/>
              <wp:lineTo x="10443" y="8355"/>
              <wp:lineTo x="2611" y="12532"/>
              <wp:lineTo x="0" y="14620"/>
              <wp:lineTo x="0" y="20886"/>
              <wp:lineTo x="20886" y="20886"/>
              <wp:lineTo x="20886" y="16187"/>
              <wp:lineTo x="10443" y="8355"/>
              <wp:lineTo x="20886" y="5744"/>
              <wp:lineTo x="20886" y="4177"/>
              <wp:lineTo x="20364" y="0"/>
              <wp:lineTo x="0" y="0"/>
            </wp:wrapPolygon>
          </wp:wrapTight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D76">
      <w:tab/>
    </w:r>
  </w:p>
  <w:p w14:paraId="2872F926" w14:textId="77777777" w:rsidR="00F4312D" w:rsidRDefault="000F1ED6">
    <w:pPr>
      <w:pStyle w:val="Zhlav"/>
    </w:pPr>
  </w:p>
  <w:p w14:paraId="1879DB56" w14:textId="77777777" w:rsidR="00F4312D" w:rsidRDefault="000F1E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D3AE5"/>
    <w:multiLevelType w:val="multilevel"/>
    <w:tmpl w:val="E80E255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76"/>
    <w:rsid w:val="000F1ED6"/>
    <w:rsid w:val="00171F04"/>
    <w:rsid w:val="002C626F"/>
    <w:rsid w:val="002F3D76"/>
    <w:rsid w:val="003C1CE9"/>
    <w:rsid w:val="00703A53"/>
    <w:rsid w:val="007A4F48"/>
    <w:rsid w:val="008E71CC"/>
    <w:rsid w:val="00956F44"/>
    <w:rsid w:val="009D0945"/>
    <w:rsid w:val="00B02E19"/>
    <w:rsid w:val="00FA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D6BE"/>
  <w15:chartTrackingRefBased/>
  <w15:docId w15:val="{0B84D32B-E68E-48A8-90E8-A74713F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D76"/>
    <w:pPr>
      <w:suppressAutoHyphens/>
      <w:overflowPunct w:val="0"/>
      <w:autoSpaceDE w:val="0"/>
      <w:jc w:val="both"/>
      <w:textAlignment w:val="baseline"/>
    </w:pPr>
    <w:rPr>
      <w:rFonts w:eastAsia="Times New Roman"/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2F3D76"/>
    <w:pPr>
      <w:numPr>
        <w:numId w:val="1"/>
      </w:numPr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F3D76"/>
    <w:pPr>
      <w:numPr>
        <w:ilvl w:val="1"/>
        <w:numId w:val="1"/>
      </w:numPr>
      <w:suppressAutoHyphens w:val="0"/>
      <w:autoSpaceDN w:val="0"/>
      <w:adjustRightInd w:val="0"/>
      <w:spacing w:after="60"/>
      <w:outlineLvl w:val="1"/>
    </w:pPr>
    <w:rPr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2F3D7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F3D7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F3D7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F3D7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F3D76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2F3D7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2F3D7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F3D76"/>
    <w:rPr>
      <w:rFonts w:eastAsia="Times New Roman"/>
      <w:b/>
      <w:bCs/>
      <w:kern w:val="32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rsid w:val="002F3D76"/>
    <w:rPr>
      <w:rFonts w:eastAsia="Times New Roman"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2F3D76"/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2F3D76"/>
    <w:rPr>
      <w:rFonts w:ascii="Calibri" w:eastAsia="Times New Roman" w:hAnsi="Calibri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2F3D76"/>
    <w:rPr>
      <w:rFonts w:ascii="Calibri" w:eastAsia="Times New Roman" w:hAnsi="Calibri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2F3D76"/>
    <w:rPr>
      <w:rFonts w:ascii="Calibri" w:eastAsia="Times New Roman" w:hAnsi="Calibri"/>
      <w:b/>
      <w:bCs/>
      <w:sz w:val="22"/>
      <w:szCs w:val="22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2F3D76"/>
    <w:rPr>
      <w:rFonts w:ascii="Calibri" w:eastAsia="Times New Roman" w:hAnsi="Calibri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2F3D76"/>
    <w:rPr>
      <w:rFonts w:ascii="Calibri" w:eastAsia="Times New Roman" w:hAnsi="Calibri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2F3D76"/>
    <w:rPr>
      <w:rFonts w:ascii="Cambria" w:eastAsia="Times New Roman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2F3D76"/>
    <w:pPr>
      <w:widowControl w:val="0"/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F3D76"/>
    <w:rPr>
      <w:rFonts w:eastAsia="Times New Roman"/>
      <w:lang w:eastAsia="ar-SA"/>
    </w:rPr>
  </w:style>
  <w:style w:type="paragraph" w:styleId="Zpat">
    <w:name w:val="footer"/>
    <w:basedOn w:val="Normln"/>
    <w:link w:val="ZpatChar"/>
    <w:rsid w:val="002F3D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3D76"/>
    <w:rPr>
      <w:rFonts w:eastAsia="Times New Roman"/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F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F48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A4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F4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F48"/>
    <w:rPr>
      <w:rFonts w:eastAsia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F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F48"/>
    <w:rPr>
      <w:rFonts w:eastAsia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FDBE2A047744590A4F7CDFA53DF0D" ma:contentTypeVersion="11" ma:contentTypeDescription="Vytvoří nový dokument" ma:contentTypeScope="" ma:versionID="888ec5785d7e2287823511369c6fda90">
  <xsd:schema xmlns:xsd="http://www.w3.org/2001/XMLSchema" xmlns:xs="http://www.w3.org/2001/XMLSchema" xmlns:p="http://schemas.microsoft.com/office/2006/metadata/properties" xmlns:ns3="97dd56d9-7586-4c47-a2ff-6e29f46bf72a" xmlns:ns4="3b3cc35a-851c-4481-8562-6ce9f9f5548c" targetNamespace="http://schemas.microsoft.com/office/2006/metadata/properties" ma:root="true" ma:fieldsID="2e85ded849b20722fffa76ab4118b49a" ns3:_="" ns4:_="">
    <xsd:import namespace="97dd56d9-7586-4c47-a2ff-6e29f46bf72a"/>
    <xsd:import namespace="3b3cc35a-851c-4481-8562-6ce9f9f554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d56d9-7586-4c47-a2ff-6e29f46bf7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cc35a-851c-4481-8562-6ce9f9f55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04469-D69D-4AD9-8F0C-E79A277A295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b3cc35a-851c-4481-8562-6ce9f9f5548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7dd56d9-7586-4c47-a2ff-6e29f46bf72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93273F-FE1D-448A-A549-B8FBEDEAF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d56d9-7586-4c47-a2ff-6e29f46bf72a"/>
    <ds:schemaRef ds:uri="3b3cc35a-851c-4481-8562-6ce9f9f55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F603B-5714-4597-8F07-23DBBEA6B2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Knotek</dc:creator>
  <cp:keywords/>
  <dc:description/>
  <cp:lastModifiedBy>HS</cp:lastModifiedBy>
  <cp:revision>2</cp:revision>
  <cp:lastPrinted>2020-02-06T12:35:00Z</cp:lastPrinted>
  <dcterms:created xsi:type="dcterms:W3CDTF">2020-03-17T13:03:00Z</dcterms:created>
  <dcterms:modified xsi:type="dcterms:W3CDTF">2020-03-17T13:03:00Z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0x010100840FDBE2A047744590A4F7CDFA53DF0D</vt:lpwstr>
  </property>
</Properties>
</file>