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AA597" w14:textId="73F2947B" w:rsidR="005C0625" w:rsidRPr="000F61FE" w:rsidRDefault="003F690B" w:rsidP="000F61FE">
      <w:pPr>
        <w:pStyle w:val="Nadpis1"/>
        <w:numPr>
          <w:ilvl w:val="0"/>
          <w:numId w:val="0"/>
        </w:numPr>
        <w:ind w:left="432" w:hanging="432"/>
        <w:jc w:val="center"/>
        <w:rPr>
          <w:b/>
          <w:bCs/>
        </w:rPr>
      </w:pPr>
      <w:bookmarkStart w:id="0" w:name="_Toc513706822"/>
      <w:bookmarkStart w:id="1" w:name="_GoBack"/>
      <w:bookmarkEnd w:id="1"/>
      <w:r>
        <w:rPr>
          <w:b/>
          <w:bCs/>
        </w:rPr>
        <w:t>Podrobný popis</w:t>
      </w:r>
      <w:r w:rsidR="005C0625" w:rsidRPr="000F61FE">
        <w:rPr>
          <w:b/>
          <w:bCs/>
        </w:rPr>
        <w:t xml:space="preserve"> </w:t>
      </w:r>
      <w:bookmarkEnd w:id="0"/>
      <w:r>
        <w:rPr>
          <w:b/>
          <w:bCs/>
        </w:rPr>
        <w:t>předmětu plnění</w:t>
      </w:r>
    </w:p>
    <w:p w14:paraId="3E3E8E63" w14:textId="7F32B606" w:rsidR="003F48BF" w:rsidRPr="001D37F7" w:rsidRDefault="003F48BF" w:rsidP="003F48BF">
      <w:pPr>
        <w:spacing w:after="160"/>
        <w:rPr>
          <w:szCs w:val="22"/>
        </w:rPr>
      </w:pPr>
      <w:r w:rsidRPr="001D37F7">
        <w:rPr>
          <w:szCs w:val="22"/>
        </w:rPr>
        <w:t>Předmětem veřejné zakázky je zprac</w:t>
      </w:r>
      <w:r w:rsidRPr="001D37F7">
        <w:rPr>
          <w:color w:val="000000"/>
          <w:szCs w:val="22"/>
        </w:rPr>
        <w:t xml:space="preserve">ování </w:t>
      </w:r>
      <w:r w:rsidRPr="001D37F7">
        <w:rPr>
          <w:i/>
          <w:color w:val="000000"/>
          <w:szCs w:val="22"/>
        </w:rPr>
        <w:t>„</w:t>
      </w:r>
      <w:r w:rsidRPr="001D37F7">
        <w:rPr>
          <w:i/>
        </w:rPr>
        <w:t>Analýzy tržní situace</w:t>
      </w:r>
      <w:r w:rsidRPr="001D37F7">
        <w:rPr>
          <w:i/>
          <w:color w:val="000000"/>
          <w:szCs w:val="22"/>
        </w:rPr>
        <w:t xml:space="preserve"> a specifikace vhodných forem podpory pro účely přípravy </w:t>
      </w:r>
      <w:r w:rsidR="00DE3961" w:rsidRPr="00DE3961">
        <w:rPr>
          <w:i/>
          <w:color w:val="000000"/>
          <w:szCs w:val="22"/>
        </w:rPr>
        <w:t>priority 5</w:t>
      </w:r>
      <w:r w:rsidR="00E038D4">
        <w:rPr>
          <w:i/>
          <w:color w:val="000000"/>
          <w:szCs w:val="22"/>
        </w:rPr>
        <w:t xml:space="preserve"> </w:t>
      </w:r>
      <w:r w:rsidR="00DE3961" w:rsidRPr="00DE3961">
        <w:rPr>
          <w:i/>
          <w:color w:val="000000"/>
          <w:szCs w:val="22"/>
        </w:rPr>
        <w:t>- Rozvoj digitální infrastruktury</w:t>
      </w:r>
      <w:r w:rsidR="00DE3961" w:rsidRPr="001D37F7">
        <w:rPr>
          <w:i/>
          <w:color w:val="000000"/>
          <w:szCs w:val="22"/>
        </w:rPr>
        <w:t xml:space="preserve"> </w:t>
      </w:r>
      <w:r w:rsidRPr="001D37F7">
        <w:rPr>
          <w:i/>
          <w:color w:val="000000"/>
          <w:szCs w:val="22"/>
        </w:rPr>
        <w:t>operačního programu zaměřeného na konkurenceschopnost pro období 2021 - 2027“</w:t>
      </w:r>
      <w:r w:rsidRPr="001D37F7">
        <w:rPr>
          <w:color w:val="000000"/>
          <w:szCs w:val="22"/>
        </w:rPr>
        <w:t xml:space="preserve">. </w:t>
      </w:r>
      <w:r w:rsidRPr="00081433">
        <w:rPr>
          <w:color w:val="000000"/>
          <w:szCs w:val="22"/>
        </w:rPr>
        <w:t>Veřejná zakázka bude hrazena z prostředků Prioritní osy 5 „Technická pomoc“, SC 5.2 Operačního programu Podnikání a inovace pro konkurenceschopnost 2014 – 2020.</w:t>
      </w:r>
      <w:r w:rsidRPr="001D37F7">
        <w:rPr>
          <w:szCs w:val="22"/>
        </w:rPr>
        <w:t xml:space="preserve"> </w:t>
      </w:r>
    </w:p>
    <w:p w14:paraId="32F28AB7" w14:textId="37CE9393" w:rsidR="00A61C19" w:rsidRPr="001D37F7" w:rsidRDefault="00A61C19" w:rsidP="00A61C19">
      <w:pPr>
        <w:spacing w:after="160"/>
      </w:pPr>
      <w:r>
        <w:t>Součástí nabídky bude i stručné představení řešitelského týmu, vč. specifikace zapojení jednotlivých členů do realizaci zakázky.</w:t>
      </w:r>
    </w:p>
    <w:p w14:paraId="6B87AAEC" w14:textId="20847BF6" w:rsidR="00FE7EE6" w:rsidRPr="001D37F7" w:rsidRDefault="00FE7EE6" w:rsidP="00FE7EE6">
      <w:pPr>
        <w:spacing w:after="160"/>
      </w:pPr>
      <w:r w:rsidRPr="001D37F7">
        <w:t xml:space="preserve">Podrobný </w:t>
      </w:r>
      <w:r>
        <w:t xml:space="preserve">popis </w:t>
      </w:r>
      <w:r w:rsidRPr="001D37F7">
        <w:t>předmět</w:t>
      </w:r>
      <w:r>
        <w:t>u</w:t>
      </w:r>
      <w:r w:rsidRPr="001D37F7">
        <w:t xml:space="preserve"> plnění </w:t>
      </w:r>
      <w:r w:rsidR="003A00EA">
        <w:t>je dále uveden v</w:t>
      </w:r>
      <w:r>
        <w:t xml:space="preserve"> </w:t>
      </w:r>
      <w:r w:rsidRPr="001D37F7">
        <w:t>Přílo</w:t>
      </w:r>
      <w:r>
        <w:t>ze</w:t>
      </w:r>
      <w:r w:rsidR="00A07D84">
        <w:t xml:space="preserve"> č. 2</w:t>
      </w:r>
      <w:r w:rsidRPr="001D37F7">
        <w:t xml:space="preserve"> </w:t>
      </w:r>
      <w:r>
        <w:t>výzvy</w:t>
      </w:r>
      <w:r w:rsidRPr="001D37F7">
        <w:t>.</w:t>
      </w:r>
    </w:p>
    <w:p w14:paraId="2A6B177A" w14:textId="0BF2F292" w:rsidR="003F48BF" w:rsidRPr="001D37F7" w:rsidRDefault="003F48BF" w:rsidP="003F48BF">
      <w:pPr>
        <w:spacing w:after="160"/>
        <w:rPr>
          <w:szCs w:val="22"/>
        </w:rPr>
      </w:pPr>
      <w:r w:rsidRPr="001D37F7">
        <w:rPr>
          <w:szCs w:val="22"/>
        </w:rPr>
        <w:t>Cílem veřejné zakázky je ověřit, zda u oblastí podpory vymezených v rámci specifických cílů (dále jen „SC“) operačního programu v gesci MPO (Operační program zaměřený na konkurenceschopnost – dále jen „</w:t>
      </w:r>
      <w:r w:rsidR="002F39D4">
        <w:rPr>
          <w:szCs w:val="22"/>
        </w:rPr>
        <w:t>OP TAK</w:t>
      </w:r>
      <w:r w:rsidRPr="001D37F7">
        <w:rPr>
          <w:szCs w:val="22"/>
        </w:rPr>
        <w:t>“) dochází, nebo by v relevantním období 2021-2027 mohlo dojít, a pokud ano, za jakých okolností, k tržnímu selhání, jehož prokázání je dle návrhu legislativy pro politiku soudržnosti v programovém období 2021 – 2027</w:t>
      </w:r>
      <w:r w:rsidRPr="001D37F7">
        <w:rPr>
          <w:szCs w:val="22"/>
          <w:vertAlign w:val="superscript"/>
        </w:rPr>
        <w:footnoteReference w:id="1"/>
      </w:r>
      <w:r w:rsidRPr="001D37F7">
        <w:rPr>
          <w:szCs w:val="22"/>
        </w:rPr>
        <w:t xml:space="preserve"> nezbytným krokem pro realizaci intervencí z ESI fondů. Součástí realizace veřejné zakázky by rovněž </w:t>
      </w:r>
      <w:proofErr w:type="gramStart"/>
      <w:r w:rsidRPr="001D37F7">
        <w:rPr>
          <w:szCs w:val="22"/>
        </w:rPr>
        <w:t>měla</w:t>
      </w:r>
      <w:proofErr w:type="gramEnd"/>
      <w:r w:rsidRPr="001D37F7">
        <w:rPr>
          <w:szCs w:val="22"/>
        </w:rPr>
        <w:t xml:space="preserve"> být analýza s následným doporučením ohledně volby vhodné formy </w:t>
      </w:r>
      <w:r w:rsidR="00BC631A">
        <w:rPr>
          <w:szCs w:val="22"/>
        </w:rPr>
        <w:t xml:space="preserve">podpory společně s odůvodněním </w:t>
      </w:r>
      <w:proofErr w:type="gramStart"/>
      <w:r w:rsidR="00BC631A" w:rsidRPr="001D37F7">
        <w:rPr>
          <w:szCs w:val="22"/>
        </w:rPr>
        <w:t>tzn.</w:t>
      </w:r>
      <w:proofErr w:type="gramEnd"/>
      <w:r w:rsidR="00BC631A" w:rsidRPr="001D37F7">
        <w:rPr>
          <w:szCs w:val="22"/>
        </w:rPr>
        <w:t>, v rámci</w:t>
      </w:r>
      <w:r w:rsidRPr="001D37F7">
        <w:rPr>
          <w:szCs w:val="22"/>
        </w:rPr>
        <w:t xml:space="preserve"> kterých oblastí podpory/SC využít dotace či finanční nástroje</w:t>
      </w:r>
      <w:r>
        <w:rPr>
          <w:szCs w:val="22"/>
        </w:rPr>
        <w:t xml:space="preserve"> ve formě úvěrové, záruční, či kapitálové/kvazikapitálové</w:t>
      </w:r>
      <w:r w:rsidRPr="001D37F7">
        <w:rPr>
          <w:szCs w:val="22"/>
        </w:rPr>
        <w:t xml:space="preserve"> (dále jen „FN“), resp. jejich kombinaci.</w:t>
      </w:r>
      <w:r w:rsidRPr="001D37F7">
        <w:rPr>
          <w:szCs w:val="22"/>
          <w:vertAlign w:val="superscript"/>
        </w:rPr>
        <w:footnoteReference w:id="2"/>
      </w:r>
      <w:r w:rsidRPr="001D37F7">
        <w:rPr>
          <w:szCs w:val="22"/>
        </w:rPr>
        <w:t xml:space="preserve"> Samotný návrh objemu finančních prostředků pro jednotlivé SC bude vycházet z již zpracovan</w:t>
      </w:r>
      <w:r w:rsidR="00704E22">
        <w:rPr>
          <w:szCs w:val="22"/>
        </w:rPr>
        <w:t>é analýzy absorpční kapacity OP TAK</w:t>
      </w:r>
      <w:r w:rsidRPr="001D37F7">
        <w:rPr>
          <w:szCs w:val="22"/>
        </w:rPr>
        <w:t xml:space="preserve"> s tím, že zadávaná analýza navrhne na základě svých zjištění doporučený objem potřebného financování, resp. finančních prostředků pro dotace a FN či jejich kombinaci. Hlavní výstup bude představovat zpracovaná Závěrečná zpráva. </w:t>
      </w:r>
    </w:p>
    <w:p w14:paraId="69706CE6" w14:textId="7465A4D2" w:rsidR="003F48BF" w:rsidRPr="001D37F7" w:rsidRDefault="003F48BF" w:rsidP="003F48BF">
      <w:pPr>
        <w:spacing w:after="160"/>
        <w:rPr>
          <w:rFonts w:cs="Calibri"/>
          <w:color w:val="222222"/>
          <w:szCs w:val="22"/>
        </w:rPr>
      </w:pPr>
      <w:r w:rsidRPr="001D37F7">
        <w:rPr>
          <w:szCs w:val="22"/>
        </w:rPr>
        <w:t>Selhání trhu nebo sub-optimální investiční situace budou zkoumány na základě analýzy finančních/investičních potřeb nebo mezer v tržním financování a z hlediska rovnováhy mezi nabídkou a poptávkou v dané oblasti dle zaměření relevantních SC</w:t>
      </w:r>
      <w:r w:rsidRPr="001D37F7">
        <w:rPr>
          <w:bCs/>
          <w:szCs w:val="22"/>
        </w:rPr>
        <w:t>, které je třeba řešit, má-li se přispět k dosažení konkrétn</w:t>
      </w:r>
      <w:r w:rsidR="00704E22">
        <w:rPr>
          <w:bCs/>
          <w:szCs w:val="22"/>
        </w:rPr>
        <w:t>ích cílů stanovených v rámci OP TAK</w:t>
      </w:r>
      <w:r w:rsidRPr="001D37F7">
        <w:rPr>
          <w:bCs/>
          <w:szCs w:val="22"/>
        </w:rPr>
        <w:t xml:space="preserve"> či Dohodě o partnerství a které mají být podpořeny dotacemi, FN či jejich kombinací.</w:t>
      </w:r>
      <w:r w:rsidRPr="001D37F7">
        <w:rPr>
          <w:szCs w:val="22"/>
        </w:rPr>
        <w:t xml:space="preserve"> Zároveň je však potřeba zhodnotit i situace, kdy nabídka převyšuje poptávku, nicméně z různých důvodů nedochází k</w:t>
      </w:r>
      <w:r w:rsidRPr="001D37F7">
        <w:rPr>
          <w:rFonts w:cs="Arial"/>
          <w:color w:val="000000"/>
          <w:szCs w:val="22"/>
        </w:rPr>
        <w:t> investicím za účelem naplnění požadovaných cílů.</w:t>
      </w:r>
      <w:r w:rsidRPr="001D37F7">
        <w:rPr>
          <w:szCs w:val="22"/>
        </w:rPr>
        <w:t xml:space="preserve"> Analýza tržní situace</w:t>
      </w:r>
      <w:r w:rsidRPr="001D37F7">
        <w:rPr>
          <w:szCs w:val="22"/>
          <w:vertAlign w:val="superscript"/>
        </w:rPr>
        <w:footnoteReference w:id="3"/>
      </w:r>
      <w:r w:rsidRPr="001D37F7">
        <w:rPr>
          <w:szCs w:val="22"/>
        </w:rPr>
        <w:t xml:space="preserve"> se tak zaměří zejména na analýzu aktuálního stavu a možného budoucího vývoje souvisejících ukazatelů na finančním trhu, ale i v cílových skupinách, přičemž</w:t>
      </w:r>
      <w:r w:rsidRPr="001D37F7">
        <w:rPr>
          <w:rFonts w:cs="Calibri"/>
          <w:color w:val="222222"/>
          <w:szCs w:val="22"/>
        </w:rPr>
        <w:t xml:space="preserve"> by měla identifikovat oblasti s obtížným přístupem k financování u cílových skupin včetně zdůvodnění.</w:t>
      </w:r>
    </w:p>
    <w:p w14:paraId="190E9BA2" w14:textId="77777777" w:rsidR="003F48BF" w:rsidRPr="001D37F7" w:rsidRDefault="003F48BF" w:rsidP="003F48BF">
      <w:pPr>
        <w:spacing w:after="160"/>
      </w:pPr>
      <w:r w:rsidRPr="001D37F7">
        <w:rPr>
          <w:bCs/>
          <w:szCs w:val="22"/>
        </w:rPr>
        <w:t>A</w:t>
      </w:r>
      <w:r w:rsidRPr="001D37F7">
        <w:rPr>
          <w:rFonts w:cs="Arial"/>
          <w:color w:val="000000"/>
          <w:szCs w:val="22"/>
        </w:rPr>
        <w:t xml:space="preserve">nalýza by tak měla identifikovat, proč subjekty cílových skupin na straně poptávky nejsou schopny financovat své investiční záměry za tržních podmínek či nemají o investice zájem, vč. případných bariér </w:t>
      </w:r>
      <w:r w:rsidRPr="001D37F7">
        <w:rPr>
          <w:rFonts w:cs="Arial"/>
          <w:color w:val="000000"/>
          <w:szCs w:val="22"/>
        </w:rPr>
        <w:lastRenderedPageBreak/>
        <w:t>na straně nabídky. Obecně řečeno, k tržnímu selhání</w:t>
      </w:r>
      <w:r w:rsidRPr="001D37F7">
        <w:rPr>
          <w:rFonts w:cs="Arial"/>
          <w:color w:val="000000"/>
          <w:szCs w:val="22"/>
          <w:vertAlign w:val="superscript"/>
        </w:rPr>
        <w:footnoteReference w:id="4"/>
      </w:r>
      <w:r w:rsidRPr="001D37F7">
        <w:rPr>
          <w:rFonts w:cs="Arial"/>
          <w:color w:val="000000"/>
          <w:szCs w:val="22"/>
        </w:rPr>
        <w:t xml:space="preserve"> nebo suboptimální investiční situaci dochází v okamžiku, kdy nejsou splněny podmínky efektivní alokace zdrojů. Nejčastěji se s tržním selháním setkáváme v případě, kdy i přes dostatečnou nabídku finančních prostředků není možné financovat ekonomicky smysluplné projekty. Nabídka i poptávka jsou tedy dostatečně robustní, ale nedochází k jejich interakci, která by zaručovala efektivní alokaci volných peněžních prostředků na trhu – může jít proto např. o informační bariéry nebo asymetrickou distribuci informací (nedostatečná připravenost projektů). Svojí roli také může hrát averze k riziku na straně nabídky a další faktory. Tržní selhání je pak možno vyčíslit jako převis poptávky nad nabídkou v případě nedostatečnosti financování, nebo jako neuspokojenou </w:t>
      </w:r>
      <w:r>
        <w:rPr>
          <w:rFonts w:cs="Arial"/>
          <w:color w:val="000000"/>
          <w:szCs w:val="22"/>
        </w:rPr>
        <w:t>poptávku</w:t>
      </w:r>
      <w:r w:rsidRPr="001D37F7">
        <w:rPr>
          <w:rFonts w:cs="Arial"/>
          <w:color w:val="000000"/>
          <w:szCs w:val="22"/>
        </w:rPr>
        <w:t xml:space="preserve"> v podmínkách dostatečné saturace trhu volnými peněžními prostředky. </w:t>
      </w:r>
      <w:r w:rsidRPr="001D37F7">
        <w:t xml:space="preserve">V obou případech lze velikost tržního selhání interpretovat jako spodní hranici absorpční kapacity trhu. </w:t>
      </w:r>
      <w:r w:rsidRPr="001D37F7">
        <w:rPr>
          <w:szCs w:val="22"/>
        </w:rPr>
        <w:t>K tržnímu selhání však může dojít i v případě bariér na straně poptávky např. při absenci motivace</w:t>
      </w:r>
      <w:r w:rsidRPr="001D37F7">
        <w:rPr>
          <w:szCs w:val="22"/>
          <w:vertAlign w:val="superscript"/>
        </w:rPr>
        <w:footnoteReference w:id="5"/>
      </w:r>
      <w:r w:rsidRPr="001D37F7">
        <w:rPr>
          <w:szCs w:val="22"/>
        </w:rPr>
        <w:t xml:space="preserve"> podnikatelských subjektů k investicím s dlouhodobější návratností s ohledem na preferenci těch s krátkodobou návratností, což má však negativní vliv na dosahování stanovených cílů na úrovni OP, resp. Do</w:t>
      </w:r>
      <w:r>
        <w:rPr>
          <w:szCs w:val="22"/>
        </w:rPr>
        <w:t>hody o partnerství</w:t>
      </w:r>
      <w:r w:rsidRPr="001D37F7">
        <w:rPr>
          <w:szCs w:val="22"/>
        </w:rPr>
        <w:t xml:space="preserve"> ze strany podnikatelských subjektů. Zároveň se může jednat i o investice s vysokým rizikem, které odrazují jednotlivé podniky od určitého typu aktivit, které však mohou prospívat společnosti jako celku, resp. naplňovat veřejný zájem. Roli mohou hrát např. i vysoké transakční či informační náklady.</w:t>
      </w:r>
    </w:p>
    <w:p w14:paraId="607554CA" w14:textId="26B52D42" w:rsidR="003F48BF" w:rsidRPr="001D37F7" w:rsidRDefault="003F48BF" w:rsidP="003F48BF">
      <w:pPr>
        <w:spacing w:after="160"/>
        <w:rPr>
          <w:bCs/>
          <w:szCs w:val="22"/>
        </w:rPr>
      </w:pPr>
      <w:r w:rsidRPr="001D37F7">
        <w:rPr>
          <w:szCs w:val="22"/>
        </w:rPr>
        <w:t xml:space="preserve">Proto, má-li být analyzován trh z hlediska případného selhání, je nutno rozebrat jeho určující komponenty, tedy zvlášť stranu nabídky a poptávky. Výsledky této analýzy umožní kvantifikovat investiční mezeru, jejíž velikostí se rozumí neuspokojená poptávka po investičních prostředcích, při zohlednění potenciální absorpční kapacity, jejíž velikostí se rozumí potenciální velikost poptávky způsobilých příjemců po zdrojích alokovaných ve vybraných SC připravovaného </w:t>
      </w:r>
      <w:r w:rsidR="002F39D4">
        <w:rPr>
          <w:szCs w:val="22"/>
        </w:rPr>
        <w:t>OP TAK</w:t>
      </w:r>
      <w:r w:rsidRPr="001D37F7">
        <w:rPr>
          <w:szCs w:val="22"/>
        </w:rPr>
        <w:t xml:space="preserve">. Jsou-li zjištěny nedostatky v tržním financování, měla by analýza posoudit přidanou hodnotu jejich řešení za využití dotací či FN, resp. jejich kombinace. Na straně poptávky by rovněž měly být zhodnoceny faktory, které snižují poptávku při dostatečnosti nabídky. Analýza by také měla brát v potaz jiné formy veřejné intervence (tzn. existující intervence veřejného sektoru, dotace či jinou dostupnou podporu z regionálních, národních či nadnárodních zdrojů) či soukromé zásahy při řešení stejných investičních oblastí na daném trhu, zároveň i </w:t>
      </w:r>
      <w:r w:rsidRPr="001D37F7">
        <w:rPr>
          <w:bCs/>
          <w:szCs w:val="22"/>
        </w:rPr>
        <w:t>možné dopady státní podpory či přiměřenost zamýšlené intervence a opatření pro minimalizaci narušení trhu.</w:t>
      </w:r>
    </w:p>
    <w:p w14:paraId="1042B967" w14:textId="77777777" w:rsidR="003F48BF" w:rsidRPr="001D37F7" w:rsidRDefault="003F48BF" w:rsidP="003F48BF">
      <w:pPr>
        <w:spacing w:after="160"/>
        <w:rPr>
          <w:szCs w:val="22"/>
        </w:rPr>
      </w:pPr>
      <w:r w:rsidRPr="001D37F7">
        <w:t xml:space="preserve">Výsledek analýzy strany nabídky by měl poskytnout ucelenou představu o této straně trhu, tzn. různé intervence veřejného či soukromého sektoru. </w:t>
      </w:r>
      <w:r w:rsidRPr="001D37F7">
        <w:rPr>
          <w:szCs w:val="22"/>
        </w:rPr>
        <w:t xml:space="preserve">Charakter nabídky utvářejí parametry příslušných finančních produktů a jejich dostupnost. Důležitými parametry nabídky finančních zdrojů jsou požadavky na příjemce a typové projekty. Doplňkem k výčtu podporovaných příjemců a projektů vymezíme okruh příjemců či typů projektů, kterým současná podoba nabídky neskýtá vhodná řešení jejich investiční potřeby. </w:t>
      </w:r>
    </w:p>
    <w:p w14:paraId="6ACF6D19" w14:textId="77777777" w:rsidR="003F48BF" w:rsidRPr="001D37F7" w:rsidRDefault="003F48BF" w:rsidP="003F48BF">
      <w:pPr>
        <w:spacing w:after="160"/>
        <w:rPr>
          <w:szCs w:val="22"/>
        </w:rPr>
      </w:pPr>
      <w:r w:rsidRPr="001D37F7">
        <w:rPr>
          <w:szCs w:val="22"/>
        </w:rPr>
        <w:lastRenderedPageBreak/>
        <w:t>Výsledek analýzy strany poptávky by pak měl poskytnout ucelenou představu o celkové investiční poptávce, o počtech a kategoriích subjektů, které ji utváří, a projektů, pro něž ji vytváří.</w:t>
      </w:r>
      <w:r w:rsidRPr="001D37F7">
        <w:rPr>
          <w:szCs w:val="22"/>
          <w:vertAlign w:val="superscript"/>
        </w:rPr>
        <w:footnoteReference w:id="6"/>
      </w:r>
      <w:r w:rsidRPr="001D37F7">
        <w:rPr>
          <w:szCs w:val="22"/>
        </w:rPr>
        <w:t xml:space="preserve"> V analýze je třeba rozlišovat mezi investiční poptávkou a investiční potřebou, která je horním limitem absorpční kapacity a představuje celkovou investiční kapacitu vymezené oblasti ekonomiky. Poptávka je podmnožinou investiční kapacity a tvoří ji aktivovaná část celkové absorpční kapacity, tedy ti žadatelé, kteří spolu s projektem splňují kritéria, mají kam investovat, a zároveň se skutečně pokusí financování získat. Analýza zahrnuje kvalifikovaný odhad investiční poptávky, popisuje kategorie příjemců a projektů. Analýza by neměla být omezena na současný stav a měla by na základě historického vývoje a současných impulzů předpovědět její další vývoj do budoucna. Výstupem analýzy by měla být poptávka vyčíslena jako poptávka po </w:t>
      </w:r>
      <w:r>
        <w:rPr>
          <w:szCs w:val="22"/>
        </w:rPr>
        <w:t>podpoře v daném segmentu</w:t>
      </w:r>
      <w:r w:rsidRPr="001D37F7">
        <w:rPr>
          <w:szCs w:val="22"/>
        </w:rPr>
        <w:t xml:space="preserve">. </w:t>
      </w:r>
    </w:p>
    <w:p w14:paraId="32993944" w14:textId="77777777" w:rsidR="003F48BF" w:rsidRPr="001D37F7" w:rsidRDefault="003F48BF" w:rsidP="003F48BF">
      <w:pPr>
        <w:spacing w:after="160"/>
        <w:rPr>
          <w:szCs w:val="22"/>
        </w:rPr>
      </w:pPr>
      <w:r w:rsidRPr="001D37F7">
        <w:rPr>
          <w:szCs w:val="22"/>
        </w:rPr>
        <w:t>Důležitou charakteristikou existující poptávky je důvod jejího dosavadního neuspokojení. Analýza by tak měla zahrnout i dosavadní zkušenosti s nástroji veřejné podpory – typicky počty podaných, schválených a odmítnutých žádostí</w:t>
      </w:r>
      <w:r>
        <w:rPr>
          <w:szCs w:val="22"/>
        </w:rPr>
        <w:t>, a to jak u dotací, tak i u FN</w:t>
      </w:r>
      <w:r w:rsidRPr="001D37F7">
        <w:rPr>
          <w:szCs w:val="22"/>
        </w:rPr>
        <w:t xml:space="preserve">. Odhad velikosti poptávky vychází ze statistických dat. Investiční potenciál lze dovozovat i analýzou převisu poptávky po jiných používaných FN nebo dotačních programech – tedy situace, kdy se na některé žadatele nedostalo, i když splňovali všechna kritéria. </w:t>
      </w:r>
    </w:p>
    <w:p w14:paraId="3B36AFCF" w14:textId="0F96147F" w:rsidR="003F48BF" w:rsidRPr="001D37F7" w:rsidRDefault="003F48BF" w:rsidP="003F48BF">
      <w:pPr>
        <w:spacing w:after="240"/>
        <w:rPr>
          <w:szCs w:val="22"/>
        </w:rPr>
      </w:pPr>
      <w:r w:rsidRPr="001D37F7">
        <w:rPr>
          <w:rFonts w:cs="Calibri"/>
          <w:color w:val="222222"/>
          <w:szCs w:val="22"/>
        </w:rPr>
        <w:t xml:space="preserve">Výsledky analýzy prováděné v rámci první části (identifikace tržního selhání) tak budou tvořit základní vstup pro druhou část (posouzení a určení formy podpory a orientační výši potřebného financování, tzn. analýza objemu zdrojů ESI fondů, které mají být přiděleny na dotace a FN, resp. jejich kombinaci, a zaplnit tak investiční mezeru). První část by tak měla podpořit závěr, že selhání trhu a nedostatečné investiční situace lze účinně řešit prostřednictvím ESI fondů. Druhá část doporučí objem prostředků pro jednotlivé formy podpory v rámci jednotlivých SC při zohlednění priorit EU. </w:t>
      </w:r>
      <w:r w:rsidRPr="001D37F7">
        <w:rPr>
          <w:szCs w:val="22"/>
        </w:rPr>
        <w:t>Správně nastavená intervence může tržní selhání nebo suboptimální investiční situaci redukovat dostatečnou alokací a podporovaným rámcem, čímž koriguje obě příčiny vzniku investiční mezery.</w:t>
      </w:r>
      <w:r w:rsidRPr="001D37F7">
        <w:rPr>
          <w:rFonts w:cs="Calibri"/>
          <w:color w:val="222222"/>
          <w:szCs w:val="22"/>
        </w:rPr>
        <w:t xml:space="preserve"> </w:t>
      </w:r>
      <w:r w:rsidRPr="001D37F7">
        <w:rPr>
          <w:szCs w:val="22"/>
        </w:rPr>
        <w:t xml:space="preserve">Navrhovaná opatření pak usilují o dosažení korekce tržního selhání a suboptimálních investičních situací typových projektů podporovaných aktivit vybraných specifických cílů </w:t>
      </w:r>
      <w:r w:rsidR="002F39D4">
        <w:rPr>
          <w:szCs w:val="22"/>
        </w:rPr>
        <w:t>OP TAK</w:t>
      </w:r>
      <w:r w:rsidRPr="001D37F7">
        <w:rPr>
          <w:szCs w:val="22"/>
        </w:rPr>
        <w:t xml:space="preserve">, aniž by byly narušeny zdravé tržní mechanismy nebo došlo k vytěsnění soukromého kapitálu. </w:t>
      </w:r>
    </w:p>
    <w:p w14:paraId="3C036454" w14:textId="77777777" w:rsidR="003F48BF" w:rsidRPr="001D37F7" w:rsidRDefault="003F48BF" w:rsidP="003F48BF">
      <w:pPr>
        <w:spacing w:after="240"/>
        <w:rPr>
          <w:szCs w:val="22"/>
        </w:rPr>
      </w:pPr>
      <w:r w:rsidRPr="001D37F7">
        <w:rPr>
          <w:szCs w:val="22"/>
        </w:rPr>
        <w:t xml:space="preserve">Zadavatel je si vědom obtížnosti predikce ekonomické situace v rozhodném období 2021-2027 a proto požaduje, aby byly vždy důsledně a jednoznačně odděleny výstupy a komentáře týkající se současné situace od ze své povahy spekulativních úvah o budoucím vývoji ekonomiky, kdy je vždy nutné uvést, za jakých podmínek a předpokladů by popisovaný stav mohl nastat. </w:t>
      </w:r>
    </w:p>
    <w:p w14:paraId="42BEBA37" w14:textId="0B9D059C" w:rsidR="00DE13B7" w:rsidRPr="001D37F7" w:rsidRDefault="00DE13B7" w:rsidP="00DE13B7">
      <w:pPr>
        <w:spacing w:after="160"/>
        <w:rPr>
          <w:b/>
          <w:szCs w:val="22"/>
        </w:rPr>
      </w:pPr>
      <w:r w:rsidRPr="001D37F7">
        <w:rPr>
          <w:b/>
          <w:szCs w:val="22"/>
        </w:rPr>
        <w:t xml:space="preserve">Oblasti podpory </w:t>
      </w:r>
      <w:r w:rsidR="002F39D4">
        <w:rPr>
          <w:b/>
          <w:szCs w:val="22"/>
        </w:rPr>
        <w:t>OP TAK</w:t>
      </w:r>
      <w:r w:rsidRPr="001D37F7">
        <w:rPr>
          <w:b/>
          <w:szCs w:val="22"/>
        </w:rPr>
        <w:t>:</w:t>
      </w:r>
    </w:p>
    <w:p w14:paraId="29FAB835" w14:textId="21ECF15D" w:rsidR="00DE13B7" w:rsidRPr="001D37F7" w:rsidRDefault="00DE13B7" w:rsidP="00DE13B7">
      <w:pPr>
        <w:spacing w:after="160"/>
        <w:rPr>
          <w:szCs w:val="22"/>
        </w:rPr>
      </w:pPr>
      <w:r w:rsidRPr="001D37F7">
        <w:rPr>
          <w:szCs w:val="22"/>
        </w:rPr>
        <w:t xml:space="preserve">Níže jsou uvedené jednotlivé priority </w:t>
      </w:r>
      <w:r w:rsidR="002F39D4">
        <w:rPr>
          <w:szCs w:val="22"/>
        </w:rPr>
        <w:t>OP TAK</w:t>
      </w:r>
      <w:r w:rsidRPr="001D37F7">
        <w:rPr>
          <w:szCs w:val="22"/>
        </w:rPr>
        <w:t> s vymezením SC:</w:t>
      </w:r>
    </w:p>
    <w:p w14:paraId="18084850" w14:textId="77777777" w:rsidR="00DE13B7" w:rsidRPr="001D37F7" w:rsidRDefault="00DE13B7" w:rsidP="00DE13B7">
      <w:pPr>
        <w:spacing w:after="160"/>
        <w:rPr>
          <w:rFonts w:cs="Arial"/>
          <w:b/>
        </w:rPr>
      </w:pPr>
      <w:r w:rsidRPr="001D37F7">
        <w:rPr>
          <w:b/>
        </w:rPr>
        <w:t xml:space="preserve">Priorita 5 - </w:t>
      </w:r>
      <w:r w:rsidRPr="001D37F7">
        <w:rPr>
          <w:rFonts w:cs="Arial"/>
          <w:b/>
        </w:rPr>
        <w:t xml:space="preserve">Rozvoj digitální infrastruktury </w:t>
      </w:r>
    </w:p>
    <w:p w14:paraId="10CAF5C3" w14:textId="77777777" w:rsidR="00DE13B7" w:rsidRPr="001D37F7" w:rsidRDefault="00DE13B7" w:rsidP="00DE13B7">
      <w:pPr>
        <w:numPr>
          <w:ilvl w:val="0"/>
          <w:numId w:val="39"/>
        </w:numPr>
        <w:spacing w:after="160" w:line="280" w:lineRule="exact"/>
        <w:contextualSpacing/>
        <w:jc w:val="left"/>
        <w:rPr>
          <w:szCs w:val="22"/>
        </w:rPr>
      </w:pPr>
      <w:r w:rsidRPr="001D37F7">
        <w:rPr>
          <w:szCs w:val="22"/>
        </w:rPr>
        <w:t>zvýšení digitálního propojení (SC 5.1).</w:t>
      </w:r>
    </w:p>
    <w:p w14:paraId="7E631F92" w14:textId="77777777" w:rsidR="003F48BF" w:rsidRPr="001D37F7" w:rsidRDefault="003F48BF" w:rsidP="003F48BF"/>
    <w:p w14:paraId="3BBF2225" w14:textId="77777777" w:rsidR="003F48BF" w:rsidRPr="001D37F7" w:rsidRDefault="003F48BF" w:rsidP="003F48BF">
      <w:pPr>
        <w:keepNext/>
        <w:keepLines/>
        <w:rPr>
          <w:b/>
          <w:szCs w:val="22"/>
        </w:rPr>
      </w:pPr>
      <w:r w:rsidRPr="001D37F7">
        <w:rPr>
          <w:b/>
          <w:szCs w:val="22"/>
        </w:rPr>
        <w:t>I. etapa: Vstupní zpráva</w:t>
      </w:r>
    </w:p>
    <w:p w14:paraId="2E8DB3E5" w14:textId="77777777" w:rsidR="003F48BF" w:rsidRPr="007F6053" w:rsidRDefault="003F48BF" w:rsidP="003F48BF">
      <w:pPr>
        <w:keepNext/>
        <w:keepLines/>
        <w:rPr>
          <w:szCs w:val="22"/>
        </w:rPr>
      </w:pPr>
      <w:r w:rsidRPr="007F6053">
        <w:rPr>
          <w:szCs w:val="22"/>
        </w:rPr>
        <w:t>Vstupní zpráva (dále též „VZ“) bude obsahovat zejména přístup k analytickým otázkám, dosavadní zjištění dodavatele a soubor z nich plynoucích hypotéz relevantních pro jednotlivé analytické otázky. VZ bude obsahovat metodiku realizace projektu, včetně postupů pro sběr dat, vytvoření šablon dotazníků apod. VZ bude obsahovat vypracování etapizace a harmonogramu projektu, včetně specifikace lhůt pro případnou součinnost ze strany zadavatele. VZ bude obsahovat přehled dodavatelů projektu a osob odpovědných za každou etapu realizace.</w:t>
      </w:r>
    </w:p>
    <w:p w14:paraId="0D3B127D" w14:textId="20BC88CE" w:rsidR="003F48BF" w:rsidRPr="007F6053" w:rsidRDefault="003F48BF" w:rsidP="003F48BF">
      <w:pPr>
        <w:keepNext/>
        <w:keepLines/>
        <w:rPr>
          <w:szCs w:val="22"/>
        </w:rPr>
      </w:pPr>
      <w:r w:rsidRPr="007F6053">
        <w:rPr>
          <w:szCs w:val="22"/>
        </w:rPr>
        <w:t>Dodavatel může ve VZ na základě provedených zjištění navrhnout zdůvodněnou úpravu nebo specifikaci plánovaných výzkumných postupů, jež podléhá schválení ze strany zadavatele. Vstupní zpráva prochází formálním sch</w:t>
      </w:r>
      <w:r w:rsidR="00FE7EE6">
        <w:rPr>
          <w:szCs w:val="22"/>
        </w:rPr>
        <w:t>valovacím procesem popsaným ve s</w:t>
      </w:r>
      <w:r w:rsidRPr="007F6053">
        <w:rPr>
          <w:szCs w:val="22"/>
        </w:rPr>
        <w:t xml:space="preserve">mlouvě o dílo, která </w:t>
      </w:r>
      <w:r w:rsidR="00FE7EE6">
        <w:rPr>
          <w:szCs w:val="22"/>
        </w:rPr>
        <w:t>tvoří</w:t>
      </w:r>
      <w:r w:rsidRPr="007F6053">
        <w:rPr>
          <w:szCs w:val="22"/>
        </w:rPr>
        <w:t xml:space="preserve"> </w:t>
      </w:r>
      <w:r w:rsidR="00FE7EE6">
        <w:rPr>
          <w:szCs w:val="22"/>
        </w:rPr>
        <w:t>Přílohu</w:t>
      </w:r>
      <w:r w:rsidRPr="007F6053">
        <w:rPr>
          <w:szCs w:val="22"/>
        </w:rPr>
        <w:t xml:space="preserve"> č. </w:t>
      </w:r>
      <w:r>
        <w:rPr>
          <w:szCs w:val="22"/>
        </w:rPr>
        <w:t>3</w:t>
      </w:r>
      <w:r w:rsidR="00FE7EE6">
        <w:rPr>
          <w:szCs w:val="22"/>
        </w:rPr>
        <w:t xml:space="preserve"> výzvy</w:t>
      </w:r>
      <w:r w:rsidRPr="007F6053">
        <w:rPr>
          <w:szCs w:val="22"/>
        </w:rPr>
        <w:t>. Zadavatel předpokládá rozsah této zprávy maximálně 30 normostran</w:t>
      </w:r>
      <w:r w:rsidR="000A2D5B">
        <w:rPr>
          <w:rStyle w:val="Znakapoznpodarou"/>
          <w:szCs w:val="22"/>
        </w:rPr>
        <w:footnoteReference w:id="7"/>
      </w:r>
      <w:r w:rsidRPr="007F6053">
        <w:rPr>
          <w:szCs w:val="22"/>
        </w:rPr>
        <w:t>.</w:t>
      </w:r>
    </w:p>
    <w:p w14:paraId="2E410507" w14:textId="77777777" w:rsidR="003F48BF" w:rsidRDefault="003F48BF" w:rsidP="003F48BF">
      <w:pPr>
        <w:keepNext/>
        <w:keepLines/>
        <w:rPr>
          <w:szCs w:val="22"/>
        </w:rPr>
      </w:pPr>
      <w:r w:rsidRPr="007F6053">
        <w:rPr>
          <w:szCs w:val="22"/>
        </w:rPr>
        <w:t>Dodavatel zašle VZ elektronickou poštou určeným kontaktním osobám zadavatele.</w:t>
      </w:r>
    </w:p>
    <w:p w14:paraId="1F65564C" w14:textId="77777777" w:rsidR="003F48BF" w:rsidRPr="007F6053" w:rsidRDefault="003F48BF" w:rsidP="003F48BF">
      <w:pPr>
        <w:keepNext/>
        <w:keepLines/>
      </w:pPr>
    </w:p>
    <w:p w14:paraId="0F6A9930" w14:textId="77777777" w:rsidR="003F48BF" w:rsidRPr="001D37F7" w:rsidRDefault="003F48BF" w:rsidP="003F48BF">
      <w:pPr>
        <w:rPr>
          <w:b/>
        </w:rPr>
      </w:pPr>
      <w:r w:rsidRPr="004178E6">
        <w:rPr>
          <w:b/>
        </w:rPr>
        <w:t>II. etapa: Průběžná zpráva</w:t>
      </w:r>
    </w:p>
    <w:p w14:paraId="07839065" w14:textId="75E05638" w:rsidR="003F48BF" w:rsidRDefault="003F48BF" w:rsidP="003F48BF">
      <w:pPr>
        <w:rPr>
          <w:szCs w:val="22"/>
        </w:rPr>
      </w:pPr>
      <w:r w:rsidRPr="001D37F7">
        <w:rPr>
          <w:szCs w:val="22"/>
        </w:rPr>
        <w:t>Průběžná zpráva (dále též „PZ“) bude obsahovat zejména dosavadní zjištění dodavatele a prvotní výsledky analýzy tržní s</w:t>
      </w:r>
      <w:r w:rsidR="00272FC0">
        <w:rPr>
          <w:szCs w:val="22"/>
        </w:rPr>
        <w:t>ituace</w:t>
      </w:r>
      <w:r w:rsidRPr="001D37F7">
        <w:rPr>
          <w:szCs w:val="22"/>
        </w:rPr>
        <w:t>. Ta bude založena na analýze dat doposud získaných na základě zhodnocení vývoje souvisejících ukazatelů na finančním trhu, ale i v cílových skupinách, dále pak na základě tržního průzkumu a pohovorů se zástupci cílových skupin. Zároveň by měla být založena na výsledcích kvantitativního a kvalitativního průzkumu a obsahovat analýzu potřeb financování cílových skupin prostřednictvím grantových titulů a finančních nástrojů ve vztahu k inkriminovaným specifickým cílům. Dodavatel může v PZ na základě provedených zjištění navrhnout zdůvodněnou úpravu nebo specifikaci plánovaných výzkumných postupů, která bude podléhat schválení zadavatele. Zadavatel předpokládá rozsah této zprávy maximálně 50 normostran.</w:t>
      </w:r>
    </w:p>
    <w:p w14:paraId="0DAC56D0" w14:textId="77777777" w:rsidR="003F48BF" w:rsidRPr="001D37F7" w:rsidRDefault="003F48BF" w:rsidP="003F48BF">
      <w:pPr>
        <w:rPr>
          <w:szCs w:val="22"/>
        </w:rPr>
      </w:pPr>
    </w:p>
    <w:p w14:paraId="5D4730E1" w14:textId="77777777" w:rsidR="003F48BF" w:rsidRPr="001D37F7" w:rsidRDefault="003F48BF" w:rsidP="003F48BF">
      <w:pPr>
        <w:rPr>
          <w:b/>
          <w:szCs w:val="22"/>
        </w:rPr>
      </w:pPr>
      <w:r w:rsidRPr="001D37F7">
        <w:rPr>
          <w:b/>
          <w:szCs w:val="22"/>
        </w:rPr>
        <w:t>III. etapa: Závěrečná zpráva</w:t>
      </w:r>
    </w:p>
    <w:p w14:paraId="0F2B1ECD" w14:textId="77777777" w:rsidR="003F48BF" w:rsidRPr="001D37F7" w:rsidRDefault="003F48BF" w:rsidP="003F48BF">
      <w:pPr>
        <w:spacing w:after="160"/>
        <w:rPr>
          <w:szCs w:val="22"/>
        </w:rPr>
      </w:pPr>
      <w:r w:rsidRPr="001D37F7">
        <w:rPr>
          <w:szCs w:val="22"/>
        </w:rPr>
        <w:t xml:space="preserve">Závěrečná zpráva (dále jen „ZZ“) bude obsahovat odsouhlasenou verzi Průběžné zprávy, kterou dodavatel zpracuje dle harmonogramu, komplexní výzkumné šetření provedené za účelem dosažení výše uvedených cílů a jeho vyhodnocení, v jehož rámci dodavatel zodpoví definované analytické otázky a navrhne další postupy a řešení. </w:t>
      </w:r>
    </w:p>
    <w:p w14:paraId="04496A01" w14:textId="77777777" w:rsidR="003F48BF" w:rsidRPr="001D37F7" w:rsidRDefault="003F48BF" w:rsidP="003F48BF">
      <w:pPr>
        <w:spacing w:after="160"/>
        <w:rPr>
          <w:szCs w:val="22"/>
        </w:rPr>
      </w:pPr>
      <w:r w:rsidRPr="001D37F7">
        <w:rPr>
          <w:szCs w:val="22"/>
        </w:rPr>
        <w:t>Závěrečná zpráva bude zahrnovat:</w:t>
      </w:r>
    </w:p>
    <w:p w14:paraId="0F745F70" w14:textId="19F43F66" w:rsidR="003F48BF" w:rsidRPr="001D37F7" w:rsidRDefault="003F48BF" w:rsidP="003F48BF">
      <w:pPr>
        <w:numPr>
          <w:ilvl w:val="0"/>
          <w:numId w:val="43"/>
        </w:numPr>
        <w:spacing w:after="160" w:line="280" w:lineRule="exact"/>
        <w:ind w:left="714" w:hanging="357"/>
        <w:jc w:val="left"/>
        <w:rPr>
          <w:szCs w:val="22"/>
        </w:rPr>
      </w:pPr>
      <w:r w:rsidRPr="001D37F7">
        <w:rPr>
          <w:szCs w:val="22"/>
        </w:rPr>
        <w:t xml:space="preserve">Identifikaci, zda v relevantních oblastech podpory/specifických cílech </w:t>
      </w:r>
      <w:r w:rsidR="002F39D4">
        <w:rPr>
          <w:szCs w:val="22"/>
        </w:rPr>
        <w:t>OP TAK</w:t>
      </w:r>
      <w:r w:rsidRPr="001D37F7">
        <w:rPr>
          <w:szCs w:val="22"/>
        </w:rPr>
        <w:t> dochází k selhání trhu, jeho typ</w:t>
      </w:r>
      <w:r>
        <w:rPr>
          <w:szCs w:val="22"/>
        </w:rPr>
        <w:t>,</w:t>
      </w:r>
      <w:r w:rsidRPr="001D37F7">
        <w:rPr>
          <w:szCs w:val="22"/>
        </w:rPr>
        <w:t xml:space="preserve"> rozsah</w:t>
      </w:r>
      <w:r>
        <w:rPr>
          <w:szCs w:val="22"/>
        </w:rPr>
        <w:t xml:space="preserve"> a odůvodnění, v úvahu je potřeba vzít i regionální hledisko</w:t>
      </w:r>
    </w:p>
    <w:p w14:paraId="7E7E1291" w14:textId="77777777" w:rsidR="003F48BF" w:rsidRDefault="003F48BF" w:rsidP="003F48BF">
      <w:pPr>
        <w:numPr>
          <w:ilvl w:val="0"/>
          <w:numId w:val="43"/>
        </w:numPr>
        <w:spacing w:after="160" w:line="280" w:lineRule="exact"/>
        <w:contextualSpacing/>
        <w:jc w:val="left"/>
        <w:rPr>
          <w:szCs w:val="22"/>
        </w:rPr>
      </w:pPr>
      <w:r w:rsidRPr="001D37F7">
        <w:rPr>
          <w:szCs w:val="22"/>
        </w:rPr>
        <w:t>Doporučení ve</w:t>
      </w:r>
      <w:r>
        <w:rPr>
          <w:szCs w:val="22"/>
        </w:rPr>
        <w:t xml:space="preserve"> smyslu</w:t>
      </w:r>
      <w:r w:rsidRPr="001D37F7">
        <w:rPr>
          <w:szCs w:val="22"/>
        </w:rPr>
        <w:t xml:space="preserve"> návrhu vhodné formy podpory</w:t>
      </w:r>
      <w:r>
        <w:rPr>
          <w:szCs w:val="22"/>
        </w:rPr>
        <w:t>, tzn. dotace</w:t>
      </w:r>
      <w:r w:rsidRPr="001D37F7">
        <w:rPr>
          <w:szCs w:val="22"/>
        </w:rPr>
        <w:t>, FN či jejich kombinace</w:t>
      </w:r>
      <w:r>
        <w:rPr>
          <w:szCs w:val="22"/>
        </w:rPr>
        <w:t>,</w:t>
      </w:r>
      <w:r w:rsidRPr="001D37F7">
        <w:rPr>
          <w:szCs w:val="22"/>
        </w:rPr>
        <w:t xml:space="preserve"> za účelem řešení tržního selhání</w:t>
      </w:r>
      <w:r>
        <w:rPr>
          <w:szCs w:val="22"/>
        </w:rPr>
        <w:t xml:space="preserve"> v rámci jednotlivých SC a jeho odůvodnění</w:t>
      </w:r>
    </w:p>
    <w:p w14:paraId="459B3E6F" w14:textId="77777777" w:rsidR="003F48BF" w:rsidRPr="001D37F7" w:rsidRDefault="003F48BF" w:rsidP="003F48BF">
      <w:pPr>
        <w:spacing w:after="160" w:line="280" w:lineRule="exact"/>
        <w:ind w:left="720"/>
        <w:contextualSpacing/>
        <w:jc w:val="left"/>
        <w:rPr>
          <w:szCs w:val="22"/>
        </w:rPr>
      </w:pPr>
    </w:p>
    <w:p w14:paraId="6FB7089B" w14:textId="5A589937" w:rsidR="003F48BF" w:rsidRPr="001D37F7" w:rsidRDefault="003F48BF" w:rsidP="003F48BF">
      <w:pPr>
        <w:spacing w:after="160"/>
      </w:pPr>
      <w:r w:rsidRPr="001D37F7">
        <w:lastRenderedPageBreak/>
        <w:t>Vyhodnocení povede k syntéze závěrů a doporučení pro zaměření programovacího období 2021+ a potvrzení pro MPO, že může realizovat intervence v rámci vymezených SC. Bude obsahovat závěry, výsledky (spolu s odhadem míry jejich pravděpodobnosti) a doporučení dodavatele, včetně zdůvodnění a potřebné argumentace za účelem jejich řádného využití při dalších pracích zadavatele na OP</w:t>
      </w:r>
      <w:r w:rsidR="00704E22">
        <w:t xml:space="preserve"> TAK</w:t>
      </w:r>
      <w:r w:rsidRPr="001D37F7">
        <w:t>. Analýza a z ní vyplývající závěry musí dosáhnout stanoveného výzkumného cíle pomocí zodpovězení zadaných analytických otázek.</w:t>
      </w:r>
    </w:p>
    <w:p w14:paraId="5BD20BCE" w14:textId="77777777" w:rsidR="003F48BF" w:rsidRPr="001D37F7" w:rsidRDefault="003F48BF" w:rsidP="003F48BF">
      <w:pPr>
        <w:spacing w:after="160"/>
        <w:rPr>
          <w:szCs w:val="22"/>
        </w:rPr>
      </w:pPr>
      <w:r w:rsidRPr="00F501E5">
        <w:rPr>
          <w:szCs w:val="22"/>
        </w:rPr>
        <w:t>Zadavatel očekává ZZ v celkovém rozsahu max. 90 normostran (rozsah nezahrnuje případné přílohy). ZZ bude předána v českém jazyce, v listinné podobě ve dvou originálech, a dále v (editovatelné) elektronické podobě na elektronickém nosiči dat (typu: flash disk) a zaslána na k</w:t>
      </w:r>
      <w:r w:rsidRPr="001D37F7">
        <w:rPr>
          <w:szCs w:val="22"/>
        </w:rPr>
        <w:t xml:space="preserve">ontaktní emaily. </w:t>
      </w:r>
    </w:p>
    <w:p w14:paraId="241BD473" w14:textId="77777777" w:rsidR="003F48BF" w:rsidRDefault="003F48BF" w:rsidP="003F48BF">
      <w:pPr>
        <w:rPr>
          <w:szCs w:val="22"/>
        </w:rPr>
      </w:pPr>
      <w:r w:rsidRPr="001D37F7">
        <w:rPr>
          <w:szCs w:val="22"/>
        </w:rPr>
        <w:t>Zkrácená verze ZZ (manažerské shrnutí), o předpokládaném rozsahu max. 5 normostran, bude předána v českém a anglickém jazyce. V rámci tohoto manažerského shrnutí dodavatel provede syntézu jednotlivých zjištění.</w:t>
      </w:r>
    </w:p>
    <w:p w14:paraId="7CFF2C65" w14:textId="652AC642" w:rsidR="003F48BF" w:rsidRDefault="003F48BF" w:rsidP="003F48BF">
      <w:pPr>
        <w:rPr>
          <w:szCs w:val="22"/>
        </w:rPr>
      </w:pPr>
      <w:r w:rsidRPr="00594AAF">
        <w:rPr>
          <w:szCs w:val="22"/>
        </w:rPr>
        <w:t xml:space="preserve">ZZ projde formálním schvalovacím procesem popsaným ve </w:t>
      </w:r>
      <w:r>
        <w:rPr>
          <w:szCs w:val="22"/>
        </w:rPr>
        <w:t>smlouvě o dílo (viz Příloha č. 3</w:t>
      </w:r>
      <w:r w:rsidR="00FE7EE6">
        <w:rPr>
          <w:szCs w:val="22"/>
        </w:rPr>
        <w:t xml:space="preserve"> výzvy</w:t>
      </w:r>
      <w:r w:rsidRPr="00594AAF">
        <w:rPr>
          <w:szCs w:val="22"/>
        </w:rPr>
        <w:t>). Schvalovací proces uzavírá zadavatel. K jeho uzavření dojde po předání nashromážděných materiálů (včetně všech dílčích výstupů, které sloužily k vytvoření finální podoby ZZ), finální verze zprávy a po zapracování připomínek v požadované kvalitě. Předání bude zaznamenáno p</w:t>
      </w:r>
      <w:r>
        <w:rPr>
          <w:szCs w:val="22"/>
        </w:rPr>
        <w:t>ísemným akceptačním protokolem.</w:t>
      </w:r>
    </w:p>
    <w:p w14:paraId="1F64150F" w14:textId="77777777" w:rsidR="003F48BF" w:rsidRPr="003F48BF" w:rsidRDefault="003F48BF" w:rsidP="003F48BF">
      <w:pPr>
        <w:rPr>
          <w:szCs w:val="22"/>
        </w:rPr>
      </w:pPr>
    </w:p>
    <w:p w14:paraId="64572244" w14:textId="77777777" w:rsidR="003F48BF" w:rsidRPr="003F48BF" w:rsidRDefault="003F48BF" w:rsidP="003F48BF">
      <w:pPr>
        <w:rPr>
          <w:b/>
        </w:rPr>
      </w:pPr>
      <w:bookmarkStart w:id="2" w:name="_Ref11621097"/>
      <w:r w:rsidRPr="003F48BF">
        <w:rPr>
          <w:b/>
        </w:rPr>
        <w:t>Analytické otázky</w:t>
      </w:r>
    </w:p>
    <w:p w14:paraId="7DCA7A1E" w14:textId="4A30F1E3" w:rsidR="003F48BF" w:rsidRPr="00FC2E9D" w:rsidRDefault="003F48BF" w:rsidP="003F48BF">
      <w:pPr>
        <w:pStyle w:val="Odstavecseseznamem"/>
        <w:numPr>
          <w:ilvl w:val="0"/>
          <w:numId w:val="42"/>
        </w:numPr>
        <w:overflowPunct/>
        <w:spacing w:after="160"/>
        <w:textAlignment w:val="auto"/>
        <w:rPr>
          <w:szCs w:val="22"/>
        </w:rPr>
      </w:pPr>
      <w:r w:rsidRPr="00891F2D">
        <w:rPr>
          <w:szCs w:val="22"/>
        </w:rPr>
        <w:t>V</w:t>
      </w:r>
      <w:r>
        <w:rPr>
          <w:szCs w:val="22"/>
        </w:rPr>
        <w:t>e</w:t>
      </w:r>
      <w:r w:rsidRPr="00891F2D">
        <w:rPr>
          <w:szCs w:val="22"/>
        </w:rPr>
        <w:t> kterých oblastech</w:t>
      </w:r>
      <w:r>
        <w:rPr>
          <w:szCs w:val="22"/>
        </w:rPr>
        <w:t xml:space="preserve"> v rámci SC </w:t>
      </w:r>
      <w:r w:rsidR="002F39D4">
        <w:rPr>
          <w:szCs w:val="22"/>
        </w:rPr>
        <w:t>OP TAK</w:t>
      </w:r>
      <w:r w:rsidRPr="00891F2D">
        <w:rPr>
          <w:szCs w:val="22"/>
        </w:rPr>
        <w:t xml:space="preserve"> dochází k tržnímu </w:t>
      </w:r>
      <w:r w:rsidRPr="00146563">
        <w:rPr>
          <w:szCs w:val="22"/>
        </w:rPr>
        <w:t>selhání nebo suboptimální investiční</w:t>
      </w:r>
      <w:r w:rsidRPr="0044341F">
        <w:rPr>
          <w:szCs w:val="22"/>
        </w:rPr>
        <w:t xml:space="preserve"> </w:t>
      </w:r>
      <w:r w:rsidRPr="00061162">
        <w:rPr>
          <w:szCs w:val="22"/>
        </w:rPr>
        <w:t>si</w:t>
      </w:r>
      <w:r>
        <w:rPr>
          <w:szCs w:val="22"/>
        </w:rPr>
        <w:t>tuaci</w:t>
      </w:r>
      <w:r w:rsidRPr="00061162">
        <w:rPr>
          <w:szCs w:val="22"/>
        </w:rPr>
        <w:t xml:space="preserve">? </w:t>
      </w:r>
      <w:r w:rsidRPr="00FC2E9D">
        <w:rPr>
          <w:szCs w:val="22"/>
        </w:rPr>
        <w:t xml:space="preserve"> </w:t>
      </w:r>
    </w:p>
    <w:p w14:paraId="5BBBD4EC" w14:textId="77777777" w:rsidR="003F48BF" w:rsidRDefault="003F48BF" w:rsidP="003F48BF">
      <w:pPr>
        <w:pStyle w:val="Odstavecseseznamem"/>
        <w:numPr>
          <w:ilvl w:val="0"/>
          <w:numId w:val="42"/>
        </w:numPr>
        <w:overflowPunct/>
        <w:spacing w:after="160"/>
        <w:textAlignment w:val="auto"/>
        <w:rPr>
          <w:szCs w:val="22"/>
        </w:rPr>
      </w:pPr>
      <w:r w:rsidRPr="000E57F4">
        <w:rPr>
          <w:szCs w:val="22"/>
        </w:rPr>
        <w:t xml:space="preserve">Jak přesně se tržní selhání či suboptimální investiční situace </w:t>
      </w:r>
      <w:r>
        <w:rPr>
          <w:szCs w:val="22"/>
        </w:rPr>
        <w:t xml:space="preserve">v daných oblastech </w:t>
      </w:r>
      <w:r w:rsidRPr="000E57F4">
        <w:rPr>
          <w:szCs w:val="22"/>
        </w:rPr>
        <w:t xml:space="preserve">projevuje? </w:t>
      </w:r>
    </w:p>
    <w:p w14:paraId="4FE43DAC" w14:textId="77777777" w:rsidR="003F48BF" w:rsidRPr="00E9044E" w:rsidRDefault="003F48BF" w:rsidP="003F48BF">
      <w:pPr>
        <w:pStyle w:val="Odstavecseseznamem"/>
        <w:numPr>
          <w:ilvl w:val="0"/>
          <w:numId w:val="42"/>
        </w:numPr>
        <w:overflowPunct/>
        <w:spacing w:after="160"/>
        <w:textAlignment w:val="auto"/>
        <w:rPr>
          <w:szCs w:val="22"/>
        </w:rPr>
      </w:pPr>
      <w:r w:rsidRPr="00E9044E">
        <w:rPr>
          <w:szCs w:val="22"/>
        </w:rPr>
        <w:t xml:space="preserve">Postihuje tržní selhání nebo suboptimální investiční situace celou ČR či pouze některý z regionů?  </w:t>
      </w:r>
    </w:p>
    <w:p w14:paraId="021EC475" w14:textId="77777777" w:rsidR="003F48BF" w:rsidRDefault="003F48BF" w:rsidP="003F48BF">
      <w:pPr>
        <w:pStyle w:val="Odstavecseseznamem"/>
        <w:numPr>
          <w:ilvl w:val="0"/>
          <w:numId w:val="42"/>
        </w:numPr>
        <w:overflowPunct/>
        <w:spacing w:after="160"/>
        <w:textAlignment w:val="auto"/>
        <w:rPr>
          <w:szCs w:val="22"/>
        </w:rPr>
      </w:pPr>
      <w:r w:rsidRPr="00891F2D">
        <w:rPr>
          <w:szCs w:val="22"/>
        </w:rPr>
        <w:t>J</w:t>
      </w:r>
      <w:r>
        <w:rPr>
          <w:szCs w:val="22"/>
        </w:rPr>
        <w:t>aká</w:t>
      </w:r>
      <w:r w:rsidRPr="00891F2D">
        <w:rPr>
          <w:szCs w:val="22"/>
        </w:rPr>
        <w:t xml:space="preserve"> jsou </w:t>
      </w:r>
      <w:r>
        <w:rPr>
          <w:szCs w:val="22"/>
        </w:rPr>
        <w:t>doporučení/návrhy pro využití dostupných forem</w:t>
      </w:r>
      <w:r w:rsidRPr="00891F2D">
        <w:rPr>
          <w:szCs w:val="22"/>
        </w:rPr>
        <w:t xml:space="preserve"> podpory</w:t>
      </w:r>
      <w:r>
        <w:rPr>
          <w:szCs w:val="22"/>
        </w:rPr>
        <w:t xml:space="preserve"> v rámci jednotlivých SC/aktivit</w:t>
      </w:r>
      <w:r w:rsidRPr="00891F2D">
        <w:rPr>
          <w:szCs w:val="22"/>
        </w:rPr>
        <w:t xml:space="preserve">, které by měly </w:t>
      </w:r>
      <w:r>
        <w:rPr>
          <w:szCs w:val="22"/>
        </w:rPr>
        <w:t>řešit tržní</w:t>
      </w:r>
      <w:r w:rsidRPr="00891F2D">
        <w:rPr>
          <w:szCs w:val="22"/>
        </w:rPr>
        <w:t xml:space="preserve"> selhání či subopti</w:t>
      </w:r>
      <w:r>
        <w:rPr>
          <w:szCs w:val="22"/>
        </w:rPr>
        <w:t>mální investiční situace v podnikatelském sektoru?</w:t>
      </w:r>
    </w:p>
    <w:p w14:paraId="71636F3A" w14:textId="77777777" w:rsidR="003F48BF" w:rsidRDefault="003F48BF" w:rsidP="003F48BF">
      <w:pPr>
        <w:pStyle w:val="Odstavecseseznamem"/>
        <w:spacing w:after="160"/>
        <w:rPr>
          <w:szCs w:val="22"/>
        </w:rPr>
      </w:pPr>
    </w:p>
    <w:p w14:paraId="0EAF0328" w14:textId="52BC7664" w:rsidR="003F48BF" w:rsidRDefault="003F48BF" w:rsidP="003F48BF">
      <w:pPr>
        <w:rPr>
          <w:szCs w:val="22"/>
        </w:rPr>
      </w:pPr>
      <w:r w:rsidRPr="00E25B4E">
        <w:rPr>
          <w:szCs w:val="22"/>
        </w:rPr>
        <w:t xml:space="preserve">Pro účely </w:t>
      </w:r>
      <w:r>
        <w:rPr>
          <w:szCs w:val="22"/>
        </w:rPr>
        <w:t xml:space="preserve">veřejné zakázky </w:t>
      </w:r>
      <w:r w:rsidRPr="00E25B4E">
        <w:rPr>
          <w:szCs w:val="22"/>
        </w:rPr>
        <w:t>je po</w:t>
      </w:r>
      <w:r>
        <w:rPr>
          <w:szCs w:val="22"/>
        </w:rPr>
        <w:t>skytnuta</w:t>
      </w:r>
      <w:r w:rsidRPr="00E25B4E">
        <w:rPr>
          <w:szCs w:val="22"/>
        </w:rPr>
        <w:t xml:space="preserve"> stručná charakteristika </w:t>
      </w:r>
      <w:r>
        <w:rPr>
          <w:szCs w:val="22"/>
        </w:rPr>
        <w:t xml:space="preserve">náplně jednotlivých SC, jež byly zpracovány pro účely tvorby </w:t>
      </w:r>
      <w:r w:rsidR="002F39D4">
        <w:rPr>
          <w:szCs w:val="22"/>
        </w:rPr>
        <w:t>OP TAK</w:t>
      </w:r>
      <w:r w:rsidRPr="00E25B4E">
        <w:rPr>
          <w:szCs w:val="22"/>
        </w:rPr>
        <w:t xml:space="preserve">. </w:t>
      </w:r>
      <w:r>
        <w:rPr>
          <w:szCs w:val="22"/>
        </w:rPr>
        <w:t xml:space="preserve">Tento materiál je neveřejným podkladem sloužícím pro účely přípravy programového období 2021 - 2027. Proto je nutné jej považovat za důvěrný a jeho použití je vymezeno jen pro účely přípravy nabídky uchazeče o tuto veřejnou zakázku. </w:t>
      </w:r>
      <w:r w:rsidRPr="00E25B4E">
        <w:rPr>
          <w:szCs w:val="22"/>
        </w:rPr>
        <w:t>Uchazeč z</w:t>
      </w:r>
      <w:r w:rsidRPr="004E155A">
        <w:rPr>
          <w:szCs w:val="22"/>
        </w:rPr>
        <w:t>pracuje svoji nabídku na základě těchto podkladů.</w:t>
      </w:r>
    </w:p>
    <w:p w14:paraId="6B18BC1E" w14:textId="77777777" w:rsidR="003F48BF" w:rsidRPr="009C09CF" w:rsidRDefault="003F48BF" w:rsidP="003F48BF">
      <w:r>
        <w:rPr>
          <w:szCs w:val="22"/>
        </w:rPr>
        <w:t>Pro zpracování dané analýzy aktuá</w:t>
      </w:r>
      <w:r w:rsidRPr="00542C38">
        <w:rPr>
          <w:szCs w:val="22"/>
        </w:rPr>
        <w:t>lně předpokládám</w:t>
      </w:r>
      <w:r>
        <w:rPr>
          <w:szCs w:val="22"/>
        </w:rPr>
        <w:t>e využití kombinace metod, které</w:t>
      </w:r>
      <w:r w:rsidRPr="00542C38">
        <w:rPr>
          <w:szCs w:val="22"/>
        </w:rPr>
        <w:t xml:space="preserve"> zajistí jejich triangulaci, což bude mít za následek zvýšení robustnosti získaných výsledků</w:t>
      </w:r>
      <w:r>
        <w:rPr>
          <w:szCs w:val="22"/>
        </w:rPr>
        <w:t xml:space="preserve"> </w:t>
      </w:r>
      <w:r w:rsidRPr="002E771C">
        <w:rPr>
          <w:szCs w:val="22"/>
        </w:rPr>
        <w:t>(např. získávání primárních</w:t>
      </w:r>
      <w:r>
        <w:rPr>
          <w:szCs w:val="22"/>
        </w:rPr>
        <w:t xml:space="preserve"> i sekundárních</w:t>
      </w:r>
      <w:r w:rsidRPr="002E771C">
        <w:rPr>
          <w:szCs w:val="22"/>
        </w:rPr>
        <w:t xml:space="preserve"> dat, dotazování mezi firmami, informace o proběhlých výzvách z MS 2014</w:t>
      </w:r>
      <w:r>
        <w:rPr>
          <w:szCs w:val="22"/>
        </w:rPr>
        <w:t>+</w:t>
      </w:r>
      <w:r w:rsidRPr="002E771C">
        <w:rPr>
          <w:szCs w:val="22"/>
        </w:rPr>
        <w:t xml:space="preserve"> atp.).</w:t>
      </w:r>
    </w:p>
    <w:p w14:paraId="2EF5B9A5" w14:textId="77777777" w:rsidR="003F48BF" w:rsidRPr="00FC5295" w:rsidRDefault="003F48BF" w:rsidP="003F48BF"/>
    <w:p w14:paraId="23DFB467" w14:textId="77777777" w:rsidR="003F48BF" w:rsidRPr="003F48BF" w:rsidRDefault="003F48BF" w:rsidP="003F48BF">
      <w:pPr>
        <w:rPr>
          <w:b/>
        </w:rPr>
      </w:pPr>
      <w:r w:rsidRPr="003F48BF">
        <w:rPr>
          <w:b/>
        </w:rPr>
        <w:lastRenderedPageBreak/>
        <w:t>Relevantní materiály a podklady</w:t>
      </w:r>
      <w:bookmarkEnd w:id="2"/>
    </w:p>
    <w:p w14:paraId="58189581" w14:textId="77777777" w:rsidR="003F48BF" w:rsidRDefault="003F48BF" w:rsidP="003F48BF">
      <w:pPr>
        <w:pStyle w:val="Odstavecseseznamem"/>
        <w:numPr>
          <w:ilvl w:val="0"/>
          <w:numId w:val="41"/>
        </w:numPr>
        <w:spacing w:after="120" w:line="264" w:lineRule="auto"/>
        <w:contextualSpacing w:val="0"/>
        <w:rPr>
          <w:szCs w:val="22"/>
        </w:rPr>
      </w:pPr>
      <w:r w:rsidRPr="009435D4">
        <w:rPr>
          <w:szCs w:val="22"/>
        </w:rPr>
        <w:t xml:space="preserve">Operační program Podnikání a inovace </w:t>
      </w:r>
      <w:r>
        <w:rPr>
          <w:szCs w:val="22"/>
        </w:rPr>
        <w:t xml:space="preserve">pro konkurenceschopnost 2014 – 2020 (dostupné </w:t>
      </w:r>
      <w:hyperlink r:id="rId8" w:history="1">
        <w:r>
          <w:rPr>
            <w:rStyle w:val="Hypertextovodkaz"/>
            <w:szCs w:val="22"/>
          </w:rPr>
          <w:t>zde</w:t>
        </w:r>
      </w:hyperlink>
      <w:r>
        <w:rPr>
          <w:szCs w:val="22"/>
        </w:rPr>
        <w:t>)</w:t>
      </w:r>
    </w:p>
    <w:p w14:paraId="422C57A5" w14:textId="77777777" w:rsidR="003F48BF" w:rsidRDefault="003F48BF" w:rsidP="003F48BF">
      <w:pPr>
        <w:pStyle w:val="Odstavecseseznamem"/>
        <w:numPr>
          <w:ilvl w:val="0"/>
          <w:numId w:val="41"/>
        </w:numPr>
        <w:spacing w:after="120" w:line="264" w:lineRule="auto"/>
        <w:contextualSpacing w:val="0"/>
        <w:rPr>
          <w:szCs w:val="22"/>
        </w:rPr>
      </w:pPr>
      <w:r w:rsidRPr="009435D4">
        <w:rPr>
          <w:szCs w:val="22"/>
        </w:rPr>
        <w:t>Operační program Podnikání a inovace</w:t>
      </w:r>
      <w:r>
        <w:rPr>
          <w:szCs w:val="22"/>
        </w:rPr>
        <w:t xml:space="preserve"> 2007 – 2013 (dostupné </w:t>
      </w:r>
      <w:hyperlink r:id="rId9" w:history="1">
        <w:r w:rsidRPr="004A319F">
          <w:rPr>
            <w:rStyle w:val="Hypertextovodkaz"/>
            <w:szCs w:val="22"/>
          </w:rPr>
          <w:t>zde</w:t>
        </w:r>
      </w:hyperlink>
      <w:r>
        <w:rPr>
          <w:szCs w:val="22"/>
        </w:rPr>
        <w:t>)</w:t>
      </w:r>
    </w:p>
    <w:p w14:paraId="3A2B305B" w14:textId="77777777" w:rsidR="003F48BF" w:rsidRPr="00260EBE" w:rsidRDefault="003F48BF" w:rsidP="003F48BF">
      <w:pPr>
        <w:pStyle w:val="Odstavecseseznamem"/>
        <w:numPr>
          <w:ilvl w:val="0"/>
          <w:numId w:val="41"/>
        </w:numPr>
        <w:spacing w:after="120" w:line="264" w:lineRule="auto"/>
        <w:contextualSpacing w:val="0"/>
      </w:pPr>
      <w:r>
        <w:t>Návrh Operačního programu zaměřeného na konkurenceschopnost 2021 - 2027</w:t>
      </w:r>
    </w:p>
    <w:p w14:paraId="25EADD9D" w14:textId="77777777" w:rsidR="003F48BF" w:rsidRDefault="003F48BF" w:rsidP="003F48BF">
      <w:pPr>
        <w:pStyle w:val="Odstavecseseznamem"/>
        <w:numPr>
          <w:ilvl w:val="0"/>
          <w:numId w:val="41"/>
        </w:numPr>
        <w:spacing w:after="120" w:line="264" w:lineRule="auto"/>
        <w:contextualSpacing w:val="0"/>
      </w:pPr>
      <w:r w:rsidRPr="00260EBE">
        <w:t>Národní koncepce realizace politiky soudržnosti v ČR po roce 2020</w:t>
      </w:r>
    </w:p>
    <w:p w14:paraId="3E449F9C" w14:textId="77777777" w:rsidR="003F48BF" w:rsidRDefault="003F48BF" w:rsidP="003F48BF">
      <w:pPr>
        <w:pStyle w:val="Odstavecseseznamem"/>
        <w:numPr>
          <w:ilvl w:val="0"/>
          <w:numId w:val="41"/>
        </w:numPr>
        <w:spacing w:after="120" w:line="264" w:lineRule="auto"/>
        <w:contextualSpacing w:val="0"/>
      </w:pPr>
      <w:r>
        <w:t>Karty MPO obsahující popis podporovaných oblastí, resp. aktivit v rámci jednotlivých specifických cílů</w:t>
      </w:r>
    </w:p>
    <w:p w14:paraId="69ABF9C3" w14:textId="77777777" w:rsidR="003F48BF" w:rsidRPr="00260EBE" w:rsidRDefault="003F48BF" w:rsidP="003F48BF">
      <w:pPr>
        <w:pStyle w:val="Odstavecseseznamem"/>
        <w:numPr>
          <w:ilvl w:val="0"/>
          <w:numId w:val="41"/>
        </w:numPr>
        <w:spacing w:after="120" w:line="264" w:lineRule="auto"/>
        <w:contextualSpacing w:val="0"/>
      </w:pPr>
      <w:r w:rsidRPr="00260EBE">
        <w:t>Návrh EK, tzv. Víceletého finančního rámce (VFR) na roky 2021-2027 z 2. 5. 2018</w:t>
      </w:r>
    </w:p>
    <w:p w14:paraId="0599A2BB"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t>Ná</w:t>
      </w:r>
      <w:r w:rsidRPr="00B42A79">
        <w:rPr>
          <w:color w:val="000000"/>
          <w:szCs w:val="22"/>
        </w:rPr>
        <w:t>vrh Nařízení Evropského parlamentu a Rady (EU) o Evropském fondu pro regionální rozvoj a o Fondu soudržnosti 2018/0197 (COD)</w:t>
      </w:r>
    </w:p>
    <w:p w14:paraId="7204A132"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Návrh Nařízení Evropského parlamentu a Rady (EU) o společných ustanoveních o Evropském fondu pro regionální rozvoj, Evropském sociálním fondu plus, Fondu soudržnosti a Evropském námořním a rybářském fondu a o finančních pravidlech pro tyto fondy a pro Azylový a migrační fond, Fond pro vnitřní bezpečnost a Nástroj pro správu hranic a víza  2018/0196 (COD)</w:t>
      </w:r>
      <w:r w:rsidRPr="00B42A79">
        <w:rPr>
          <w:rStyle w:val="Znakapoznpodarou"/>
          <w:color w:val="000000"/>
          <w:szCs w:val="22"/>
        </w:rPr>
        <w:footnoteReference w:id="8"/>
      </w:r>
    </w:p>
    <w:p w14:paraId="36A8DD05"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rStyle w:val="Siln"/>
          <w:rFonts w:cs="Arial"/>
          <w:b w:val="0"/>
          <w:color w:val="000000"/>
          <w:szCs w:val="22"/>
          <w:bdr w:val="none" w:sz="0" w:space="0" w:color="auto" w:frame="1"/>
          <w:shd w:val="clear" w:color="auto" w:fill="FFFFFF"/>
        </w:rPr>
        <w:t>Nařízení Komise (EU) č. 651/2014</w:t>
      </w:r>
      <w:r w:rsidRPr="00B42A79">
        <w:rPr>
          <w:rFonts w:cs="Arial"/>
          <w:b/>
          <w:color w:val="000000"/>
          <w:szCs w:val="22"/>
          <w:shd w:val="clear" w:color="auto" w:fill="FFFFFF"/>
        </w:rPr>
        <w:t> </w:t>
      </w:r>
      <w:r w:rsidRPr="00B42A79">
        <w:rPr>
          <w:rFonts w:cs="Arial"/>
          <w:color w:val="000000"/>
          <w:szCs w:val="22"/>
          <w:shd w:val="clear" w:color="auto" w:fill="FFFFFF"/>
        </w:rPr>
        <w:t>ze dne 17. června 2014, kterým se v souladu s články 107 a 108 Smlouvy prohlašují určité kategorie podpory za slučitelné s vnitřním trhem</w:t>
      </w:r>
    </w:p>
    <w:p w14:paraId="0733EB5A"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Nařízení Komise (EU) č. 651/2014 ze dne 17. června 2014, Rámec pro státní podporu výzkumu, vývoje a inovací (2014/C 198/01)</w:t>
      </w:r>
    </w:p>
    <w:p w14:paraId="6DD889B3"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Dohoda o partnerství</w:t>
      </w:r>
    </w:p>
    <w:p w14:paraId="27278619"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Zpráva o ČR pro rok 2019</w:t>
      </w:r>
    </w:p>
    <w:p w14:paraId="3250407A"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Specifická doporučení Rady</w:t>
      </w:r>
    </w:p>
    <w:p w14:paraId="4BC66887"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Analýza absorpční kapacity Operačního programu zaměřeného na konkurenceschopnost pro období 2021 – 2027</w:t>
      </w:r>
    </w:p>
    <w:p w14:paraId="15A4E594"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 xml:space="preserve">The Czech Republic - </w:t>
      </w:r>
      <w:r>
        <w:t>SME Assessment - Analýza podnikatelského prostředí ČR</w:t>
      </w:r>
    </w:p>
    <w:p w14:paraId="72080CC5"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 xml:space="preserve">Analýza vývoje ekonomiky ČR – červen 2019 (MPO dostupné </w:t>
      </w:r>
      <w:hyperlink r:id="rId10" w:history="1">
        <w:r w:rsidRPr="00DE3B76">
          <w:rPr>
            <w:rStyle w:val="Hypertextovodkaz"/>
            <w:szCs w:val="22"/>
          </w:rPr>
          <w:t>zde</w:t>
        </w:r>
      </w:hyperlink>
      <w:r w:rsidRPr="00B42A79">
        <w:rPr>
          <w:color w:val="000000"/>
          <w:szCs w:val="22"/>
        </w:rPr>
        <w:t xml:space="preserve">) </w:t>
      </w:r>
    </w:p>
    <w:p w14:paraId="39DECFA3" w14:textId="77777777" w:rsidR="003F48BF" w:rsidRPr="00B42A79" w:rsidRDefault="003F48BF" w:rsidP="003F48BF">
      <w:pPr>
        <w:pStyle w:val="Odstavecseseznamem"/>
        <w:numPr>
          <w:ilvl w:val="0"/>
          <w:numId w:val="41"/>
        </w:numPr>
        <w:spacing w:after="120"/>
        <w:contextualSpacing w:val="0"/>
        <w:rPr>
          <w:color w:val="000000"/>
          <w:szCs w:val="22"/>
        </w:rPr>
      </w:pPr>
      <w:r w:rsidRPr="00B42A79">
        <w:rPr>
          <w:color w:val="000000"/>
          <w:szCs w:val="22"/>
        </w:rPr>
        <w:t xml:space="preserve">Finanční analýza podnikové sféry za 1. pololetí 2018 (MPO dostupné </w:t>
      </w:r>
      <w:hyperlink r:id="rId11" w:history="1">
        <w:r w:rsidRPr="001A7EA3">
          <w:rPr>
            <w:rStyle w:val="Hypertextovodkaz"/>
            <w:szCs w:val="22"/>
          </w:rPr>
          <w:t>zde</w:t>
        </w:r>
      </w:hyperlink>
      <w:r w:rsidRPr="00B42A79">
        <w:rPr>
          <w:color w:val="000000"/>
          <w:szCs w:val="22"/>
        </w:rPr>
        <w:t>)</w:t>
      </w:r>
    </w:p>
    <w:p w14:paraId="33D0739C"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Závěrečná zpráva evaluace – Posouzení oblastí vhodných pro návratnou formu podpory v období 2020+ (materiál MMR-NOK)</w:t>
      </w:r>
    </w:p>
    <w:p w14:paraId="5EF007E1"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iCs/>
          <w:color w:val="000000"/>
          <w:szCs w:val="22"/>
          <w:shd w:val="clear" w:color="auto" w:fill="FFFFFF"/>
        </w:rPr>
        <w:t>Předběžné posouzení finančních nástrojů Operačního programu Podnikání a inovace pro konkurenceschopnost 2014-2020 a jeho aktualizace</w:t>
      </w:r>
    </w:p>
    <w:p w14:paraId="396B2545" w14:textId="77777777" w:rsidR="003F48BF" w:rsidRPr="00B42A79" w:rsidRDefault="003F48BF" w:rsidP="003F48BF">
      <w:pPr>
        <w:pStyle w:val="Odstavecseseznamem"/>
        <w:numPr>
          <w:ilvl w:val="0"/>
          <w:numId w:val="41"/>
        </w:numPr>
        <w:spacing w:after="120" w:line="264" w:lineRule="auto"/>
        <w:contextualSpacing w:val="0"/>
        <w:rPr>
          <w:color w:val="000000"/>
          <w:szCs w:val="22"/>
        </w:rPr>
      </w:pPr>
      <w:r w:rsidRPr="00B42A79">
        <w:rPr>
          <w:color w:val="000000"/>
          <w:szCs w:val="22"/>
        </w:rPr>
        <w:t>Strategie Česká republika 2030</w:t>
      </w:r>
    </w:p>
    <w:p w14:paraId="5E819C6F" w14:textId="77777777" w:rsidR="003F48BF" w:rsidRDefault="003F48BF" w:rsidP="003F48BF">
      <w:pPr>
        <w:pStyle w:val="Odstavecseseznamem"/>
        <w:numPr>
          <w:ilvl w:val="0"/>
          <w:numId w:val="41"/>
        </w:numPr>
        <w:spacing w:after="120" w:line="264" w:lineRule="auto"/>
        <w:contextualSpacing w:val="0"/>
      </w:pPr>
      <w:r>
        <w:t>Strategie regionálního rozvoje ČR 2021+</w:t>
      </w:r>
    </w:p>
    <w:p w14:paraId="2D5B3C65" w14:textId="77777777" w:rsidR="003F48BF" w:rsidRDefault="003F48BF" w:rsidP="003F48BF">
      <w:pPr>
        <w:pStyle w:val="Odstavecseseznamem"/>
        <w:numPr>
          <w:ilvl w:val="0"/>
          <w:numId w:val="41"/>
        </w:numPr>
        <w:spacing w:after="120" w:line="264" w:lineRule="auto"/>
        <w:contextualSpacing w:val="0"/>
      </w:pPr>
      <w:r>
        <w:t>Národní program reforem 2019</w:t>
      </w:r>
    </w:p>
    <w:p w14:paraId="2028C204" w14:textId="77777777" w:rsidR="003F48BF" w:rsidRPr="004C74A9" w:rsidRDefault="003F48BF" w:rsidP="003F48BF">
      <w:pPr>
        <w:pStyle w:val="Odstavecseseznamem"/>
        <w:numPr>
          <w:ilvl w:val="0"/>
          <w:numId w:val="41"/>
        </w:numPr>
        <w:spacing w:after="120" w:line="264" w:lineRule="auto"/>
        <w:contextualSpacing w:val="0"/>
      </w:pPr>
      <w:r>
        <w:lastRenderedPageBreak/>
        <w:t xml:space="preserve">Další strategické a koncepční dokumenty v gesci či spolugesci MPO (viz Strategická mapa MPO v Databázi strategií - dostupné </w:t>
      </w:r>
      <w:hyperlink r:id="rId12" w:history="1">
        <w:r w:rsidRPr="00170890">
          <w:rPr>
            <w:rStyle w:val="Hypertextovodkaz"/>
          </w:rPr>
          <w:t>zde</w:t>
        </w:r>
      </w:hyperlink>
      <w:r>
        <w:t>)</w:t>
      </w:r>
    </w:p>
    <w:p w14:paraId="56A7C654" w14:textId="77777777" w:rsidR="003F48BF" w:rsidRDefault="003F48BF" w:rsidP="003F48BF">
      <w:pPr>
        <w:pStyle w:val="Odstavecseseznamem"/>
        <w:numPr>
          <w:ilvl w:val="0"/>
          <w:numId w:val="41"/>
        </w:numPr>
        <w:spacing w:after="120"/>
        <w:contextualSpacing w:val="0"/>
        <w:rPr>
          <w:szCs w:val="22"/>
        </w:rPr>
      </w:pPr>
      <w:r>
        <w:rPr>
          <w:szCs w:val="22"/>
        </w:rPr>
        <w:t xml:space="preserve">Evaluace OP PIK a OP PI (dostupné </w:t>
      </w:r>
      <w:hyperlink r:id="rId13" w:history="1">
        <w:r w:rsidRPr="00A64FDE">
          <w:rPr>
            <w:rStyle w:val="Hypertextovodkaz"/>
            <w:szCs w:val="22"/>
          </w:rPr>
          <w:t>zde</w:t>
        </w:r>
      </w:hyperlink>
      <w:r>
        <w:rPr>
          <w:szCs w:val="22"/>
        </w:rPr>
        <w:t xml:space="preserve"> a </w:t>
      </w:r>
      <w:hyperlink r:id="rId14" w:history="1">
        <w:r w:rsidRPr="00A64FDE">
          <w:rPr>
            <w:rStyle w:val="Hypertextovodkaz"/>
            <w:szCs w:val="22"/>
          </w:rPr>
          <w:t>zde</w:t>
        </w:r>
      </w:hyperlink>
      <w:r>
        <w:rPr>
          <w:szCs w:val="22"/>
        </w:rPr>
        <w:t>)</w:t>
      </w:r>
    </w:p>
    <w:p w14:paraId="7D706B2A" w14:textId="77777777" w:rsidR="003F48BF" w:rsidRPr="0072227B" w:rsidRDefault="003F48BF" w:rsidP="003F48BF">
      <w:pPr>
        <w:pStyle w:val="Odstavecseseznamem"/>
        <w:numPr>
          <w:ilvl w:val="0"/>
          <w:numId w:val="41"/>
        </w:numPr>
        <w:spacing w:after="120"/>
        <w:contextualSpacing w:val="0"/>
        <w:rPr>
          <w:szCs w:val="22"/>
        </w:rPr>
      </w:pPr>
      <w:r>
        <w:rPr>
          <w:szCs w:val="22"/>
        </w:rPr>
        <w:t>P</w:t>
      </w:r>
      <w:r w:rsidRPr="009435D4">
        <w:rPr>
          <w:szCs w:val="22"/>
        </w:rPr>
        <w:t>řípadné další relevantní materiály a dokumenty stanovené zadavatelem</w:t>
      </w:r>
    </w:p>
    <w:p w14:paraId="190738E7" w14:textId="77777777" w:rsidR="00EE320C" w:rsidRDefault="00EE320C" w:rsidP="00EE320C">
      <w:pPr>
        <w:rPr>
          <w:szCs w:val="22"/>
        </w:rPr>
      </w:pPr>
    </w:p>
    <w:p w14:paraId="2C5E3F75" w14:textId="77777777" w:rsidR="00EE320C" w:rsidRDefault="00EE320C" w:rsidP="00EE320C">
      <w:pPr>
        <w:pStyle w:val="Nadpis2"/>
        <w:keepNext w:val="0"/>
        <w:keepLines w:val="0"/>
        <w:numPr>
          <w:ilvl w:val="0"/>
          <w:numId w:val="0"/>
        </w:numPr>
        <w:overflowPunct/>
        <w:autoSpaceDE/>
        <w:autoSpaceDN/>
        <w:adjustRightInd/>
        <w:spacing w:before="0" w:line="276" w:lineRule="auto"/>
        <w:ind w:left="576" w:hanging="576"/>
        <w:textAlignment w:val="auto"/>
        <w:rPr>
          <w:b/>
          <w:color w:val="000000" w:themeColor="text1"/>
          <w:szCs w:val="22"/>
        </w:rPr>
      </w:pPr>
      <w:r w:rsidRPr="00EE320C">
        <w:rPr>
          <w:b/>
          <w:color w:val="000000" w:themeColor="text1"/>
          <w:szCs w:val="22"/>
        </w:rPr>
        <w:t>Další plnění</w:t>
      </w:r>
    </w:p>
    <w:p w14:paraId="0829FD47" w14:textId="278B1BB1" w:rsidR="002D706D" w:rsidRDefault="002D706D" w:rsidP="002D706D">
      <w:pPr>
        <w:rPr>
          <w:szCs w:val="22"/>
        </w:rPr>
      </w:pPr>
      <w:r>
        <w:rPr>
          <w:szCs w:val="22"/>
        </w:rPr>
        <w:t>Součástí plnění bude</w:t>
      </w:r>
      <w:r w:rsidRPr="006464B6">
        <w:rPr>
          <w:szCs w:val="22"/>
        </w:rPr>
        <w:t xml:space="preserve"> </w:t>
      </w:r>
      <w:r w:rsidRPr="00B63561">
        <w:rPr>
          <w:b/>
          <w:szCs w:val="22"/>
        </w:rPr>
        <w:t xml:space="preserve">Přehled zjištění </w:t>
      </w:r>
      <w:r>
        <w:rPr>
          <w:szCs w:val="22"/>
        </w:rPr>
        <w:t>na úrovni každé etapy (</w:t>
      </w:r>
      <w:r w:rsidRPr="006464B6">
        <w:rPr>
          <w:szCs w:val="22"/>
        </w:rPr>
        <w:t>ve formátu .xls nebo .xlsx</w:t>
      </w:r>
      <w:r>
        <w:rPr>
          <w:szCs w:val="22"/>
        </w:rPr>
        <w:t>). Tabulka bude obsahova</w:t>
      </w:r>
      <w:r w:rsidRPr="00B63561">
        <w:rPr>
          <w:szCs w:val="22"/>
        </w:rPr>
        <w:t xml:space="preserve">t </w:t>
      </w:r>
      <w:r>
        <w:rPr>
          <w:szCs w:val="22"/>
        </w:rPr>
        <w:t>p</w:t>
      </w:r>
      <w:r w:rsidRPr="00B63561">
        <w:rPr>
          <w:szCs w:val="22"/>
        </w:rPr>
        <w:t xml:space="preserve">opis předmětu etapy, </w:t>
      </w:r>
      <w:r>
        <w:rPr>
          <w:szCs w:val="22"/>
        </w:rPr>
        <w:t>h</w:t>
      </w:r>
      <w:r w:rsidRPr="00B63561">
        <w:rPr>
          <w:szCs w:val="22"/>
        </w:rPr>
        <w:t>lavní zjištění a výsledky dané etapy a v relevantních případech</w:t>
      </w:r>
      <w:r w:rsidRPr="00B63561">
        <w:rPr>
          <w:rStyle w:val="Znakapoznpodarou"/>
          <w:szCs w:val="22"/>
        </w:rPr>
        <w:footnoteReference w:id="9"/>
      </w:r>
      <w:r w:rsidRPr="00B63561">
        <w:rPr>
          <w:szCs w:val="22"/>
        </w:rPr>
        <w:t xml:space="preserve"> </w:t>
      </w:r>
      <w:r>
        <w:rPr>
          <w:szCs w:val="22"/>
        </w:rPr>
        <w:t xml:space="preserve">také </w:t>
      </w:r>
      <w:r w:rsidRPr="00B63561">
        <w:rPr>
          <w:szCs w:val="22"/>
        </w:rPr>
        <w:t>závěry a doporučení.</w:t>
      </w:r>
    </w:p>
    <w:p w14:paraId="67BC6D7F" w14:textId="77777777" w:rsidR="002D706D" w:rsidRPr="00B63561" w:rsidRDefault="002D706D" w:rsidP="002D706D">
      <w:pPr>
        <w:rPr>
          <w:szCs w:val="22"/>
        </w:rPr>
      </w:pPr>
    </w:p>
    <w:tbl>
      <w:tblPr>
        <w:tblW w:w="5000" w:type="pct"/>
        <w:tblCellMar>
          <w:left w:w="0" w:type="dxa"/>
          <w:right w:w="0" w:type="dxa"/>
        </w:tblCellMar>
        <w:tblLook w:val="04A0" w:firstRow="1" w:lastRow="0" w:firstColumn="1" w:lastColumn="0" w:noHBand="0" w:noVBand="1"/>
      </w:tblPr>
      <w:tblGrid>
        <w:gridCol w:w="2693"/>
        <w:gridCol w:w="1691"/>
        <w:gridCol w:w="4678"/>
      </w:tblGrid>
      <w:tr w:rsidR="002D706D" w:rsidRPr="00E83942" w14:paraId="1744B155" w14:textId="77777777" w:rsidTr="00943874">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15" w:type="dxa"/>
              <w:left w:w="15" w:type="dxa"/>
              <w:bottom w:w="30" w:type="dxa"/>
              <w:right w:w="30" w:type="dxa"/>
            </w:tcMar>
            <w:vAlign w:val="center"/>
          </w:tcPr>
          <w:p w14:paraId="4DE64DD5" w14:textId="77777777" w:rsidR="002D706D" w:rsidRPr="00E15769" w:rsidRDefault="002D706D" w:rsidP="00943874">
            <w:pPr>
              <w:spacing w:before="30" w:after="0" w:line="240" w:lineRule="auto"/>
              <w:jc w:val="center"/>
              <w:rPr>
                <w:rFonts w:ascii="Arial" w:eastAsia="Arial" w:hAnsi="Arial" w:cs="Arial"/>
                <w:b/>
                <w:bCs/>
                <w:i/>
                <w:sz w:val="20"/>
              </w:rPr>
            </w:pPr>
            <w:r w:rsidRPr="00E15769">
              <w:rPr>
                <w:rFonts w:ascii="Arial" w:eastAsia="Arial" w:hAnsi="Arial" w:cs="Arial"/>
                <w:b/>
                <w:bCs/>
                <w:i/>
                <w:sz w:val="20"/>
              </w:rPr>
              <w:t>Číslo a název etapy</w:t>
            </w:r>
          </w:p>
        </w:tc>
      </w:tr>
      <w:tr w:rsidR="002D706D" w:rsidRPr="00E83942" w14:paraId="3002CFD2" w14:textId="77777777" w:rsidTr="00943874">
        <w:trPr>
          <w:tblHeader/>
        </w:trPr>
        <w:tc>
          <w:tcPr>
            <w:tcW w:w="148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vAlign w:val="center"/>
          </w:tcPr>
          <w:p w14:paraId="4153D243" w14:textId="77777777" w:rsidR="002D706D" w:rsidRPr="00E15769" w:rsidRDefault="002D706D" w:rsidP="00943874">
            <w:pPr>
              <w:spacing w:after="0" w:line="240" w:lineRule="auto"/>
              <w:jc w:val="left"/>
              <w:rPr>
                <w:rFonts w:ascii="Arial" w:eastAsia="Arial" w:hAnsi="Arial" w:cs="Arial"/>
                <w:b/>
                <w:bCs/>
                <w:color w:val="000000"/>
                <w:sz w:val="20"/>
              </w:rPr>
            </w:pPr>
            <w:r w:rsidRPr="00E15769">
              <w:rPr>
                <w:rFonts w:ascii="Arial" w:eastAsia="Arial" w:hAnsi="Arial" w:cs="Arial"/>
                <w:b/>
                <w:color w:val="000000"/>
                <w:sz w:val="20"/>
              </w:rPr>
              <w:t>P</w:t>
            </w:r>
            <w:r>
              <w:rPr>
                <w:rFonts w:ascii="Arial" w:eastAsia="Arial" w:hAnsi="Arial" w:cs="Arial"/>
                <w:b/>
                <w:color w:val="000000"/>
                <w:sz w:val="20"/>
              </w:rPr>
              <w:t>opis p</w:t>
            </w:r>
            <w:r w:rsidRPr="00E15769">
              <w:rPr>
                <w:rFonts w:ascii="Arial" w:eastAsia="Arial" w:hAnsi="Arial" w:cs="Arial"/>
                <w:b/>
                <w:color w:val="000000"/>
                <w:sz w:val="20"/>
              </w:rPr>
              <w:t>ředmět</w:t>
            </w:r>
            <w:r>
              <w:rPr>
                <w:rFonts w:ascii="Arial" w:eastAsia="Arial" w:hAnsi="Arial" w:cs="Arial"/>
                <w:b/>
                <w:color w:val="000000"/>
                <w:sz w:val="20"/>
              </w:rPr>
              <w:t>u</w:t>
            </w:r>
            <w:r w:rsidRPr="00E15769">
              <w:rPr>
                <w:rFonts w:ascii="Arial" w:eastAsia="Arial" w:hAnsi="Arial" w:cs="Arial"/>
                <w:b/>
                <w:color w:val="000000"/>
                <w:sz w:val="20"/>
              </w:rPr>
              <w:t xml:space="preserve"> etapy</w:t>
            </w:r>
          </w:p>
        </w:tc>
        <w:tc>
          <w:tcPr>
            <w:tcW w:w="351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30" w:type="dxa"/>
              <w:right w:w="30" w:type="dxa"/>
            </w:tcMar>
          </w:tcPr>
          <w:p w14:paraId="47B619A6" w14:textId="77777777" w:rsidR="002D706D" w:rsidRPr="00E15769" w:rsidRDefault="002D706D" w:rsidP="00943874">
            <w:pPr>
              <w:spacing w:after="0" w:line="240" w:lineRule="auto"/>
              <w:jc w:val="left"/>
              <w:rPr>
                <w:rFonts w:ascii="Arial" w:eastAsia="Arial" w:hAnsi="Arial" w:cs="Arial"/>
                <w:b/>
                <w:bCs/>
                <w:color w:val="000000"/>
                <w:sz w:val="20"/>
              </w:rPr>
            </w:pPr>
          </w:p>
        </w:tc>
      </w:tr>
      <w:tr w:rsidR="002D706D" w:rsidRPr="00E83942" w14:paraId="0D3E014D" w14:textId="77777777" w:rsidTr="00943874">
        <w:trPr>
          <w:tblHeader/>
        </w:trPr>
        <w:tc>
          <w:tcPr>
            <w:tcW w:w="1486"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vAlign w:val="center"/>
          </w:tcPr>
          <w:p w14:paraId="76EB6EF2" w14:textId="77777777" w:rsidR="002D706D" w:rsidRPr="00E15769" w:rsidRDefault="002D706D" w:rsidP="00943874">
            <w:pPr>
              <w:spacing w:after="0" w:line="240" w:lineRule="auto"/>
              <w:jc w:val="left"/>
              <w:rPr>
                <w:rFonts w:ascii="Arial" w:eastAsia="Arial" w:hAnsi="Arial" w:cs="Arial"/>
                <w:b/>
                <w:bCs/>
                <w:color w:val="000000"/>
                <w:sz w:val="20"/>
              </w:rPr>
            </w:pPr>
            <w:r w:rsidRPr="00E15769">
              <w:rPr>
                <w:rFonts w:ascii="Arial" w:eastAsia="Arial" w:hAnsi="Arial" w:cs="Arial"/>
                <w:b/>
                <w:color w:val="000000"/>
                <w:sz w:val="20"/>
              </w:rPr>
              <w:t>Hlavní zjištění a výsledky</w:t>
            </w:r>
          </w:p>
        </w:tc>
        <w:tc>
          <w:tcPr>
            <w:tcW w:w="351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30" w:type="dxa"/>
              <w:right w:w="30" w:type="dxa"/>
            </w:tcMar>
          </w:tcPr>
          <w:p w14:paraId="410C3AF1" w14:textId="77777777" w:rsidR="002D706D" w:rsidRPr="00E15769" w:rsidRDefault="002D706D" w:rsidP="00943874">
            <w:pPr>
              <w:spacing w:after="0" w:line="240" w:lineRule="auto"/>
              <w:jc w:val="left"/>
              <w:rPr>
                <w:rFonts w:ascii="Arial" w:eastAsia="Arial" w:hAnsi="Arial" w:cs="Arial"/>
                <w:b/>
                <w:bCs/>
                <w:color w:val="000000"/>
                <w:sz w:val="20"/>
              </w:rPr>
            </w:pPr>
          </w:p>
        </w:tc>
      </w:tr>
      <w:tr w:rsidR="002D706D" w:rsidRPr="00E83942" w14:paraId="18F3B4A8" w14:textId="77777777" w:rsidTr="00943874">
        <w:tc>
          <w:tcPr>
            <w:tcW w:w="2419" w:type="pct"/>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tcPr>
          <w:p w14:paraId="1EC4A0F8" w14:textId="77777777" w:rsidR="002D706D" w:rsidRPr="00E15769" w:rsidRDefault="002D706D" w:rsidP="00943874">
            <w:pPr>
              <w:spacing w:after="0" w:line="240" w:lineRule="auto"/>
              <w:jc w:val="left"/>
              <w:rPr>
                <w:rFonts w:ascii="Arial" w:eastAsia="Arial" w:hAnsi="Arial" w:cs="Arial"/>
                <w:color w:val="000000"/>
                <w:sz w:val="20"/>
              </w:rPr>
            </w:pPr>
            <w:r w:rsidRPr="00E15769">
              <w:rPr>
                <w:rFonts w:ascii="Arial" w:eastAsia="Arial" w:hAnsi="Arial" w:cs="Arial"/>
                <w:b/>
                <w:bCs/>
                <w:color w:val="000000"/>
                <w:sz w:val="20"/>
              </w:rPr>
              <w:t>Závěry</w:t>
            </w:r>
          </w:p>
        </w:tc>
        <w:tc>
          <w:tcPr>
            <w:tcW w:w="2581" w:type="pct"/>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15" w:type="dxa"/>
              <w:left w:w="15" w:type="dxa"/>
              <w:bottom w:w="30" w:type="dxa"/>
              <w:right w:w="30" w:type="dxa"/>
            </w:tcMar>
          </w:tcPr>
          <w:p w14:paraId="78601432" w14:textId="77777777" w:rsidR="002D706D" w:rsidRPr="00E15769" w:rsidRDefault="002D706D" w:rsidP="00943874">
            <w:pPr>
              <w:spacing w:after="0" w:line="240" w:lineRule="auto"/>
              <w:jc w:val="left"/>
              <w:rPr>
                <w:rFonts w:ascii="Arial" w:eastAsia="Arial" w:hAnsi="Arial" w:cs="Arial"/>
                <w:color w:val="000000"/>
                <w:sz w:val="20"/>
              </w:rPr>
            </w:pPr>
            <w:r w:rsidRPr="00E15769">
              <w:rPr>
                <w:rFonts w:ascii="Arial" w:eastAsia="Arial" w:hAnsi="Arial" w:cs="Arial"/>
                <w:b/>
                <w:bCs/>
                <w:color w:val="000000"/>
                <w:sz w:val="20"/>
              </w:rPr>
              <w:t>Doporučení</w:t>
            </w:r>
          </w:p>
        </w:tc>
      </w:tr>
      <w:tr w:rsidR="002D706D" w:rsidRPr="00E83942" w14:paraId="02B62255" w14:textId="77777777" w:rsidTr="00943874">
        <w:tc>
          <w:tcPr>
            <w:tcW w:w="241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5866597C" w14:textId="77777777" w:rsidR="002D706D" w:rsidRPr="00E15769" w:rsidRDefault="002D706D" w:rsidP="00943874">
            <w:pPr>
              <w:spacing w:after="0" w:line="240" w:lineRule="auto"/>
              <w:jc w:val="left"/>
              <w:rPr>
                <w:rFonts w:ascii="Arial" w:eastAsia="Arial" w:hAnsi="Arial" w:cs="Arial"/>
                <w:i/>
                <w:color w:val="000000"/>
                <w:sz w:val="20"/>
              </w:rPr>
            </w:pPr>
            <w:r>
              <w:rPr>
                <w:rFonts w:ascii="Arial" w:eastAsia="Arial" w:hAnsi="Arial" w:cs="Arial"/>
                <w:i/>
                <w:color w:val="000000"/>
                <w:sz w:val="20"/>
              </w:rPr>
              <w:t>Z</w:t>
            </w:r>
            <w:r w:rsidRPr="00E15769">
              <w:rPr>
                <w:rFonts w:ascii="Arial" w:eastAsia="Arial" w:hAnsi="Arial" w:cs="Arial"/>
                <w:i/>
                <w:color w:val="000000"/>
                <w:sz w:val="20"/>
              </w:rPr>
              <w:t>ávěr</w:t>
            </w:r>
            <w:r>
              <w:rPr>
                <w:rFonts w:ascii="Arial" w:eastAsia="Arial" w:hAnsi="Arial" w:cs="Arial"/>
                <w:i/>
                <w:color w:val="000000"/>
                <w:sz w:val="20"/>
              </w:rPr>
              <w:t xml:space="preserve"> </w:t>
            </w:r>
            <w:r w:rsidRPr="00E15769">
              <w:rPr>
                <w:rFonts w:ascii="Arial" w:eastAsia="Arial" w:hAnsi="Arial" w:cs="Arial"/>
                <w:i/>
                <w:color w:val="000000"/>
                <w:sz w:val="20"/>
              </w:rPr>
              <w:t>1</w:t>
            </w:r>
          </w:p>
        </w:tc>
        <w:tc>
          <w:tcPr>
            <w:tcW w:w="2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6983DCAF" w14:textId="77777777" w:rsidR="002D706D" w:rsidRPr="00E15769" w:rsidRDefault="002D706D" w:rsidP="00943874">
            <w:pPr>
              <w:spacing w:after="0" w:line="240" w:lineRule="auto"/>
              <w:jc w:val="left"/>
              <w:rPr>
                <w:rFonts w:ascii="Arial" w:eastAsia="Arial" w:hAnsi="Arial" w:cs="Arial"/>
                <w:i/>
                <w:color w:val="000000"/>
                <w:sz w:val="20"/>
              </w:rPr>
            </w:pPr>
            <w:r>
              <w:rPr>
                <w:rFonts w:ascii="Arial" w:eastAsia="Arial" w:hAnsi="Arial" w:cs="Arial"/>
                <w:i/>
                <w:color w:val="000000"/>
                <w:sz w:val="20"/>
              </w:rPr>
              <w:t>D</w:t>
            </w:r>
            <w:r w:rsidRPr="00E15769">
              <w:rPr>
                <w:rFonts w:ascii="Arial" w:eastAsia="Arial" w:hAnsi="Arial" w:cs="Arial"/>
                <w:i/>
                <w:color w:val="000000"/>
                <w:sz w:val="20"/>
              </w:rPr>
              <w:t>oporučení</w:t>
            </w:r>
            <w:r>
              <w:rPr>
                <w:rFonts w:ascii="Arial" w:eastAsia="Arial" w:hAnsi="Arial" w:cs="Arial"/>
                <w:i/>
                <w:color w:val="000000"/>
                <w:sz w:val="20"/>
              </w:rPr>
              <w:t xml:space="preserve"> </w:t>
            </w:r>
            <w:r w:rsidRPr="00E15769">
              <w:rPr>
                <w:rFonts w:ascii="Arial" w:eastAsia="Arial" w:hAnsi="Arial" w:cs="Arial"/>
                <w:i/>
                <w:color w:val="000000"/>
                <w:sz w:val="20"/>
              </w:rPr>
              <w:t>1</w:t>
            </w:r>
          </w:p>
        </w:tc>
      </w:tr>
      <w:tr w:rsidR="002D706D" w:rsidRPr="00E83942" w14:paraId="108E1E2A" w14:textId="77777777" w:rsidTr="00943874">
        <w:tc>
          <w:tcPr>
            <w:tcW w:w="2419"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204FDAEB" w14:textId="77777777" w:rsidR="002D706D" w:rsidRPr="00E15769" w:rsidRDefault="002D706D" w:rsidP="00943874">
            <w:pPr>
              <w:spacing w:after="0" w:line="240" w:lineRule="auto"/>
              <w:jc w:val="left"/>
              <w:rPr>
                <w:rFonts w:ascii="Arial" w:eastAsia="Arial" w:hAnsi="Arial" w:cs="Arial"/>
                <w:i/>
                <w:color w:val="000000"/>
                <w:sz w:val="20"/>
              </w:rPr>
            </w:pPr>
            <w:r>
              <w:rPr>
                <w:rFonts w:ascii="Arial" w:eastAsia="Arial" w:hAnsi="Arial" w:cs="Arial"/>
                <w:i/>
                <w:color w:val="000000"/>
                <w:sz w:val="20"/>
              </w:rPr>
              <w:t>Z</w:t>
            </w:r>
            <w:r w:rsidRPr="00E15769">
              <w:rPr>
                <w:rFonts w:ascii="Arial" w:eastAsia="Arial" w:hAnsi="Arial" w:cs="Arial"/>
                <w:i/>
                <w:color w:val="000000"/>
                <w:sz w:val="20"/>
              </w:rPr>
              <w:t>ávěr</w:t>
            </w:r>
            <w:r>
              <w:rPr>
                <w:rFonts w:ascii="Arial" w:eastAsia="Arial" w:hAnsi="Arial" w:cs="Arial"/>
                <w:i/>
                <w:color w:val="000000"/>
                <w:sz w:val="20"/>
              </w:rPr>
              <w:t xml:space="preserve"> n</w:t>
            </w:r>
          </w:p>
        </w:tc>
        <w:tc>
          <w:tcPr>
            <w:tcW w:w="258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30" w:type="dxa"/>
              <w:right w:w="30" w:type="dxa"/>
            </w:tcMar>
          </w:tcPr>
          <w:p w14:paraId="328E1A27" w14:textId="77777777" w:rsidR="002D706D" w:rsidRPr="00E15769" w:rsidRDefault="002D706D" w:rsidP="00943874">
            <w:pPr>
              <w:spacing w:after="0" w:line="240" w:lineRule="auto"/>
              <w:jc w:val="left"/>
              <w:rPr>
                <w:rFonts w:ascii="Arial" w:eastAsia="Arial" w:hAnsi="Arial" w:cs="Arial"/>
                <w:i/>
                <w:color w:val="000000"/>
                <w:sz w:val="20"/>
              </w:rPr>
            </w:pPr>
            <w:r>
              <w:rPr>
                <w:rFonts w:ascii="Arial" w:eastAsia="Arial" w:hAnsi="Arial" w:cs="Arial"/>
                <w:i/>
                <w:color w:val="000000"/>
                <w:sz w:val="20"/>
              </w:rPr>
              <w:t>D</w:t>
            </w:r>
            <w:r w:rsidRPr="00E15769">
              <w:rPr>
                <w:rFonts w:ascii="Arial" w:eastAsia="Arial" w:hAnsi="Arial" w:cs="Arial"/>
                <w:i/>
                <w:color w:val="000000"/>
                <w:sz w:val="20"/>
              </w:rPr>
              <w:t>oporučení</w:t>
            </w:r>
            <w:r>
              <w:rPr>
                <w:rFonts w:ascii="Arial" w:eastAsia="Arial" w:hAnsi="Arial" w:cs="Arial"/>
                <w:i/>
                <w:color w:val="000000"/>
                <w:sz w:val="20"/>
              </w:rPr>
              <w:t xml:space="preserve"> n</w:t>
            </w:r>
          </w:p>
        </w:tc>
      </w:tr>
    </w:tbl>
    <w:p w14:paraId="297E2775" w14:textId="77777777" w:rsidR="002D706D" w:rsidRDefault="002D706D" w:rsidP="00EE320C">
      <w:pPr>
        <w:pStyle w:val="Zkladntext"/>
        <w:rPr>
          <w:rFonts w:cs="Calibri"/>
        </w:rPr>
      </w:pPr>
    </w:p>
    <w:p w14:paraId="24D358E0" w14:textId="26A70E16" w:rsidR="00AF6363" w:rsidRDefault="00AF6363" w:rsidP="00AF6363">
      <w:pPr>
        <w:rPr>
          <w:rFonts w:ascii="Calibri" w:hAnsi="Calibri"/>
        </w:rPr>
      </w:pPr>
      <w:r>
        <w:rPr>
          <w:rFonts w:cs="Calibri"/>
        </w:rPr>
        <w:t xml:space="preserve">Zadavatel poskytne dodavateli pro realizaci projektu relevantní dokumenty a data vztahující se k předmětu veřejné zakázky, kterými zadavatel disponuje. </w:t>
      </w:r>
      <w:r>
        <w:t>Nezbytnou součástí činnosti dodavatele bude také získání dalších relevantních podkladů pro tento projekt, tzn. takových, které disponují potřebnými zdroji informací a které mají vysokou vypovídající hodnotu v závislosti na pečlivosti volených validních zdrojů dat. Dodavatel musí např. počítat s tím, že data týkající se podnikové ekonomiky bude muset získat z komerčních podnikových databází.</w:t>
      </w:r>
      <w:r>
        <w:rPr>
          <w:rStyle w:val="Znakapoznpodarou"/>
        </w:rPr>
        <w:footnoteReference w:id="10"/>
      </w:r>
      <w:r>
        <w:t xml:space="preserve"> </w:t>
      </w:r>
      <w:r>
        <w:rPr>
          <w:rFonts w:cs="Calibri"/>
        </w:rPr>
        <w:t xml:space="preserve">Bude-li potřeba, aby dodavatel získal informace z jiných zdrojů, není oprávněn požadovat za tímto účelem žádné další platby nad rámec jeho nabídkové ceny. </w:t>
      </w:r>
      <w:r>
        <w:rPr>
          <w:rFonts w:cs="Calibri"/>
          <w:szCs w:val="22"/>
        </w:rPr>
        <w:t xml:space="preserve">Dodavatel má povinnost prověřit zadavatelem předaná data a případné námitky k podobě těchto dat uplatnit do 10 pracovních dnů od jejich předání. Pokud nejsou v uvedené lhůtě žádné námitky uplatněny, má se za to, že </w:t>
      </w:r>
      <w:r w:rsidR="00693B57">
        <w:rPr>
          <w:rFonts w:cs="Calibri"/>
          <w:szCs w:val="22"/>
        </w:rPr>
        <w:t>doda</w:t>
      </w:r>
      <w:r>
        <w:rPr>
          <w:rFonts w:cs="Calibri"/>
          <w:szCs w:val="22"/>
        </w:rPr>
        <w:t>vatel považuje předaná data za správná.</w:t>
      </w:r>
    </w:p>
    <w:p w14:paraId="4C02B652" w14:textId="77777777" w:rsidR="00741D74" w:rsidRDefault="00741D74" w:rsidP="003F48BF">
      <w:pPr>
        <w:pStyle w:val="Zkladntext"/>
        <w:rPr>
          <w:szCs w:val="22"/>
        </w:rPr>
      </w:pPr>
    </w:p>
    <w:p w14:paraId="5EA21A1C" w14:textId="77777777" w:rsidR="003F48BF" w:rsidRPr="00594AAF" w:rsidRDefault="003F48BF" w:rsidP="003F48BF">
      <w:pPr>
        <w:pStyle w:val="Zkladntext"/>
        <w:rPr>
          <w:szCs w:val="22"/>
        </w:rPr>
      </w:pPr>
      <w:r w:rsidRPr="00594AAF">
        <w:rPr>
          <w:szCs w:val="22"/>
        </w:rPr>
        <w:t>Po skončení plnění veřejné zakázky dodavatel tyto dokumenty vrátí zadavateli (vyjma dokumentů v elektronické formě, které musí dodavatel po dokončení veřejné zakázky neprodleně odstranit).</w:t>
      </w:r>
    </w:p>
    <w:p w14:paraId="0BD085A8" w14:textId="77777777" w:rsidR="003F48BF" w:rsidRDefault="003F48BF" w:rsidP="003F48BF">
      <w:r>
        <w:t>Dojde k předání všech pracovních výstupů zadavateli (např. anonymizovaná data z analýz, dotazníků či strukturovaných rozhovorů, příp. oponentury k etapám realizace projektu, doplňující stanoviska, apod.).</w:t>
      </w:r>
    </w:p>
    <w:p w14:paraId="59A43D92" w14:textId="77777777" w:rsidR="003F48BF" w:rsidRDefault="003F48BF" w:rsidP="003F48BF">
      <w:r>
        <w:t>Dodavatel vyhotoví přehled  doporučení v tabulce (ve formátu .xls nebo .xlsx).</w:t>
      </w:r>
    </w:p>
    <w:p w14:paraId="0CDAE515" w14:textId="77777777" w:rsidR="003F48BF" w:rsidRPr="00077D10" w:rsidRDefault="003F48BF" w:rsidP="003F48BF">
      <w:pPr>
        <w:rPr>
          <w:szCs w:val="22"/>
        </w:rPr>
      </w:pPr>
      <w:r>
        <w:rPr>
          <w:szCs w:val="22"/>
        </w:rPr>
        <w:lastRenderedPageBreak/>
        <w:t>D</w:t>
      </w:r>
      <w:r w:rsidRPr="00CD78A7">
        <w:rPr>
          <w:szCs w:val="22"/>
        </w:rPr>
        <w:t>odavatel bude</w:t>
      </w:r>
      <w:r w:rsidRPr="008A4E43">
        <w:rPr>
          <w:szCs w:val="22"/>
        </w:rPr>
        <w:t xml:space="preserve"> </w:t>
      </w:r>
      <w:r w:rsidRPr="00CD78A7">
        <w:rPr>
          <w:szCs w:val="22"/>
        </w:rPr>
        <w:t>ZZ po vypořádání připomínek zadavatele prezentovat zadavateli formou power</w:t>
      </w:r>
      <w:r w:rsidRPr="008A7581">
        <w:rPr>
          <w:szCs w:val="22"/>
        </w:rPr>
        <w:t>pointové prezentace.</w:t>
      </w:r>
      <w:r>
        <w:rPr>
          <w:szCs w:val="22"/>
        </w:rPr>
        <w:t xml:space="preserve"> Termín bude zadavatelem upřesněn po předání ZZ. Dodavatel zašle zadavateli návrh prezentace (formát .ppt nebo .pptx) dva pracovní dny před jejím představením v sídle zadavatele.</w:t>
      </w:r>
    </w:p>
    <w:p w14:paraId="4492FE57" w14:textId="320149B2" w:rsidR="003F48BF" w:rsidRDefault="003F48BF" w:rsidP="003F48BF">
      <w:r>
        <w:t xml:space="preserve">Předpokládá se průběžná komunikace dodavatele se zadavatelem a dalšími relevantními subjekty v rozsahu: písemné (e-mailové) hlášení dodavatele o aktuálně prováděných pracích, dále o pracích, které byly v minulých 10 pracovních dnech odvedeny, a které práce budou v následujících 10 pracovních dnech zahájeny jedenkrát za 10 pracovních dnů a osobní konzultace pro vyjasnění nejasností, odstranění nedostatků, doplnění nebo vypořádání připomínek zadavatele k vyhotoveným výstupům. </w:t>
      </w:r>
      <w:r w:rsidRPr="00594AAF">
        <w:rPr>
          <w:color w:val="000000"/>
        </w:rPr>
        <w:t xml:space="preserve">Zadavatel si vyhrazuje právo vyžádat si předložení průběžných výsledků a informací v průběhu realizace předmětné </w:t>
      </w:r>
      <w:r>
        <w:rPr>
          <w:color w:val="000000"/>
        </w:rPr>
        <w:t>analýzy</w:t>
      </w:r>
      <w:r w:rsidRPr="00594AAF">
        <w:rPr>
          <w:color w:val="000000"/>
        </w:rPr>
        <w:t>.</w:t>
      </w:r>
    </w:p>
    <w:p w14:paraId="563433C9" w14:textId="77777777" w:rsidR="003F48BF" w:rsidRDefault="003F48BF" w:rsidP="003F48BF">
      <w:r>
        <w:t>Dodavatel dále zpracuje zápisy ze všech jednání se zadavatelem či dalšími subjekty a zašle je do 3 pracovních dnů zadavateli.</w:t>
      </w:r>
    </w:p>
    <w:p w14:paraId="226F1B51" w14:textId="2BB37A3E" w:rsidR="00ED6977" w:rsidRPr="000512DD" w:rsidRDefault="00ED6977" w:rsidP="00EE320C"/>
    <w:sectPr w:rsidR="00ED6977" w:rsidRPr="000512DD" w:rsidSect="006965DA">
      <w:footerReference w:type="default" r:id="rId15"/>
      <w:headerReference w:type="first" r:id="rId16"/>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AFF39" w14:textId="77777777" w:rsidR="00803A35" w:rsidRDefault="00803A35" w:rsidP="00534361">
      <w:pPr>
        <w:spacing w:after="0" w:line="240" w:lineRule="auto"/>
      </w:pPr>
      <w:r>
        <w:separator/>
      </w:r>
    </w:p>
  </w:endnote>
  <w:endnote w:type="continuationSeparator" w:id="0">
    <w:p w14:paraId="3D63DB27" w14:textId="77777777" w:rsidR="00803A35" w:rsidRDefault="00803A35" w:rsidP="0053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74032"/>
      <w:docPartObj>
        <w:docPartGallery w:val="Page Numbers (Bottom of Page)"/>
        <w:docPartUnique/>
      </w:docPartObj>
    </w:sdtPr>
    <w:sdtEndPr/>
    <w:sdtContent>
      <w:sdt>
        <w:sdtPr>
          <w:id w:val="98381352"/>
          <w:docPartObj>
            <w:docPartGallery w:val="Page Numbers (Top of Page)"/>
            <w:docPartUnique/>
          </w:docPartObj>
        </w:sdtPr>
        <w:sdtEndPr/>
        <w:sdtContent>
          <w:p w14:paraId="0B5FDF93" w14:textId="77777777" w:rsidR="008A0D56" w:rsidRDefault="003C5322" w:rsidP="008A0D56">
            <w:pPr>
              <w:pStyle w:val="Zpat"/>
              <w:jc w:val="center"/>
            </w:pPr>
            <w:r>
              <w:fldChar w:fldCharType="begin"/>
            </w:r>
            <w:r>
              <w:instrText>PAGE</w:instrText>
            </w:r>
            <w:r>
              <w:fldChar w:fldCharType="separate"/>
            </w:r>
            <w:r w:rsidR="00BC60B3">
              <w:rPr>
                <w:noProof/>
              </w:rPr>
              <w:t>8</w:t>
            </w:r>
            <w:r>
              <w:rPr>
                <w:noProof/>
              </w:rPr>
              <w:fldChar w:fldCharType="end"/>
            </w:r>
            <w:r w:rsidR="008A0D56" w:rsidRPr="008A0D56">
              <w:t>/</w:t>
            </w:r>
            <w:r>
              <w:fldChar w:fldCharType="begin"/>
            </w:r>
            <w:r>
              <w:instrText>NUMPAGES</w:instrText>
            </w:r>
            <w:r>
              <w:fldChar w:fldCharType="separate"/>
            </w:r>
            <w:r w:rsidR="00BC60B3">
              <w:rPr>
                <w:noProof/>
              </w:rPr>
              <w:t>8</w:t>
            </w:r>
            <w:r>
              <w:rPr>
                <w:noProof/>
              </w:rPr>
              <w:fldChar w:fldCharType="end"/>
            </w:r>
          </w:p>
        </w:sdtContent>
      </w:sdt>
    </w:sdtContent>
  </w:sdt>
  <w:p w14:paraId="7810CFA2" w14:textId="77777777" w:rsidR="008A0D56" w:rsidRDefault="008A0D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02695" w14:textId="77777777" w:rsidR="00803A35" w:rsidRDefault="00803A35" w:rsidP="00534361">
      <w:pPr>
        <w:spacing w:after="0" w:line="240" w:lineRule="auto"/>
      </w:pPr>
      <w:r>
        <w:separator/>
      </w:r>
    </w:p>
  </w:footnote>
  <w:footnote w:type="continuationSeparator" w:id="0">
    <w:p w14:paraId="24A345B9" w14:textId="77777777" w:rsidR="00803A35" w:rsidRDefault="00803A35" w:rsidP="00534361">
      <w:pPr>
        <w:spacing w:after="0" w:line="240" w:lineRule="auto"/>
      </w:pPr>
      <w:r>
        <w:continuationSeparator/>
      </w:r>
    </w:p>
  </w:footnote>
  <w:footnote w:id="1">
    <w:p w14:paraId="5CCC249D" w14:textId="77777777" w:rsidR="003F48BF" w:rsidRPr="001D37F7" w:rsidRDefault="003F48BF" w:rsidP="003F48BF">
      <w:pPr>
        <w:spacing w:after="0" w:line="264" w:lineRule="auto"/>
        <w:rPr>
          <w:rFonts w:eastAsia="Arial" w:cs="Arial"/>
          <w:color w:val="000000"/>
          <w:sz w:val="18"/>
          <w:szCs w:val="18"/>
        </w:rPr>
      </w:pPr>
      <w:r w:rsidRPr="00B15E21">
        <w:rPr>
          <w:rStyle w:val="Znakapoznpodarou"/>
          <w:sz w:val="18"/>
          <w:szCs w:val="18"/>
        </w:rPr>
        <w:footnoteRef/>
      </w:r>
      <w:r w:rsidRPr="00B15E21">
        <w:rPr>
          <w:sz w:val="18"/>
          <w:szCs w:val="18"/>
        </w:rPr>
        <w:t xml:space="preserve"> </w:t>
      </w:r>
      <w:r w:rsidRPr="001D37F7">
        <w:rPr>
          <w:rFonts w:eastAsia="Arial" w:cs="Arial"/>
          <w:color w:val="000000"/>
          <w:sz w:val="18"/>
          <w:szCs w:val="18"/>
        </w:rPr>
        <w:t>Pro období 2021-2027 je novinkou, že tržní selhání již ŘO neposuzuje při ex-ante posouzení FN dle čl. 53 (3), nýbrž tržní selhání je řešeno na úrovni programu (tj. pro FN i dotace) - viz čl. 17 (3) (a) (ii) obecného nařízení.</w:t>
      </w:r>
    </w:p>
  </w:footnote>
  <w:footnote w:id="2">
    <w:p w14:paraId="1EA58CB4" w14:textId="77777777" w:rsidR="003F48BF" w:rsidRPr="001D37F7" w:rsidRDefault="003F48BF" w:rsidP="003F48BF">
      <w:pPr>
        <w:spacing w:after="0" w:line="264" w:lineRule="auto"/>
        <w:rPr>
          <w:rFonts w:eastAsia="Arial" w:cs="Arial"/>
          <w:color w:val="000000"/>
          <w:sz w:val="18"/>
          <w:szCs w:val="18"/>
        </w:rPr>
      </w:pPr>
      <w:r w:rsidRPr="00B15E21">
        <w:rPr>
          <w:rStyle w:val="Znakapoznpodarou"/>
          <w:sz w:val="18"/>
          <w:szCs w:val="18"/>
        </w:rPr>
        <w:footnoteRef/>
      </w:r>
      <w:r w:rsidRPr="00B15E21">
        <w:rPr>
          <w:sz w:val="18"/>
          <w:szCs w:val="18"/>
        </w:rPr>
        <w:t xml:space="preserve"> </w:t>
      </w:r>
      <w:r w:rsidRPr="001D37F7">
        <w:rPr>
          <w:rFonts w:eastAsia="Arial" w:cs="Arial"/>
          <w:color w:val="000000"/>
          <w:sz w:val="18"/>
          <w:szCs w:val="18"/>
        </w:rPr>
        <w:t>Dále pak dle čl. 17 (3) (b) obecného nařízení se má na úrovni programu uvést odůvodnění pro zvolené formy podpory.</w:t>
      </w:r>
    </w:p>
  </w:footnote>
  <w:footnote w:id="3">
    <w:p w14:paraId="50139DEC" w14:textId="77777777" w:rsidR="003F48BF" w:rsidRDefault="003F48BF" w:rsidP="003F48BF">
      <w:pPr>
        <w:pStyle w:val="Textpoznpodarou"/>
        <w:spacing w:line="264" w:lineRule="auto"/>
      </w:pPr>
      <w:r w:rsidRPr="00B15E21">
        <w:rPr>
          <w:rStyle w:val="Znakapoznpodarou"/>
          <w:sz w:val="18"/>
          <w:szCs w:val="18"/>
        </w:rPr>
        <w:footnoteRef/>
      </w:r>
      <w:r w:rsidRPr="00B15E21">
        <w:rPr>
          <w:sz w:val="18"/>
          <w:szCs w:val="18"/>
        </w:rPr>
        <w:t xml:space="preserve"> </w:t>
      </w:r>
      <w:r w:rsidRPr="00B15E21">
        <w:rPr>
          <w:bCs/>
          <w:sz w:val="18"/>
          <w:szCs w:val="18"/>
        </w:rPr>
        <w:t>Analýza selhání trhu, neoptimálních investičních situací a investičních potřeb v rámci SC.</w:t>
      </w:r>
    </w:p>
  </w:footnote>
  <w:footnote w:id="4">
    <w:p w14:paraId="1B9E39FB" w14:textId="77777777" w:rsidR="003F48BF" w:rsidRDefault="003F48BF" w:rsidP="003F48BF">
      <w:pPr>
        <w:pStyle w:val="Textpoznpodarou"/>
        <w:spacing w:line="264" w:lineRule="auto"/>
      </w:pPr>
      <w:r>
        <w:rPr>
          <w:rStyle w:val="Znakapoznpodarou"/>
        </w:rPr>
        <w:footnoteRef/>
      </w:r>
      <w:r>
        <w:t xml:space="preserve"> </w:t>
      </w:r>
      <w:r w:rsidRPr="004E0A19">
        <w:rPr>
          <w:sz w:val="18"/>
          <w:szCs w:val="18"/>
        </w:rPr>
        <w:t xml:space="preserve">Dle znění metodiky Evropské komise (EK) je nutno tržní selhání nebo suboptimální investiční situaci identifikovat, tj. definovat, proč subjekty cílových skupin </w:t>
      </w:r>
      <w:r>
        <w:rPr>
          <w:sz w:val="18"/>
          <w:szCs w:val="18"/>
        </w:rPr>
        <w:t xml:space="preserve">OP </w:t>
      </w:r>
      <w:r w:rsidRPr="004E0A19">
        <w:rPr>
          <w:sz w:val="18"/>
          <w:szCs w:val="18"/>
        </w:rPr>
        <w:t xml:space="preserve">na straně poptávky na finančním trhu nejsou schopny financovat své investiční záměry za tržních podmínek, včetně případných bariér na straně nabídky na finančním trhu, pro typové projekty podporovaných aktivit jednotlivých specifických cílů </w:t>
      </w:r>
      <w:r>
        <w:rPr>
          <w:sz w:val="18"/>
          <w:szCs w:val="18"/>
        </w:rPr>
        <w:t>OP</w:t>
      </w:r>
      <w:r w:rsidRPr="004E0A19">
        <w:rPr>
          <w:sz w:val="18"/>
          <w:szCs w:val="18"/>
        </w:rPr>
        <w:t>.</w:t>
      </w:r>
    </w:p>
  </w:footnote>
  <w:footnote w:id="5">
    <w:p w14:paraId="20232475" w14:textId="77777777" w:rsidR="003F48BF" w:rsidRPr="00CA4C72" w:rsidRDefault="003F48BF" w:rsidP="003F48BF">
      <w:pPr>
        <w:pStyle w:val="Textkomente"/>
        <w:spacing w:after="0" w:line="264" w:lineRule="auto"/>
        <w:rPr>
          <w:sz w:val="18"/>
          <w:szCs w:val="18"/>
        </w:rPr>
      </w:pPr>
      <w:r w:rsidRPr="00CA4C72">
        <w:rPr>
          <w:rStyle w:val="Znakapoznpodarou"/>
          <w:sz w:val="18"/>
          <w:szCs w:val="18"/>
        </w:rPr>
        <w:footnoteRef/>
      </w:r>
      <w:r w:rsidRPr="00CA4C72">
        <w:rPr>
          <w:sz w:val="18"/>
          <w:szCs w:val="18"/>
        </w:rPr>
        <w:t xml:space="preserve"> Viz dále „motivační účinek“, který dle GBER odůvodňuje veřejnou intervenci.</w:t>
      </w:r>
    </w:p>
  </w:footnote>
  <w:footnote w:id="6">
    <w:p w14:paraId="7F3A60E9" w14:textId="7257D55F" w:rsidR="003F48BF" w:rsidRDefault="003F48BF" w:rsidP="003F48BF">
      <w:pPr>
        <w:pStyle w:val="Textpoznpodarou"/>
        <w:spacing w:line="264" w:lineRule="auto"/>
      </w:pPr>
      <w:r w:rsidRPr="00CA4C72">
        <w:rPr>
          <w:rStyle w:val="Znakapoznpodarou"/>
          <w:sz w:val="18"/>
          <w:szCs w:val="18"/>
        </w:rPr>
        <w:footnoteRef/>
      </w:r>
      <w:r w:rsidRPr="00CA4C72">
        <w:rPr>
          <w:sz w:val="18"/>
          <w:szCs w:val="18"/>
        </w:rPr>
        <w:t xml:space="preserve"> Základ bude tvořit již zpracovaná analýza absorpční kapacity OP</w:t>
      </w:r>
      <w:r w:rsidR="00704E22">
        <w:rPr>
          <w:sz w:val="18"/>
          <w:szCs w:val="18"/>
        </w:rPr>
        <w:t xml:space="preserve"> TAK</w:t>
      </w:r>
      <w:r w:rsidRPr="00CA4C72">
        <w:rPr>
          <w:sz w:val="18"/>
          <w:szCs w:val="18"/>
        </w:rPr>
        <w:t>.</w:t>
      </w:r>
    </w:p>
  </w:footnote>
  <w:footnote w:id="7">
    <w:p w14:paraId="7BD8FBBB" w14:textId="67653FE9" w:rsidR="000A2D5B" w:rsidRDefault="000A2D5B">
      <w:pPr>
        <w:pStyle w:val="Textpoznpodarou"/>
      </w:pPr>
      <w:r>
        <w:rPr>
          <w:rStyle w:val="Znakapoznpodarou"/>
        </w:rPr>
        <w:footnoteRef/>
      </w:r>
      <w:r>
        <w:t xml:space="preserve"> Za normostranu je považován text obsahující 1800 znaků včetně mezer a včetně poznámek pod čarou.  </w:t>
      </w:r>
    </w:p>
  </w:footnote>
  <w:footnote w:id="8">
    <w:p w14:paraId="7DA4C4A0" w14:textId="77777777" w:rsidR="003F48BF" w:rsidRDefault="003F48BF" w:rsidP="003F48BF">
      <w:pPr>
        <w:pStyle w:val="Textpoznpodarou"/>
      </w:pPr>
      <w:r>
        <w:rPr>
          <w:rStyle w:val="Znakapoznpodarou"/>
        </w:rPr>
        <w:footnoteRef/>
      </w:r>
      <w:r>
        <w:t xml:space="preserve"> </w:t>
      </w:r>
      <w:r w:rsidRPr="00B15E21">
        <w:rPr>
          <w:sz w:val="18"/>
          <w:szCs w:val="18"/>
        </w:rPr>
        <w:t>Obecné nařízení</w:t>
      </w:r>
    </w:p>
  </w:footnote>
  <w:footnote w:id="9">
    <w:p w14:paraId="140E08FA" w14:textId="77777777" w:rsidR="002D706D" w:rsidRDefault="002D706D" w:rsidP="002D706D">
      <w:pPr>
        <w:pStyle w:val="Textpoznpodarou"/>
      </w:pPr>
      <w:r>
        <w:rPr>
          <w:rStyle w:val="Znakapoznpodarou"/>
        </w:rPr>
        <w:footnoteRef/>
      </w:r>
      <w:r>
        <w:t xml:space="preserve"> Relevantní pro III. etapu, případně částečně i pro II. etapu. </w:t>
      </w:r>
    </w:p>
  </w:footnote>
  <w:footnote w:id="10">
    <w:p w14:paraId="5B055966" w14:textId="77777777" w:rsidR="00AF6363" w:rsidRDefault="00AF6363" w:rsidP="00AF6363">
      <w:pPr>
        <w:pStyle w:val="Textpoznpodarou"/>
      </w:pPr>
      <w:r>
        <w:rPr>
          <w:rStyle w:val="Znakapoznpodarou"/>
        </w:rPr>
        <w:footnoteRef/>
      </w:r>
      <w:r>
        <w:t xml:space="preserve"> </w:t>
      </w:r>
      <w:r>
        <w:rPr>
          <w:sz w:val="18"/>
          <w:szCs w:val="18"/>
        </w:rPr>
        <w:t xml:space="preserve">Český statistický úřad data o jednotlivých podnicích s odvoláním na § 17 zákona č. 89/1995 Sb., o státní statistické službě pro tyto účely neposkytuje. Některá z dat lze získat na internetových stránkách MPO: </w:t>
      </w:r>
      <w:hyperlink r:id="rId1" w:history="1">
        <w:r>
          <w:rPr>
            <w:rStyle w:val="Hypertextovodkaz"/>
            <w:sz w:val="18"/>
            <w:szCs w:val="18"/>
          </w:rPr>
          <w:t>https://www.mpo.cz/cz/rozcestnik/analyticke-materialy-a-statistiky/analyticke-materialy/</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880DD" w14:textId="5CB0FECB" w:rsidR="006965DA" w:rsidRDefault="00BC60B3" w:rsidP="00BC60B3">
    <w:pPr>
      <w:jc w:val="right"/>
    </w:pPr>
    <w:r>
      <w:t>Příloha č. 1 ke Smlouvě č. 5/20/61100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C92B9AA"/>
    <w:lvl w:ilvl="0">
      <w:start w:val="1"/>
      <w:numFmt w:val="decimal"/>
      <w:pStyle w:val="slovanseznam"/>
      <w:lvlText w:val="%1."/>
      <w:lvlJc w:val="left"/>
      <w:pPr>
        <w:tabs>
          <w:tab w:val="num" w:pos="360"/>
        </w:tabs>
        <w:ind w:left="360" w:hanging="360"/>
      </w:pPr>
    </w:lvl>
  </w:abstractNum>
  <w:abstractNum w:abstractNumId="1" w15:restartNumberingAfterBreak="0">
    <w:nsid w:val="031A33F8"/>
    <w:multiLevelType w:val="multilevel"/>
    <w:tmpl w:val="DCE02F5A"/>
    <w:numStyleLink w:val="Styl4"/>
  </w:abstractNum>
  <w:abstractNum w:abstractNumId="2" w15:restartNumberingAfterBreak="0">
    <w:nsid w:val="036864E0"/>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3C18A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777627"/>
    <w:multiLevelType w:val="multilevel"/>
    <w:tmpl w:val="DCE02F5A"/>
    <w:numStyleLink w:val="Styl4"/>
  </w:abstractNum>
  <w:abstractNum w:abstractNumId="5" w15:restartNumberingAfterBreak="0">
    <w:nsid w:val="0DF52F1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D00A9"/>
    <w:multiLevelType w:val="multilevel"/>
    <w:tmpl w:val="DCE02F5A"/>
    <w:numStyleLink w:val="Styl4"/>
  </w:abstractNum>
  <w:abstractNum w:abstractNumId="7" w15:restartNumberingAfterBreak="0">
    <w:nsid w:val="135B3A11"/>
    <w:multiLevelType w:val="hybridMultilevel"/>
    <w:tmpl w:val="BA9EC418"/>
    <w:lvl w:ilvl="0" w:tplc="20C2F3C6">
      <w:start w:val="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777FE3"/>
    <w:multiLevelType w:val="hybridMultilevel"/>
    <w:tmpl w:val="59208E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A6622F"/>
    <w:multiLevelType w:val="hybridMultilevel"/>
    <w:tmpl w:val="DEF609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C26AA4"/>
    <w:multiLevelType w:val="multilevel"/>
    <w:tmpl w:val="C5C241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DA79ED"/>
    <w:multiLevelType w:val="multilevel"/>
    <w:tmpl w:val="DCE02F5A"/>
    <w:numStyleLink w:val="Styl4"/>
  </w:abstractNum>
  <w:abstractNum w:abstractNumId="12" w15:restartNumberingAfterBreak="0">
    <w:nsid w:val="243075C6"/>
    <w:multiLevelType w:val="multilevel"/>
    <w:tmpl w:val="FC68A90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277738A1"/>
    <w:multiLevelType w:val="hybridMultilevel"/>
    <w:tmpl w:val="22A69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D4380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462088"/>
    <w:multiLevelType w:val="multilevel"/>
    <w:tmpl w:val="DCE02F5A"/>
    <w:numStyleLink w:val="Styl4"/>
  </w:abstractNum>
  <w:abstractNum w:abstractNumId="16" w15:restartNumberingAfterBreak="0">
    <w:nsid w:val="31651D10"/>
    <w:multiLevelType w:val="multilevel"/>
    <w:tmpl w:val="DCE02F5A"/>
    <w:numStyleLink w:val="Styl4"/>
  </w:abstractNum>
  <w:abstractNum w:abstractNumId="17" w15:restartNumberingAfterBreak="0">
    <w:nsid w:val="337833B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8C51D0"/>
    <w:multiLevelType w:val="hybridMultilevel"/>
    <w:tmpl w:val="59208E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340045"/>
    <w:multiLevelType w:val="multilevel"/>
    <w:tmpl w:val="DCE02F5A"/>
    <w:numStyleLink w:val="Styl4"/>
  </w:abstractNum>
  <w:abstractNum w:abstractNumId="20" w15:restartNumberingAfterBreak="0">
    <w:nsid w:val="3E3D6D5E"/>
    <w:multiLevelType w:val="hybridMultilevel"/>
    <w:tmpl w:val="72C0B618"/>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8649B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176806"/>
    <w:multiLevelType w:val="hybridMultilevel"/>
    <w:tmpl w:val="E2BCC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8175BA"/>
    <w:multiLevelType w:val="hybridMultilevel"/>
    <w:tmpl w:val="6BB80A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D3771C"/>
    <w:multiLevelType w:val="hybridMultilevel"/>
    <w:tmpl w:val="59208E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192DAF"/>
    <w:multiLevelType w:val="hybridMultilevel"/>
    <w:tmpl w:val="BDFCF30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35677E"/>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716DE2"/>
    <w:multiLevelType w:val="hybridMultilevel"/>
    <w:tmpl w:val="8DE65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645C1C"/>
    <w:multiLevelType w:val="hybridMultilevel"/>
    <w:tmpl w:val="EFB0E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074C5C"/>
    <w:multiLevelType w:val="multilevel"/>
    <w:tmpl w:val="DCE02F5A"/>
    <w:numStyleLink w:val="Styl4"/>
  </w:abstractNum>
  <w:abstractNum w:abstractNumId="30" w15:restartNumberingAfterBreak="0">
    <w:nsid w:val="5D5F5150"/>
    <w:multiLevelType w:val="hybridMultilevel"/>
    <w:tmpl w:val="6D54B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EBB6A20"/>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A1607B"/>
    <w:multiLevelType w:val="hybridMultilevel"/>
    <w:tmpl w:val="2D9C3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8257CC"/>
    <w:multiLevelType w:val="hybridMultilevel"/>
    <w:tmpl w:val="014E47FC"/>
    <w:lvl w:ilvl="0" w:tplc="0ABC3EF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B04A88"/>
    <w:multiLevelType w:val="multilevel"/>
    <w:tmpl w:val="DCE02F5A"/>
    <w:numStyleLink w:val="Styl4"/>
  </w:abstractNum>
  <w:abstractNum w:abstractNumId="35" w15:restartNumberingAfterBreak="0">
    <w:nsid w:val="67087094"/>
    <w:multiLevelType w:val="hybridMultilevel"/>
    <w:tmpl w:val="362EF3BE"/>
    <w:lvl w:ilvl="0" w:tplc="0405000F">
      <w:start w:val="1"/>
      <w:numFmt w:val="decimal"/>
      <w:lvlText w:val="%1."/>
      <w:lvlJc w:val="left"/>
      <w:pPr>
        <w:ind w:left="720" w:hanging="360"/>
      </w:pPr>
    </w:lvl>
    <w:lvl w:ilvl="1" w:tplc="604800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3E7EF5"/>
    <w:multiLevelType w:val="multilevel"/>
    <w:tmpl w:val="DCE02F5A"/>
    <w:styleLink w:val="Styl4"/>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6CFB1E9B"/>
    <w:multiLevelType w:val="hybridMultilevel"/>
    <w:tmpl w:val="4B0ED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4D691A"/>
    <w:multiLevelType w:val="multilevel"/>
    <w:tmpl w:val="DCE02F5A"/>
    <w:numStyleLink w:val="Styl4"/>
  </w:abstractNum>
  <w:abstractNum w:abstractNumId="40" w15:restartNumberingAfterBreak="0">
    <w:nsid w:val="7DF97B81"/>
    <w:multiLevelType w:val="multilevel"/>
    <w:tmpl w:val="DCE02F5A"/>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8"/>
  </w:num>
  <w:num w:numId="3">
    <w:abstractNumId w:val="2"/>
  </w:num>
  <w:num w:numId="4">
    <w:abstractNumId w:val="18"/>
  </w:num>
  <w:num w:numId="5">
    <w:abstractNumId w:val="35"/>
  </w:num>
  <w:num w:numId="6">
    <w:abstractNumId w:val="20"/>
  </w:num>
  <w:num w:numId="7">
    <w:abstractNumId w:val="26"/>
  </w:num>
  <w:num w:numId="8">
    <w:abstractNumId w:val="31"/>
  </w:num>
  <w:num w:numId="9">
    <w:abstractNumId w:val="12"/>
  </w:num>
  <w:num w:numId="10">
    <w:abstractNumId w:val="7"/>
  </w:num>
  <w:num w:numId="11">
    <w:abstractNumId w:val="33"/>
  </w:num>
  <w:num w:numId="12">
    <w:abstractNumId w:val="36"/>
  </w:num>
  <w:num w:numId="13">
    <w:abstractNumId w:val="29"/>
  </w:num>
  <w:num w:numId="14">
    <w:abstractNumId w:val="16"/>
  </w:num>
  <w:num w:numId="15">
    <w:abstractNumId w:val="15"/>
  </w:num>
  <w:num w:numId="16">
    <w:abstractNumId w:val="19"/>
  </w:num>
  <w:num w:numId="17">
    <w:abstractNumId w:val="40"/>
  </w:num>
  <w:num w:numId="18">
    <w:abstractNumId w:val="11"/>
  </w:num>
  <w:num w:numId="19">
    <w:abstractNumId w:val="34"/>
  </w:num>
  <w:num w:numId="20">
    <w:abstractNumId w:val="1"/>
  </w:num>
  <w:num w:numId="21">
    <w:abstractNumId w:val="39"/>
  </w:num>
  <w:num w:numId="22">
    <w:abstractNumId w:val="4"/>
  </w:num>
  <w:num w:numId="23">
    <w:abstractNumId w:val="6"/>
  </w:num>
  <w:num w:numId="24">
    <w:abstractNumId w:val="25"/>
  </w:num>
  <w:num w:numId="25">
    <w:abstractNumId w:val="21"/>
  </w:num>
  <w:num w:numId="26">
    <w:abstractNumId w:val="17"/>
  </w:num>
  <w:num w:numId="27">
    <w:abstractNumId w:val="14"/>
  </w:num>
  <w:num w:numId="28">
    <w:abstractNumId w:val="3"/>
  </w:num>
  <w:num w:numId="29">
    <w:abstractNumId w:val="32"/>
  </w:num>
  <w:num w:numId="30">
    <w:abstractNumId w:val="10"/>
  </w:num>
  <w:num w:numId="31">
    <w:abstractNumId w:val="23"/>
  </w:num>
  <w:num w:numId="32">
    <w:abstractNumId w:val="22"/>
  </w:num>
  <w:num w:numId="33">
    <w:abstractNumId w:val="5"/>
  </w:num>
  <w:num w:numId="34">
    <w:abstractNumId w:val="12"/>
  </w:num>
  <w:num w:numId="35">
    <w:abstractNumId w:val="12"/>
  </w:num>
  <w:num w:numId="36">
    <w:abstractNumId w:val="0"/>
  </w:num>
  <w:num w:numId="37">
    <w:abstractNumId w:val="38"/>
  </w:num>
  <w:num w:numId="38">
    <w:abstractNumId w:val="27"/>
  </w:num>
  <w:num w:numId="39">
    <w:abstractNumId w:val="30"/>
  </w:num>
  <w:num w:numId="40">
    <w:abstractNumId w:val="37"/>
  </w:num>
  <w:num w:numId="41">
    <w:abstractNumId w:val="9"/>
  </w:num>
  <w:num w:numId="42">
    <w:abstractNumId w:val="13"/>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61"/>
    <w:rsid w:val="00001547"/>
    <w:rsid w:val="00014125"/>
    <w:rsid w:val="00017530"/>
    <w:rsid w:val="0002040B"/>
    <w:rsid w:val="0003639A"/>
    <w:rsid w:val="000512DD"/>
    <w:rsid w:val="00060075"/>
    <w:rsid w:val="00063BF8"/>
    <w:rsid w:val="00076077"/>
    <w:rsid w:val="000846F0"/>
    <w:rsid w:val="00091D24"/>
    <w:rsid w:val="00093153"/>
    <w:rsid w:val="000A025E"/>
    <w:rsid w:val="000A2D5B"/>
    <w:rsid w:val="000A78C0"/>
    <w:rsid w:val="000A7CCA"/>
    <w:rsid w:val="000B5FB5"/>
    <w:rsid w:val="000C7F65"/>
    <w:rsid w:val="000E3CDD"/>
    <w:rsid w:val="000E45D2"/>
    <w:rsid w:val="000E562D"/>
    <w:rsid w:val="000E5FA6"/>
    <w:rsid w:val="000F61FE"/>
    <w:rsid w:val="00104EDF"/>
    <w:rsid w:val="00116979"/>
    <w:rsid w:val="0013456D"/>
    <w:rsid w:val="00144074"/>
    <w:rsid w:val="0015475A"/>
    <w:rsid w:val="00165534"/>
    <w:rsid w:val="00192D14"/>
    <w:rsid w:val="001B1A58"/>
    <w:rsid w:val="001B4CDA"/>
    <w:rsid w:val="001C14EB"/>
    <w:rsid w:val="001D659F"/>
    <w:rsid w:val="001E3C36"/>
    <w:rsid w:val="001F1936"/>
    <w:rsid w:val="001F2C33"/>
    <w:rsid w:val="001F613B"/>
    <w:rsid w:val="0020419B"/>
    <w:rsid w:val="0021082C"/>
    <w:rsid w:val="00211A4A"/>
    <w:rsid w:val="00213EBE"/>
    <w:rsid w:val="0021628E"/>
    <w:rsid w:val="00221772"/>
    <w:rsid w:val="00232C76"/>
    <w:rsid w:val="002369B1"/>
    <w:rsid w:val="0023760E"/>
    <w:rsid w:val="002440A0"/>
    <w:rsid w:val="00253575"/>
    <w:rsid w:val="00260062"/>
    <w:rsid w:val="0026124F"/>
    <w:rsid w:val="00261772"/>
    <w:rsid w:val="00272FC0"/>
    <w:rsid w:val="00282534"/>
    <w:rsid w:val="002A0772"/>
    <w:rsid w:val="002A421E"/>
    <w:rsid w:val="002B2D09"/>
    <w:rsid w:val="002D706D"/>
    <w:rsid w:val="002F2CA1"/>
    <w:rsid w:val="002F39D4"/>
    <w:rsid w:val="00304E7A"/>
    <w:rsid w:val="00315967"/>
    <w:rsid w:val="00320544"/>
    <w:rsid w:val="003359E6"/>
    <w:rsid w:val="0035118D"/>
    <w:rsid w:val="0036309D"/>
    <w:rsid w:val="00367257"/>
    <w:rsid w:val="00371435"/>
    <w:rsid w:val="00382B81"/>
    <w:rsid w:val="003879F0"/>
    <w:rsid w:val="003A00EA"/>
    <w:rsid w:val="003B54AA"/>
    <w:rsid w:val="003C328B"/>
    <w:rsid w:val="003C4301"/>
    <w:rsid w:val="003C5322"/>
    <w:rsid w:val="003C6ECA"/>
    <w:rsid w:val="003D2635"/>
    <w:rsid w:val="003F48BF"/>
    <w:rsid w:val="003F690B"/>
    <w:rsid w:val="00401DA1"/>
    <w:rsid w:val="00412C04"/>
    <w:rsid w:val="00413F41"/>
    <w:rsid w:val="00414552"/>
    <w:rsid w:val="004272F9"/>
    <w:rsid w:val="00450D96"/>
    <w:rsid w:val="00450DB5"/>
    <w:rsid w:val="00452C32"/>
    <w:rsid w:val="004640A6"/>
    <w:rsid w:val="004652AC"/>
    <w:rsid w:val="0048276D"/>
    <w:rsid w:val="004A3A53"/>
    <w:rsid w:val="004A45E1"/>
    <w:rsid w:val="004B50A6"/>
    <w:rsid w:val="004C1B69"/>
    <w:rsid w:val="004D3149"/>
    <w:rsid w:val="004E60D7"/>
    <w:rsid w:val="004F5F8E"/>
    <w:rsid w:val="00514CF5"/>
    <w:rsid w:val="00516E4C"/>
    <w:rsid w:val="00523CD2"/>
    <w:rsid w:val="0052436C"/>
    <w:rsid w:val="00534361"/>
    <w:rsid w:val="00535663"/>
    <w:rsid w:val="0056156D"/>
    <w:rsid w:val="0058252A"/>
    <w:rsid w:val="00582C59"/>
    <w:rsid w:val="0058397A"/>
    <w:rsid w:val="0059382C"/>
    <w:rsid w:val="005A6A8B"/>
    <w:rsid w:val="005B16C8"/>
    <w:rsid w:val="005C0625"/>
    <w:rsid w:val="005D33B5"/>
    <w:rsid w:val="005F0A46"/>
    <w:rsid w:val="00602E0D"/>
    <w:rsid w:val="00610878"/>
    <w:rsid w:val="00610C32"/>
    <w:rsid w:val="00634ED7"/>
    <w:rsid w:val="006464B6"/>
    <w:rsid w:val="006573FC"/>
    <w:rsid w:val="006660CC"/>
    <w:rsid w:val="00671050"/>
    <w:rsid w:val="00680261"/>
    <w:rsid w:val="00691524"/>
    <w:rsid w:val="00693B57"/>
    <w:rsid w:val="006965DA"/>
    <w:rsid w:val="00697592"/>
    <w:rsid w:val="006A6BEE"/>
    <w:rsid w:val="006C17A8"/>
    <w:rsid w:val="006C37CF"/>
    <w:rsid w:val="006D15B0"/>
    <w:rsid w:val="006E55A0"/>
    <w:rsid w:val="006F1F2F"/>
    <w:rsid w:val="0070368C"/>
    <w:rsid w:val="00703DC6"/>
    <w:rsid w:val="00704E22"/>
    <w:rsid w:val="00706BD3"/>
    <w:rsid w:val="00715677"/>
    <w:rsid w:val="0073242D"/>
    <w:rsid w:val="00741D74"/>
    <w:rsid w:val="00743122"/>
    <w:rsid w:val="00743D49"/>
    <w:rsid w:val="00746D2A"/>
    <w:rsid w:val="00772BC5"/>
    <w:rsid w:val="007965AE"/>
    <w:rsid w:val="007B1A6A"/>
    <w:rsid w:val="007C7772"/>
    <w:rsid w:val="007D5B35"/>
    <w:rsid w:val="007E0503"/>
    <w:rsid w:val="007E4DE1"/>
    <w:rsid w:val="00803A35"/>
    <w:rsid w:val="00805A1C"/>
    <w:rsid w:val="0081244F"/>
    <w:rsid w:val="00821BA5"/>
    <w:rsid w:val="00834CE4"/>
    <w:rsid w:val="00851CF7"/>
    <w:rsid w:val="008559EA"/>
    <w:rsid w:val="00856D1D"/>
    <w:rsid w:val="008745A4"/>
    <w:rsid w:val="00886849"/>
    <w:rsid w:val="008877B1"/>
    <w:rsid w:val="0089370F"/>
    <w:rsid w:val="00894A0E"/>
    <w:rsid w:val="008A0D56"/>
    <w:rsid w:val="008A64CF"/>
    <w:rsid w:val="008B1766"/>
    <w:rsid w:val="008C6D6D"/>
    <w:rsid w:val="008D128E"/>
    <w:rsid w:val="008D1CB7"/>
    <w:rsid w:val="008E6BD9"/>
    <w:rsid w:val="008F4782"/>
    <w:rsid w:val="0090083D"/>
    <w:rsid w:val="00900B30"/>
    <w:rsid w:val="00926EB9"/>
    <w:rsid w:val="009309D7"/>
    <w:rsid w:val="00941C7B"/>
    <w:rsid w:val="009741F8"/>
    <w:rsid w:val="009812FB"/>
    <w:rsid w:val="00985F1A"/>
    <w:rsid w:val="00986CCC"/>
    <w:rsid w:val="0099357B"/>
    <w:rsid w:val="0099614D"/>
    <w:rsid w:val="009A08D7"/>
    <w:rsid w:val="009A1914"/>
    <w:rsid w:val="009C496A"/>
    <w:rsid w:val="009C5622"/>
    <w:rsid w:val="009D6058"/>
    <w:rsid w:val="009F1646"/>
    <w:rsid w:val="009F2A1D"/>
    <w:rsid w:val="00A07D84"/>
    <w:rsid w:val="00A2613F"/>
    <w:rsid w:val="00A27AF6"/>
    <w:rsid w:val="00A40B0A"/>
    <w:rsid w:val="00A433C7"/>
    <w:rsid w:val="00A448DA"/>
    <w:rsid w:val="00A61C19"/>
    <w:rsid w:val="00A6273C"/>
    <w:rsid w:val="00A71A64"/>
    <w:rsid w:val="00A71FBA"/>
    <w:rsid w:val="00A72431"/>
    <w:rsid w:val="00A77840"/>
    <w:rsid w:val="00A83F98"/>
    <w:rsid w:val="00A874EB"/>
    <w:rsid w:val="00AA4DCB"/>
    <w:rsid w:val="00AB0ACA"/>
    <w:rsid w:val="00AB0F94"/>
    <w:rsid w:val="00AB7998"/>
    <w:rsid w:val="00AC51E5"/>
    <w:rsid w:val="00AE31E1"/>
    <w:rsid w:val="00AF0111"/>
    <w:rsid w:val="00AF6363"/>
    <w:rsid w:val="00B1416C"/>
    <w:rsid w:val="00B320D0"/>
    <w:rsid w:val="00B40774"/>
    <w:rsid w:val="00B44548"/>
    <w:rsid w:val="00B46D93"/>
    <w:rsid w:val="00B52FC4"/>
    <w:rsid w:val="00B55A65"/>
    <w:rsid w:val="00B63561"/>
    <w:rsid w:val="00B656DB"/>
    <w:rsid w:val="00B66AEA"/>
    <w:rsid w:val="00B976E4"/>
    <w:rsid w:val="00BA1837"/>
    <w:rsid w:val="00BB2C31"/>
    <w:rsid w:val="00BC25E9"/>
    <w:rsid w:val="00BC60B3"/>
    <w:rsid w:val="00BC631A"/>
    <w:rsid w:val="00BD2717"/>
    <w:rsid w:val="00BE0C02"/>
    <w:rsid w:val="00BE30AC"/>
    <w:rsid w:val="00C0649A"/>
    <w:rsid w:val="00C77D4C"/>
    <w:rsid w:val="00C84D5C"/>
    <w:rsid w:val="00C94DDA"/>
    <w:rsid w:val="00CA0490"/>
    <w:rsid w:val="00CA6C81"/>
    <w:rsid w:val="00CB4127"/>
    <w:rsid w:val="00CC3ED9"/>
    <w:rsid w:val="00CD485D"/>
    <w:rsid w:val="00D0010E"/>
    <w:rsid w:val="00D343B6"/>
    <w:rsid w:val="00D36DE1"/>
    <w:rsid w:val="00D41508"/>
    <w:rsid w:val="00D47036"/>
    <w:rsid w:val="00D758CB"/>
    <w:rsid w:val="00D822B6"/>
    <w:rsid w:val="00D83DFF"/>
    <w:rsid w:val="00D85EE4"/>
    <w:rsid w:val="00D9292A"/>
    <w:rsid w:val="00D9375A"/>
    <w:rsid w:val="00DB3174"/>
    <w:rsid w:val="00DB5368"/>
    <w:rsid w:val="00DC0902"/>
    <w:rsid w:val="00DE13B7"/>
    <w:rsid w:val="00DE3961"/>
    <w:rsid w:val="00DF251D"/>
    <w:rsid w:val="00E00305"/>
    <w:rsid w:val="00E038D4"/>
    <w:rsid w:val="00E1005C"/>
    <w:rsid w:val="00E15769"/>
    <w:rsid w:val="00E170DE"/>
    <w:rsid w:val="00E4509A"/>
    <w:rsid w:val="00E651C1"/>
    <w:rsid w:val="00E66EA5"/>
    <w:rsid w:val="00E80D9F"/>
    <w:rsid w:val="00E83942"/>
    <w:rsid w:val="00E94D8E"/>
    <w:rsid w:val="00E967F9"/>
    <w:rsid w:val="00EB1579"/>
    <w:rsid w:val="00EB2232"/>
    <w:rsid w:val="00EC6ACA"/>
    <w:rsid w:val="00ED6977"/>
    <w:rsid w:val="00EE320C"/>
    <w:rsid w:val="00F07EFF"/>
    <w:rsid w:val="00F33406"/>
    <w:rsid w:val="00F35FA5"/>
    <w:rsid w:val="00F42641"/>
    <w:rsid w:val="00F61E3A"/>
    <w:rsid w:val="00F75585"/>
    <w:rsid w:val="00F8007E"/>
    <w:rsid w:val="00F8147E"/>
    <w:rsid w:val="00F83443"/>
    <w:rsid w:val="00F84BA7"/>
    <w:rsid w:val="00F91426"/>
    <w:rsid w:val="00F9529E"/>
    <w:rsid w:val="00FB2E66"/>
    <w:rsid w:val="00FC1A93"/>
    <w:rsid w:val="00FC4D7F"/>
    <w:rsid w:val="00FD0C36"/>
    <w:rsid w:val="00FD411B"/>
    <w:rsid w:val="00FE7EE6"/>
    <w:rsid w:val="00FF01D8"/>
    <w:rsid w:val="00FF27CE"/>
    <w:rsid w:val="00FF4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616D83"/>
  <w15:docId w15:val="{09A8FC19-B009-4FF3-88A9-742CF412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4361"/>
    <w:pPr>
      <w:overflowPunct w:val="0"/>
      <w:autoSpaceDE w:val="0"/>
      <w:autoSpaceDN w:val="0"/>
      <w:adjustRightInd w:val="0"/>
      <w:spacing w:after="90" w:line="340" w:lineRule="exact"/>
      <w:jc w:val="both"/>
      <w:textAlignment w:val="baseline"/>
    </w:pPr>
    <w:rPr>
      <w:rFonts w:asciiTheme="minorHAnsi" w:hAnsiTheme="minorHAnsi"/>
      <w:sz w:val="22"/>
    </w:rPr>
  </w:style>
  <w:style w:type="paragraph" w:styleId="Nadpis1">
    <w:name w:val="heading 1"/>
    <w:basedOn w:val="Normln"/>
    <w:next w:val="Normln"/>
    <w:link w:val="Nadpis1Char"/>
    <w:uiPriority w:val="9"/>
    <w:qFormat/>
    <w:rsid w:val="005C0625"/>
    <w:pPr>
      <w:keepNext/>
      <w:keepLines/>
      <w:numPr>
        <w:numId w:val="9"/>
      </w:numPr>
      <w:spacing w:before="360" w:after="12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5C0625"/>
    <w:pPr>
      <w:keepNext/>
      <w:keepLines/>
      <w:numPr>
        <w:ilvl w:val="1"/>
        <w:numId w:val="9"/>
      </w:numPr>
      <w:spacing w:before="240" w:after="12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5C0625"/>
    <w:pPr>
      <w:keepNext/>
      <w:keepLines/>
      <w:numPr>
        <w:ilvl w:val="2"/>
        <w:numId w:val="9"/>
      </w:numPr>
      <w:spacing w:before="180"/>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unhideWhenUsed/>
    <w:qFormat/>
    <w:rsid w:val="005C0625"/>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5C0625"/>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C0625"/>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C0625"/>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C0625"/>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C0625"/>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_Odstavec se seznamem,Seznam - odrážky,Conclusion de partie,Fiche List Paragraph,List Paragraph (Czech Tourism),Název grafu,nad 1,Odstavec se seznamem2,List Paragraph"/>
    <w:basedOn w:val="Normln"/>
    <w:link w:val="OdstavecseseznamemChar"/>
    <w:uiPriority w:val="34"/>
    <w:qFormat/>
    <w:rsid w:val="00534361"/>
    <w:pPr>
      <w:ind w:left="720"/>
      <w:contextualSpacing/>
    </w:pPr>
  </w:style>
  <w:style w:type="paragraph" w:styleId="Textpoznpodarou">
    <w:name w:val="footnote text"/>
    <w:basedOn w:val="Normln"/>
    <w:link w:val="TextpoznpodarouChar"/>
    <w:uiPriority w:val="99"/>
    <w:unhideWhenUsed/>
    <w:rsid w:val="00534361"/>
    <w:pPr>
      <w:spacing w:after="0" w:line="240" w:lineRule="auto"/>
    </w:pPr>
    <w:rPr>
      <w:sz w:val="20"/>
    </w:rPr>
  </w:style>
  <w:style w:type="character" w:customStyle="1" w:styleId="TextpoznpodarouChar">
    <w:name w:val="Text pozn. pod čarou Char"/>
    <w:basedOn w:val="Standardnpsmoodstavce"/>
    <w:link w:val="Textpoznpodarou"/>
    <w:uiPriority w:val="99"/>
    <w:rsid w:val="00534361"/>
    <w:rPr>
      <w:rFonts w:asciiTheme="minorHAnsi" w:hAnsiTheme="minorHAnsi"/>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iPriority w:val="99"/>
    <w:unhideWhenUsed/>
    <w:rsid w:val="00534361"/>
    <w:rPr>
      <w:vertAlign w:val="superscript"/>
    </w:rPr>
  </w:style>
  <w:style w:type="character" w:styleId="Hypertextovodkaz">
    <w:name w:val="Hyperlink"/>
    <w:basedOn w:val="Standardnpsmoodstavce"/>
    <w:uiPriority w:val="99"/>
    <w:unhideWhenUsed/>
    <w:rsid w:val="00534361"/>
    <w:rPr>
      <w:color w:val="0563C1" w:themeColor="hyperlink"/>
      <w:u w:val="single"/>
    </w:rPr>
  </w:style>
  <w:style w:type="character" w:customStyle="1" w:styleId="Nadpis1Char">
    <w:name w:val="Nadpis 1 Char"/>
    <w:basedOn w:val="Standardnpsmoodstavce"/>
    <w:link w:val="Nadpis1"/>
    <w:uiPriority w:val="9"/>
    <w:rsid w:val="005C0625"/>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5C06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5C0625"/>
    <w:rPr>
      <w:rFonts w:asciiTheme="minorHAnsi" w:eastAsiaTheme="majorEastAsia" w:hAnsiTheme="minorHAnsi" w:cstheme="majorBidi"/>
      <w:b/>
      <w:color w:val="000000" w:themeColor="text1"/>
      <w:sz w:val="22"/>
      <w:szCs w:val="24"/>
    </w:rPr>
  </w:style>
  <w:style w:type="character" w:customStyle="1" w:styleId="Nadpis4Char">
    <w:name w:val="Nadpis 4 Char"/>
    <w:basedOn w:val="Standardnpsmoodstavce"/>
    <w:link w:val="Nadpis4"/>
    <w:uiPriority w:val="9"/>
    <w:rsid w:val="005C0625"/>
    <w:rPr>
      <w:rFonts w:asciiTheme="majorHAnsi" w:eastAsiaTheme="majorEastAsia" w:hAnsiTheme="majorHAnsi" w:cstheme="majorBidi"/>
      <w:i/>
      <w:iCs/>
      <w:color w:val="2E74B5" w:themeColor="accent1" w:themeShade="BF"/>
      <w:sz w:val="22"/>
    </w:rPr>
  </w:style>
  <w:style w:type="character" w:customStyle="1" w:styleId="Nadpis5Char">
    <w:name w:val="Nadpis 5 Char"/>
    <w:basedOn w:val="Standardnpsmoodstavce"/>
    <w:link w:val="Nadpis5"/>
    <w:uiPriority w:val="9"/>
    <w:rsid w:val="005C0625"/>
    <w:rPr>
      <w:rFonts w:asciiTheme="majorHAnsi" w:eastAsiaTheme="majorEastAsia" w:hAnsiTheme="majorHAnsi" w:cstheme="majorBidi"/>
      <w:color w:val="2E74B5" w:themeColor="accent1" w:themeShade="BF"/>
      <w:sz w:val="22"/>
    </w:rPr>
  </w:style>
  <w:style w:type="character" w:customStyle="1" w:styleId="Nadpis6Char">
    <w:name w:val="Nadpis 6 Char"/>
    <w:basedOn w:val="Standardnpsmoodstavce"/>
    <w:link w:val="Nadpis6"/>
    <w:uiPriority w:val="9"/>
    <w:semiHidden/>
    <w:rsid w:val="005C0625"/>
    <w:rPr>
      <w:rFonts w:asciiTheme="majorHAnsi" w:eastAsiaTheme="majorEastAsia" w:hAnsiTheme="majorHAnsi" w:cstheme="majorBidi"/>
      <w:color w:val="1F4D78" w:themeColor="accent1" w:themeShade="7F"/>
      <w:sz w:val="22"/>
    </w:rPr>
  </w:style>
  <w:style w:type="character" w:customStyle="1" w:styleId="Nadpis7Char">
    <w:name w:val="Nadpis 7 Char"/>
    <w:basedOn w:val="Standardnpsmoodstavce"/>
    <w:link w:val="Nadpis7"/>
    <w:uiPriority w:val="9"/>
    <w:semiHidden/>
    <w:rsid w:val="005C0625"/>
    <w:rPr>
      <w:rFonts w:asciiTheme="majorHAnsi" w:eastAsiaTheme="majorEastAsia" w:hAnsiTheme="majorHAnsi" w:cstheme="majorBidi"/>
      <w:i/>
      <w:iCs/>
      <w:color w:val="1F4D78" w:themeColor="accent1" w:themeShade="7F"/>
      <w:sz w:val="22"/>
    </w:rPr>
  </w:style>
  <w:style w:type="character" w:customStyle="1" w:styleId="Nadpis8Char">
    <w:name w:val="Nadpis 8 Char"/>
    <w:basedOn w:val="Standardnpsmoodstavce"/>
    <w:link w:val="Nadpis8"/>
    <w:uiPriority w:val="9"/>
    <w:semiHidden/>
    <w:rsid w:val="005C062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C0625"/>
    <w:rPr>
      <w:rFonts w:asciiTheme="majorHAnsi" w:eastAsiaTheme="majorEastAsia" w:hAnsiTheme="majorHAnsi" w:cstheme="majorBidi"/>
      <w:i/>
      <w:iCs/>
      <w:color w:val="272727" w:themeColor="text1" w:themeTint="D8"/>
      <w:sz w:val="21"/>
      <w:szCs w:val="21"/>
    </w:rPr>
  </w:style>
  <w:style w:type="character" w:styleId="Sledovanodkaz">
    <w:name w:val="FollowedHyperlink"/>
    <w:basedOn w:val="Standardnpsmoodstavce"/>
    <w:uiPriority w:val="99"/>
    <w:semiHidden/>
    <w:unhideWhenUsed/>
    <w:rsid w:val="002F2CA1"/>
    <w:rPr>
      <w:color w:val="954F72" w:themeColor="followedHyperlink"/>
      <w:u w:val="single"/>
    </w:rPr>
  </w:style>
  <w:style w:type="character" w:styleId="Odkaznakoment">
    <w:name w:val="annotation reference"/>
    <w:basedOn w:val="Standardnpsmoodstavce"/>
    <w:uiPriority w:val="99"/>
    <w:semiHidden/>
    <w:unhideWhenUsed/>
    <w:rsid w:val="004272F9"/>
    <w:rPr>
      <w:sz w:val="16"/>
      <w:szCs w:val="16"/>
    </w:rPr>
  </w:style>
  <w:style w:type="paragraph" w:styleId="Textkomente">
    <w:name w:val="annotation text"/>
    <w:basedOn w:val="Normln"/>
    <w:link w:val="TextkomenteChar"/>
    <w:uiPriority w:val="99"/>
    <w:unhideWhenUsed/>
    <w:rsid w:val="004272F9"/>
    <w:pPr>
      <w:spacing w:line="240" w:lineRule="auto"/>
    </w:pPr>
    <w:rPr>
      <w:sz w:val="20"/>
    </w:rPr>
  </w:style>
  <w:style w:type="character" w:customStyle="1" w:styleId="TextkomenteChar">
    <w:name w:val="Text komentáře Char"/>
    <w:basedOn w:val="Standardnpsmoodstavce"/>
    <w:link w:val="Textkomente"/>
    <w:uiPriority w:val="99"/>
    <w:rsid w:val="004272F9"/>
    <w:rPr>
      <w:rFonts w:asciiTheme="minorHAnsi" w:hAnsiTheme="minorHAnsi"/>
    </w:rPr>
  </w:style>
  <w:style w:type="paragraph" w:styleId="Pedmtkomente">
    <w:name w:val="annotation subject"/>
    <w:basedOn w:val="Textkomente"/>
    <w:next w:val="Textkomente"/>
    <w:link w:val="PedmtkomenteChar"/>
    <w:uiPriority w:val="99"/>
    <w:semiHidden/>
    <w:unhideWhenUsed/>
    <w:rsid w:val="004272F9"/>
    <w:rPr>
      <w:b/>
      <w:bCs/>
    </w:rPr>
  </w:style>
  <w:style w:type="character" w:customStyle="1" w:styleId="PedmtkomenteChar">
    <w:name w:val="Předmět komentáře Char"/>
    <w:basedOn w:val="TextkomenteChar"/>
    <w:link w:val="Pedmtkomente"/>
    <w:uiPriority w:val="99"/>
    <w:semiHidden/>
    <w:rsid w:val="004272F9"/>
    <w:rPr>
      <w:rFonts w:asciiTheme="minorHAnsi" w:hAnsiTheme="minorHAnsi"/>
      <w:b/>
      <w:bCs/>
    </w:rPr>
  </w:style>
  <w:style w:type="paragraph" w:styleId="Textbubliny">
    <w:name w:val="Balloon Text"/>
    <w:basedOn w:val="Normln"/>
    <w:link w:val="TextbublinyChar"/>
    <w:uiPriority w:val="99"/>
    <w:semiHidden/>
    <w:unhideWhenUsed/>
    <w:rsid w:val="004272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72F9"/>
    <w:rPr>
      <w:rFonts w:ascii="Segoe UI" w:hAnsi="Segoe UI" w:cs="Segoe UI"/>
      <w:sz w:val="18"/>
      <w:szCs w:val="18"/>
    </w:rPr>
  </w:style>
  <w:style w:type="paragraph" w:customStyle="1" w:styleId="Default">
    <w:name w:val="Default"/>
    <w:rsid w:val="009C496A"/>
    <w:pPr>
      <w:autoSpaceDE w:val="0"/>
      <w:autoSpaceDN w:val="0"/>
      <w:adjustRightInd w:val="0"/>
    </w:pPr>
    <w:rPr>
      <w:color w:val="000000"/>
      <w:sz w:val="24"/>
      <w:szCs w:val="24"/>
    </w:rPr>
  </w:style>
  <w:style w:type="numbering" w:customStyle="1" w:styleId="Styl4">
    <w:name w:val="Styl4"/>
    <w:uiPriority w:val="99"/>
    <w:rsid w:val="0015475A"/>
    <w:pPr>
      <w:numPr>
        <w:numId w:val="12"/>
      </w:numPr>
    </w:pPr>
  </w:style>
  <w:style w:type="table" w:styleId="Mkatabulky">
    <w:name w:val="Table Grid"/>
    <w:basedOn w:val="Normlntabulka"/>
    <w:uiPriority w:val="59"/>
    <w:rsid w:val="00154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qFormat/>
    <w:rsid w:val="0015475A"/>
    <w:pPr>
      <w:overflowPunct/>
      <w:autoSpaceDE/>
      <w:autoSpaceDN/>
      <w:adjustRightInd/>
      <w:spacing w:before="120" w:after="120" w:line="276" w:lineRule="auto"/>
      <w:textAlignment w:val="auto"/>
    </w:pPr>
    <w:rPr>
      <w:rFonts w:ascii="Arial" w:hAnsi="Arial" w:cs="Arial"/>
      <w:sz w:val="20"/>
    </w:rPr>
  </w:style>
  <w:style w:type="paragraph" w:styleId="Zhlav">
    <w:name w:val="header"/>
    <w:basedOn w:val="Normln"/>
    <w:link w:val="ZhlavChar"/>
    <w:uiPriority w:val="99"/>
    <w:unhideWhenUsed/>
    <w:rsid w:val="008A0D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0D56"/>
    <w:rPr>
      <w:rFonts w:asciiTheme="minorHAnsi" w:hAnsiTheme="minorHAnsi"/>
      <w:sz w:val="22"/>
    </w:rPr>
  </w:style>
  <w:style w:type="paragraph" w:styleId="Zpat">
    <w:name w:val="footer"/>
    <w:basedOn w:val="Normln"/>
    <w:link w:val="ZpatChar"/>
    <w:uiPriority w:val="99"/>
    <w:unhideWhenUsed/>
    <w:rsid w:val="008A0D56"/>
    <w:pPr>
      <w:tabs>
        <w:tab w:val="center" w:pos="4536"/>
        <w:tab w:val="right" w:pos="9072"/>
      </w:tabs>
      <w:spacing w:after="0" w:line="240" w:lineRule="auto"/>
    </w:pPr>
  </w:style>
  <w:style w:type="character" w:customStyle="1" w:styleId="ZpatChar">
    <w:name w:val="Zápatí Char"/>
    <w:basedOn w:val="Standardnpsmoodstavce"/>
    <w:link w:val="Zpat"/>
    <w:uiPriority w:val="99"/>
    <w:rsid w:val="008A0D56"/>
    <w:rPr>
      <w:rFonts w:asciiTheme="minorHAnsi" w:hAnsiTheme="minorHAnsi"/>
      <w:sz w:val="22"/>
    </w:rPr>
  </w:style>
  <w:style w:type="character" w:customStyle="1" w:styleId="UnresolvedMention">
    <w:name w:val="Unresolved Mention"/>
    <w:basedOn w:val="Standardnpsmoodstavce"/>
    <w:uiPriority w:val="99"/>
    <w:semiHidden/>
    <w:unhideWhenUsed/>
    <w:rsid w:val="00367257"/>
    <w:rPr>
      <w:color w:val="605E5C"/>
      <w:shd w:val="clear" w:color="auto" w:fill="E1DFDD"/>
    </w:rPr>
  </w:style>
  <w:style w:type="paragraph" w:styleId="Zkladntext">
    <w:name w:val="Body Text"/>
    <w:basedOn w:val="Normln"/>
    <w:link w:val="ZkladntextChar"/>
    <w:rsid w:val="00EE320C"/>
    <w:pPr>
      <w:widowControl w:val="0"/>
      <w:suppressAutoHyphens/>
      <w:overflowPunct/>
      <w:autoSpaceDE/>
      <w:autoSpaceDN/>
      <w:adjustRightInd/>
      <w:spacing w:after="120" w:line="276" w:lineRule="auto"/>
      <w:textAlignment w:val="auto"/>
    </w:pPr>
    <w:rPr>
      <w:rFonts w:ascii="Calibri" w:hAnsi="Calibri"/>
      <w:lang w:eastAsia="ar-SA"/>
    </w:rPr>
  </w:style>
  <w:style w:type="character" w:customStyle="1" w:styleId="ZkladntextChar">
    <w:name w:val="Základní text Char"/>
    <w:basedOn w:val="Standardnpsmoodstavce"/>
    <w:link w:val="Zkladntext"/>
    <w:rsid w:val="00EE320C"/>
    <w:rPr>
      <w:rFonts w:ascii="Calibri" w:hAnsi="Calibri"/>
      <w:sz w:val="22"/>
      <w:lang w:eastAsia="ar-SA"/>
    </w:rPr>
  </w:style>
  <w:style w:type="paragraph" w:styleId="slovanseznam">
    <w:name w:val="List Number"/>
    <w:basedOn w:val="Normln"/>
    <w:rsid w:val="00EE320C"/>
    <w:pPr>
      <w:numPr>
        <w:numId w:val="36"/>
      </w:numPr>
      <w:suppressAutoHyphens/>
      <w:overflowPunct/>
      <w:autoSpaceDE/>
      <w:autoSpaceDN/>
      <w:adjustRightInd/>
      <w:spacing w:after="120" w:line="276" w:lineRule="auto"/>
      <w:contextualSpacing/>
      <w:textAlignment w:val="auto"/>
    </w:pPr>
    <w:rPr>
      <w:rFonts w:ascii="Calibri" w:hAnsi="Calibri"/>
      <w:szCs w:val="24"/>
      <w:lang w:eastAsia="ar-SA"/>
    </w:rPr>
  </w:style>
  <w:style w:type="character" w:styleId="Siln">
    <w:name w:val="Strong"/>
    <w:uiPriority w:val="22"/>
    <w:qFormat/>
    <w:rsid w:val="000512DD"/>
    <w:rPr>
      <w:b/>
      <w:bCs/>
    </w:rPr>
  </w:style>
  <w:style w:type="paragraph" w:customStyle="1" w:styleId="lnek">
    <w:name w:val="Článek"/>
    <w:basedOn w:val="Nadpis1"/>
    <w:rsid w:val="000512DD"/>
    <w:pPr>
      <w:keepNext w:val="0"/>
      <w:keepLines w:val="0"/>
      <w:numPr>
        <w:numId w:val="40"/>
      </w:numPr>
      <w:tabs>
        <w:tab w:val="num" w:pos="1134"/>
      </w:tabs>
      <w:overflowPunct/>
      <w:autoSpaceDE/>
      <w:autoSpaceDN/>
      <w:adjustRightInd/>
      <w:spacing w:before="240" w:line="360" w:lineRule="auto"/>
      <w:jc w:val="center"/>
      <w:textAlignment w:val="auto"/>
    </w:pPr>
    <w:rPr>
      <w:rFonts w:ascii="Calibri" w:eastAsia="Times New Roman" w:hAnsi="Calibri" w:cs="Times New Roman"/>
      <w:b/>
      <w:bCs/>
      <w:color w:val="auto"/>
      <w:kern w:val="32"/>
      <w:sz w:val="20"/>
      <w:lang w:val="x-none" w:eastAsia="x-none"/>
    </w:rPr>
  </w:style>
  <w:style w:type="paragraph" w:customStyle="1" w:styleId="Odstavec2">
    <w:name w:val="Odstavec 2"/>
    <w:basedOn w:val="Normln"/>
    <w:rsid w:val="000512DD"/>
    <w:pPr>
      <w:numPr>
        <w:ilvl w:val="1"/>
        <w:numId w:val="40"/>
      </w:numPr>
      <w:overflowPunct/>
      <w:autoSpaceDE/>
      <w:autoSpaceDN/>
      <w:adjustRightInd/>
      <w:spacing w:after="120" w:line="360" w:lineRule="auto"/>
      <w:textAlignment w:val="auto"/>
    </w:pPr>
    <w:rPr>
      <w:rFonts w:ascii="Calibri" w:hAnsi="Calibri"/>
      <w:sz w:val="20"/>
      <w:szCs w:val="24"/>
      <w:lang w:val="x-none" w:eastAsia="x-none"/>
    </w:rPr>
  </w:style>
  <w:style w:type="character" w:customStyle="1" w:styleId="OdstavecseseznamemChar">
    <w:name w:val="Odstavec se seznamem Char"/>
    <w:aliases w:val="Nad Char,Odstavec cíl se seznamem Char,Odstavec se seznamem5 Char,Odstavec_muj Char,_Odstavec se seznamem Char,Seznam - odrážky Char,Conclusion de partie Char,Fiche List Paragraph Char,List Paragraph (Czech Tourism) Char"/>
    <w:link w:val="Odstavecseseznamem"/>
    <w:uiPriority w:val="34"/>
    <w:qFormat/>
    <w:locked/>
    <w:rsid w:val="000512D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8382">
      <w:bodyDiv w:val="1"/>
      <w:marLeft w:val="0"/>
      <w:marRight w:val="0"/>
      <w:marTop w:val="0"/>
      <w:marBottom w:val="0"/>
      <w:divBdr>
        <w:top w:val="none" w:sz="0" w:space="0" w:color="auto"/>
        <w:left w:val="none" w:sz="0" w:space="0" w:color="auto"/>
        <w:bottom w:val="none" w:sz="0" w:space="0" w:color="auto"/>
        <w:right w:val="none" w:sz="0" w:space="0" w:color="auto"/>
      </w:divBdr>
    </w:div>
    <w:div w:id="382564336">
      <w:bodyDiv w:val="1"/>
      <w:marLeft w:val="0"/>
      <w:marRight w:val="0"/>
      <w:marTop w:val="0"/>
      <w:marBottom w:val="0"/>
      <w:divBdr>
        <w:top w:val="none" w:sz="0" w:space="0" w:color="auto"/>
        <w:left w:val="none" w:sz="0" w:space="0" w:color="auto"/>
        <w:bottom w:val="none" w:sz="0" w:space="0" w:color="auto"/>
        <w:right w:val="none" w:sz="0" w:space="0" w:color="auto"/>
      </w:divBdr>
    </w:div>
    <w:div w:id="189284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o.cz/cz/podnikani/dotace-a-podpora-podnikani/oppik-2014-2020/operacni-program-podnikani-a-inovace-pro-konkurenceschopnost/operacni-program-podnikani-a-inovace-pro-konkurenceschopnost--157679/" TargetMode="External"/><Relationship Id="rId13" Type="http://schemas.openxmlformats.org/officeDocument/2006/relationships/hyperlink" Target="https://www.mpo.cz/cz/podnikani/dotace-a-podpora-podnikani/oppik-2014-2020/evaluace-a-analyzy/evaluace-a-jine-analyzy--15743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abaze-strategie.cz/czx/strategicke-mapy-ministerstva/strategicka-mapa-mp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o.cz/cz/rozcestnik/analyticke-materialy-a-statistiky/analyticke-materialy/financni-analyza-podnikove-sfery-za-1--pololeti-2018--24536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po.cz/cz/rozcestnik/analyticke-materialy-a-statistiky/analyticke-materialy/analyza-vyvoje-ekonomiky-cr-_-cerven-2019--247171/" TargetMode="External"/><Relationship Id="rId4" Type="http://schemas.openxmlformats.org/officeDocument/2006/relationships/settings" Target="settings.xml"/><Relationship Id="rId9" Type="http://schemas.openxmlformats.org/officeDocument/2006/relationships/hyperlink" Target="http://old.czechinvest.org/podnikani-a-inovace" TargetMode="External"/><Relationship Id="rId14" Type="http://schemas.openxmlformats.org/officeDocument/2006/relationships/hyperlink" Target="https://www.mpo.cz/cz/podnikani/dotace-a-podpora-podnikani/oppi-2007-2013/evaluace/analyza-efektivnosti-cerpani-oppi--23728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po.cz/cz/rozcestnik/analyticke-materialy-a-statistiky/analyticke-material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6B651-8756-46B8-8143-610F8F58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4BBF8A42.dotm</Template>
  <TotalTime>12</TotalTime>
  <Pages>8</Pages>
  <Words>2711</Words>
  <Characters>17751</Characters>
  <Application>Microsoft Office Word</Application>
  <DocSecurity>0</DocSecurity>
  <Lines>147</Lines>
  <Paragraphs>40</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20422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Ptáčník Martin</dc:creator>
  <cp:lastModifiedBy>Lukeš Zdeněk</cp:lastModifiedBy>
  <cp:revision>5</cp:revision>
  <dcterms:created xsi:type="dcterms:W3CDTF">2020-03-11T09:58:00Z</dcterms:created>
  <dcterms:modified xsi:type="dcterms:W3CDTF">2020-03-11T10:12:00Z</dcterms:modified>
</cp:coreProperties>
</file>