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0671" w14:textId="4024F9DC" w:rsidR="00746EEB" w:rsidRDefault="00746EEB" w:rsidP="00E33615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 xml:space="preserve"> Smlouvy o dílo č. 3/20/61100</w:t>
      </w:r>
    </w:p>
    <w:p w14:paraId="0733CB5C" w14:textId="77777777" w:rsidR="00746EEB" w:rsidRDefault="00746EEB" w:rsidP="00E33615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14:paraId="468DE1F8" w14:textId="200A7E68" w:rsidR="009842F8" w:rsidRPr="00A36D96" w:rsidRDefault="00B03597" w:rsidP="00E33615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  <w:r w:rsidRPr="00A36D96">
        <w:rPr>
          <w:b/>
          <w:bCs/>
          <w:color w:val="auto"/>
          <w:sz w:val="32"/>
          <w:szCs w:val="32"/>
          <w:u w:val="single"/>
        </w:rPr>
        <w:t>Priorita 3</w:t>
      </w:r>
      <w:r w:rsidR="00EA5FEC" w:rsidRPr="00A36D96">
        <w:rPr>
          <w:b/>
          <w:bCs/>
          <w:color w:val="auto"/>
          <w:sz w:val="32"/>
          <w:szCs w:val="32"/>
          <w:u w:val="single"/>
        </w:rPr>
        <w:t xml:space="preserve"> OP </w:t>
      </w:r>
      <w:r w:rsidR="00511CD9">
        <w:rPr>
          <w:b/>
          <w:bCs/>
          <w:color w:val="auto"/>
          <w:sz w:val="32"/>
          <w:szCs w:val="32"/>
          <w:u w:val="single"/>
        </w:rPr>
        <w:t>TA</w:t>
      </w:r>
      <w:r w:rsidR="00EA5FEC" w:rsidRPr="00A36D96">
        <w:rPr>
          <w:b/>
          <w:bCs/>
          <w:color w:val="auto"/>
          <w:sz w:val="32"/>
          <w:szCs w:val="32"/>
          <w:u w:val="single"/>
        </w:rPr>
        <w:t xml:space="preserve">K - </w:t>
      </w:r>
      <w:r w:rsidRPr="00A36D96">
        <w:rPr>
          <w:b/>
          <w:sz w:val="32"/>
          <w:szCs w:val="32"/>
          <w:u w:val="single"/>
        </w:rPr>
        <w:t>Posun k nízkouhlíkovému hospodářství</w:t>
      </w:r>
    </w:p>
    <w:p w14:paraId="733543D2" w14:textId="77777777" w:rsidR="00CC78E2" w:rsidRPr="00E33615" w:rsidRDefault="00CC78E2" w:rsidP="00E3361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35EE317" w14:textId="77777777" w:rsidR="00631501" w:rsidRDefault="00631501" w:rsidP="00E33615">
      <w:pPr>
        <w:pStyle w:val="Default"/>
        <w:adjustRightInd/>
        <w:jc w:val="both"/>
        <w:rPr>
          <w:b/>
          <w:i/>
          <w:color w:val="auto"/>
          <w:sz w:val="22"/>
          <w:szCs w:val="22"/>
        </w:rPr>
      </w:pPr>
    </w:p>
    <w:p w14:paraId="4C22C641" w14:textId="2921CF80" w:rsidR="009842F8" w:rsidRPr="00A36D96" w:rsidRDefault="00B03597" w:rsidP="00E33615">
      <w:pPr>
        <w:pStyle w:val="Default"/>
        <w:adjustRightInd/>
        <w:jc w:val="both"/>
        <w:rPr>
          <w:b/>
          <w:i/>
          <w:color w:val="auto"/>
          <w:sz w:val="28"/>
          <w:szCs w:val="28"/>
        </w:rPr>
      </w:pPr>
      <w:r w:rsidRPr="00A36D96">
        <w:rPr>
          <w:b/>
          <w:i/>
          <w:color w:val="auto"/>
          <w:sz w:val="28"/>
          <w:szCs w:val="28"/>
        </w:rPr>
        <w:t>Specifický cíl 3</w:t>
      </w:r>
      <w:r w:rsidR="00EA5FEC" w:rsidRPr="00A36D96">
        <w:rPr>
          <w:b/>
          <w:i/>
          <w:color w:val="auto"/>
          <w:sz w:val="28"/>
          <w:szCs w:val="28"/>
        </w:rPr>
        <w:t>.1</w:t>
      </w:r>
      <w:r w:rsidR="00E33615" w:rsidRPr="00A36D96">
        <w:rPr>
          <w:b/>
          <w:i/>
          <w:color w:val="auto"/>
          <w:sz w:val="28"/>
          <w:szCs w:val="28"/>
        </w:rPr>
        <w:t xml:space="preserve"> </w:t>
      </w:r>
      <w:r w:rsidRPr="00A36D96">
        <w:rPr>
          <w:b/>
          <w:i/>
          <w:color w:val="auto"/>
          <w:sz w:val="28"/>
          <w:szCs w:val="28"/>
        </w:rPr>
        <w:t>- Podpora opatření v oblasti energetické účinnosti</w:t>
      </w:r>
    </w:p>
    <w:p w14:paraId="76D4A4E6" w14:textId="77777777" w:rsidR="00CC78E2" w:rsidRPr="00E33615" w:rsidRDefault="00CC78E2" w:rsidP="00E33615">
      <w:pPr>
        <w:spacing w:after="0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08305334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Velmi vysoká energetická náročnost hospodářství a špatná kvalita ovzduší v ČR vyžadují intenzivní podporu</w:t>
      </w:r>
      <w:r w:rsidRPr="00720299">
        <w:rPr>
          <w:rFonts w:ascii="Arial" w:eastAsiaTheme="majorEastAsia" w:hAnsi="Arial" w:cs="Arial"/>
        </w:rPr>
        <w:t xml:space="preserve"> opatření v oblasti energetické účinnosti z pohledu snížení energetické náročnosti </w:t>
      </w:r>
      <w:r w:rsidRPr="00720299">
        <w:rPr>
          <w:rFonts w:ascii="Arial" w:hAnsi="Arial" w:cs="Arial"/>
        </w:rPr>
        <w:t xml:space="preserve">energetického hospodářství podnikatelského sektoru či v soustavách zásobování teplem. Intervence jsou rovněž zacíleny i za účelem plnění energeticko-klimatických cílů, konkrétně závazků vyplývajících ze směrnice Evropského parlamentu a Rady 2012/27/EU ve smyslu snížení úrovně konečné spotřeby energie ČR a splnění závazku nových úspor energie, dále potřebě příspěvku k naplnění cílů ve vztahu k renovacím </w:t>
      </w:r>
      <w:r>
        <w:rPr>
          <w:rFonts w:ascii="Arial" w:hAnsi="Arial" w:cs="Arial"/>
        </w:rPr>
        <w:t xml:space="preserve">a výstavbě </w:t>
      </w:r>
      <w:r w:rsidRPr="00720299">
        <w:rPr>
          <w:rFonts w:ascii="Arial" w:hAnsi="Arial" w:cs="Arial"/>
        </w:rPr>
        <w:t>budov dle směrnice Evropského parlamentu a Rady 2010/31/EU o energetické náročnosti budov či naplnění závazků vyplývajících ze směrnice Evropského parlamentu a Rady</w:t>
      </w:r>
      <w:r w:rsidRPr="00720299">
        <w:rPr>
          <w:rFonts w:ascii="Arial" w:hAnsi="Arial" w:cs="Arial"/>
          <w:b/>
        </w:rPr>
        <w:t xml:space="preserve"> </w:t>
      </w:r>
      <w:r w:rsidRPr="00720299">
        <w:rPr>
          <w:rFonts w:ascii="Arial" w:hAnsi="Arial" w:cs="Arial"/>
        </w:rPr>
        <w:t>2018/2001 o podpoře využívání energie z OZE.</w:t>
      </w:r>
    </w:p>
    <w:p w14:paraId="40F4B8A0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V rámci tohoto specifického cíle tak budou podporovány zejména následující aktivity:</w:t>
      </w:r>
    </w:p>
    <w:p w14:paraId="075B9796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  <w:bCs/>
        </w:rPr>
        <w:t>Snížení energetické náročnosti budov podnikatelských subjektů</w:t>
      </w:r>
    </w:p>
    <w:p w14:paraId="5FD31794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  <w:bCs/>
        </w:rPr>
        <w:t>Zvýšení energetické účinnosti technických zařízení budov a využívání obnovitelných zdrojů a KVET</w:t>
      </w:r>
      <w:r>
        <w:rPr>
          <w:rFonts w:ascii="Arial" w:hAnsi="Arial" w:cs="Arial"/>
          <w:bCs/>
        </w:rPr>
        <w:t xml:space="preserve"> a tepelných čerpadel</w:t>
      </w:r>
      <w:r w:rsidRPr="00720299">
        <w:rPr>
          <w:rFonts w:ascii="Arial" w:hAnsi="Arial" w:cs="Arial"/>
          <w:bCs/>
        </w:rPr>
        <w:t xml:space="preserve"> pro pokrytí vlastní potřeby energie budov a energetických hospodářství podnikatelských provozů; </w:t>
      </w:r>
    </w:p>
    <w:p w14:paraId="403C6A8C" w14:textId="77777777" w:rsidR="00A36D96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Modernizace a rekonstrukce rozvodů elektřiny, plynu a tepla v energetických hospodářstvích podniků za účelem zvýšení účinnosti;</w:t>
      </w:r>
    </w:p>
    <w:p w14:paraId="68D05845" w14:textId="77777777" w:rsidR="00A36D96" w:rsidRPr="00B03454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8D0E05">
        <w:rPr>
          <w:rFonts w:ascii="Arial" w:hAnsi="Arial" w:cs="Arial"/>
        </w:rPr>
        <w:t>Akumulace všech forem energie (např. power2gas, gas2power a dalších forem akumulace elektřiny a tepla, např. využitím palivových článků) v rámci komplexních projektů pro zvyšování energetické účinnosti;</w:t>
      </w:r>
    </w:p>
    <w:p w14:paraId="1BD73FFC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Modernizace a rekonstrukce zařízení na výrobu energie pro vlastní spotřebu vedoucí ke zvýšení její účinnosti</w:t>
      </w:r>
      <w:r>
        <w:rPr>
          <w:rFonts w:ascii="Arial" w:hAnsi="Arial" w:cs="Arial"/>
        </w:rPr>
        <w:t>;</w:t>
      </w:r>
    </w:p>
    <w:p w14:paraId="2BBE761F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Modernizace soustav osvětlení podnikatelských areálů</w:t>
      </w:r>
      <w:r>
        <w:rPr>
          <w:rFonts w:ascii="Arial" w:hAnsi="Arial" w:cs="Arial"/>
        </w:rPr>
        <w:t>;</w:t>
      </w:r>
    </w:p>
    <w:p w14:paraId="44C6595B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Využití odpadní energie ve výrobních procesech</w:t>
      </w:r>
      <w:r>
        <w:rPr>
          <w:rFonts w:ascii="Arial" w:hAnsi="Arial" w:cs="Arial"/>
        </w:rPr>
        <w:t>;</w:t>
      </w:r>
    </w:p>
    <w:p w14:paraId="085EC696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Snižování energetické náročnosti/zvyšování energetické účinnosti výrobních a technologických procesů</w:t>
      </w:r>
      <w:r>
        <w:rPr>
          <w:rFonts w:ascii="Arial" w:hAnsi="Arial" w:cs="Arial"/>
        </w:rPr>
        <w:t>;</w:t>
      </w:r>
    </w:p>
    <w:p w14:paraId="36F529C1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Zavádění „</w:t>
      </w:r>
      <w:proofErr w:type="spellStart"/>
      <w:r w:rsidRPr="00720299">
        <w:rPr>
          <w:rFonts w:ascii="Arial" w:hAnsi="Arial" w:cs="Arial"/>
        </w:rPr>
        <w:t>smart</w:t>
      </w:r>
      <w:proofErr w:type="spellEnd"/>
      <w:r w:rsidRPr="00720299">
        <w:rPr>
          <w:rFonts w:ascii="Arial" w:hAnsi="Arial" w:cs="Arial"/>
        </w:rPr>
        <w:t>“ prvků v budovách (prvky řízení efektivního nakládání s energií např. měření a regulace), zavádění nástrojů k optimalizaci provozu na základě monitoringu hodnocení spotřeby energie</w:t>
      </w:r>
      <w:r>
        <w:rPr>
          <w:rFonts w:ascii="Arial" w:hAnsi="Arial" w:cs="Arial"/>
        </w:rPr>
        <w:t>;</w:t>
      </w:r>
    </w:p>
    <w:p w14:paraId="764FB2F7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 xml:space="preserve">Komplexní renovace budov s prvky adaptace budov na změny klimatu respektující požadavky na kvalitu vnitřního prostředí; optimalizace, regulace, monitoring a vyhodnocování spotřeby energie v budovách; podpora implementace nástrojů energetického managementu; </w:t>
      </w:r>
    </w:p>
    <w:p w14:paraId="6A91B679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Podpora výstavby budov v pasivním standardu využívající OZE v kombinaci s akumulací energie</w:t>
      </w:r>
      <w:r>
        <w:rPr>
          <w:rFonts w:ascii="Arial" w:hAnsi="Arial" w:cs="Arial"/>
        </w:rPr>
        <w:t>;</w:t>
      </w:r>
    </w:p>
    <w:p w14:paraId="73122CD3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  <w:bCs/>
        </w:rPr>
        <w:lastRenderedPageBreak/>
        <w:t>Podpora aktivit firem energetických služeb (</w:t>
      </w:r>
      <w:proofErr w:type="spellStart"/>
      <w:r w:rsidRPr="00720299">
        <w:rPr>
          <w:rFonts w:ascii="Arial" w:hAnsi="Arial" w:cs="Arial"/>
          <w:bCs/>
        </w:rPr>
        <w:t>Energy</w:t>
      </w:r>
      <w:proofErr w:type="spellEnd"/>
      <w:r w:rsidRPr="00720299">
        <w:rPr>
          <w:rFonts w:ascii="Arial" w:hAnsi="Arial" w:cs="Arial"/>
          <w:bCs/>
        </w:rPr>
        <w:t xml:space="preserve"> </w:t>
      </w:r>
      <w:proofErr w:type="spellStart"/>
      <w:r w:rsidRPr="00720299">
        <w:rPr>
          <w:rFonts w:ascii="Arial" w:hAnsi="Arial" w:cs="Arial"/>
          <w:bCs/>
        </w:rPr>
        <w:t>Services</w:t>
      </w:r>
      <w:proofErr w:type="spellEnd"/>
      <w:r w:rsidRPr="00720299">
        <w:rPr>
          <w:rFonts w:ascii="Arial" w:hAnsi="Arial" w:cs="Arial"/>
          <w:bCs/>
        </w:rPr>
        <w:t xml:space="preserve"> </w:t>
      </w:r>
      <w:proofErr w:type="spellStart"/>
      <w:r w:rsidRPr="00720299">
        <w:rPr>
          <w:rFonts w:ascii="Arial" w:hAnsi="Arial" w:cs="Arial"/>
          <w:bCs/>
        </w:rPr>
        <w:t>Companies</w:t>
      </w:r>
      <w:proofErr w:type="spellEnd"/>
      <w:r w:rsidRPr="00720299">
        <w:rPr>
          <w:rFonts w:ascii="Arial" w:hAnsi="Arial" w:cs="Arial"/>
          <w:bCs/>
        </w:rPr>
        <w:t xml:space="preserve">, ESCO) pro projekty financované skrze </w:t>
      </w:r>
      <w:proofErr w:type="spellStart"/>
      <w:r w:rsidRPr="00720299">
        <w:rPr>
          <w:rFonts w:ascii="Arial" w:hAnsi="Arial" w:cs="Arial"/>
          <w:bCs/>
        </w:rPr>
        <w:t>Energy</w:t>
      </w:r>
      <w:proofErr w:type="spellEnd"/>
      <w:r w:rsidRPr="00720299">
        <w:rPr>
          <w:rFonts w:ascii="Arial" w:hAnsi="Arial" w:cs="Arial"/>
          <w:bCs/>
        </w:rPr>
        <w:t xml:space="preserve"> Performance </w:t>
      </w:r>
      <w:proofErr w:type="spellStart"/>
      <w:r w:rsidRPr="00720299">
        <w:rPr>
          <w:rFonts w:ascii="Arial" w:hAnsi="Arial" w:cs="Arial"/>
          <w:bCs/>
        </w:rPr>
        <w:t>Contracting</w:t>
      </w:r>
      <w:proofErr w:type="spellEnd"/>
      <w:r w:rsidRPr="00720299">
        <w:rPr>
          <w:rFonts w:ascii="Arial" w:hAnsi="Arial" w:cs="Arial"/>
          <w:bCs/>
        </w:rPr>
        <w:t xml:space="preserve"> (EPC) určené podnikům</w:t>
      </w:r>
      <w:r>
        <w:rPr>
          <w:rFonts w:ascii="Arial" w:hAnsi="Arial" w:cs="Arial"/>
          <w:bCs/>
        </w:rPr>
        <w:t>;</w:t>
      </w:r>
      <w:r w:rsidRPr="00720299">
        <w:rPr>
          <w:rFonts w:ascii="Arial" w:hAnsi="Arial" w:cs="Arial"/>
          <w:bCs/>
        </w:rPr>
        <w:t xml:space="preserve"> </w:t>
      </w:r>
    </w:p>
    <w:p w14:paraId="1B4E97EF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 xml:space="preserve">Nové výrobny tepelné energie, modernizace a rekonstrukce stávajících výroben tepelné energie s požadovanou účinností, včetně podpory vývoje a implementace efektivnějších a inovativních </w:t>
      </w:r>
      <w:r>
        <w:rPr>
          <w:rFonts w:ascii="Arial" w:hAnsi="Arial" w:cs="Arial"/>
        </w:rPr>
        <w:t>zařízení;</w:t>
      </w:r>
    </w:p>
    <w:p w14:paraId="31277A46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Podpora využití odp</w:t>
      </w:r>
      <w:r>
        <w:rPr>
          <w:rFonts w:ascii="Arial" w:hAnsi="Arial" w:cs="Arial"/>
        </w:rPr>
        <w:t>adního tepla a akumulace tepla;</w:t>
      </w:r>
    </w:p>
    <w:p w14:paraId="528AB016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Výstavba nových rozvodných tepelných zařízení a zvyšování účinnosti stávajících rozvodných tepelných zařízení s cílem snížení ztrát</w:t>
      </w:r>
      <w:r>
        <w:rPr>
          <w:rFonts w:ascii="Arial" w:hAnsi="Arial" w:cs="Arial"/>
        </w:rPr>
        <w:t xml:space="preserve"> při distribuci tepelné energie;</w:t>
      </w:r>
    </w:p>
    <w:p w14:paraId="2D9221F9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Podpora rozvoje účinných soust</w:t>
      </w:r>
      <w:r>
        <w:rPr>
          <w:rFonts w:ascii="Arial" w:hAnsi="Arial" w:cs="Arial"/>
        </w:rPr>
        <w:t>av zásobování tepelnou energií;</w:t>
      </w:r>
    </w:p>
    <w:p w14:paraId="5A2E0919" w14:textId="77777777" w:rsidR="00A36D96" w:rsidRPr="00720299" w:rsidRDefault="00A36D96" w:rsidP="00A36D96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Podpora využívání obnovitelných zdrojů energie při výrobě tepla.</w:t>
      </w:r>
    </w:p>
    <w:p w14:paraId="331FF467" w14:textId="77777777" w:rsidR="00A36D96" w:rsidRDefault="00A36D96" w:rsidP="00A36D96">
      <w:pPr>
        <w:spacing w:after="120" w:line="264" w:lineRule="auto"/>
        <w:jc w:val="both"/>
        <w:rPr>
          <w:rFonts w:ascii="Arial" w:hAnsi="Arial" w:cs="Arial"/>
          <w:b/>
          <w:bCs/>
          <w:u w:val="single"/>
        </w:rPr>
      </w:pPr>
    </w:p>
    <w:p w14:paraId="6BEFD19B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/>
          <w:bCs/>
        </w:rPr>
      </w:pPr>
      <w:r w:rsidRPr="00720299">
        <w:rPr>
          <w:rFonts w:ascii="Arial" w:hAnsi="Arial" w:cs="Arial"/>
          <w:b/>
          <w:bCs/>
        </w:rPr>
        <w:t>Očekávaný příspěvek podporovaných aktivit ke specifickému cíli:</w:t>
      </w:r>
    </w:p>
    <w:p w14:paraId="6A491E5E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Podpora energeticky úsporných opatření povede ke snižování energetické náročnosti hospodářství ČR, a to prostřednictvím snižování spotřebované energie na vyprodukovanou jednotku HNP v důsledku zavádění účinnějších technologií v průmyslu nebo renovací budov určených na provoz podniků. V případě</w:t>
      </w:r>
      <w:r w:rsidRPr="00720299">
        <w:rPr>
          <w:rFonts w:ascii="Arial" w:hAnsi="Arial" w:cs="Arial"/>
          <w:bCs/>
        </w:rPr>
        <w:t xml:space="preserve"> </w:t>
      </w:r>
      <w:r w:rsidRPr="00720299">
        <w:rPr>
          <w:rFonts w:ascii="Arial" w:hAnsi="Arial" w:cs="Arial"/>
        </w:rPr>
        <w:t>snížení energetické náročnosti hospodářství ČR je cílem přiblížit se úrovni průměru EU, tzn. cca 5000 GJ/ mil. € HDP, přičemž ČR je aktuálně na úrovni cca 10 000 GJ/mil. € HDP. Realizace energeticky úsporných opatření v budovách podnikatelských subjektů rovněž povede ke snižování energetické náročnosti fondu budov ČR či ke zvýšení tempa renovace budov, a to ideálně na průměr EU, či snížení počtu budov nesplňujících požadavky na energetickou náročnost či</w:t>
      </w:r>
      <w:r>
        <w:rPr>
          <w:rFonts w:ascii="Arial" w:hAnsi="Arial" w:cs="Arial"/>
        </w:rPr>
        <w:t xml:space="preserve"> kvalitu vnitřního prostředí</w:t>
      </w:r>
      <w:r w:rsidRPr="00720299">
        <w:rPr>
          <w:rFonts w:ascii="Arial" w:hAnsi="Arial" w:cs="Arial"/>
        </w:rPr>
        <w:t xml:space="preserve">. Snižování energetické náročnosti hospodářství podniků rovněž povede přímo ke snižování tempa růstu konečné spotřeby energie v podnikatelském sektoru </w:t>
      </w:r>
      <w:r w:rsidRPr="00720299">
        <w:rPr>
          <w:rFonts w:ascii="Arial" w:hAnsi="Arial" w:cs="Arial"/>
          <w:bCs/>
        </w:rPr>
        <w:t xml:space="preserve">a neutralizaci vlivu ekonomického růstu na úroveň </w:t>
      </w:r>
      <w:r>
        <w:rPr>
          <w:rFonts w:ascii="Arial" w:hAnsi="Arial" w:cs="Arial"/>
          <w:bCs/>
        </w:rPr>
        <w:t xml:space="preserve">konečné </w:t>
      </w:r>
      <w:r w:rsidRPr="00720299">
        <w:rPr>
          <w:rFonts w:ascii="Arial" w:hAnsi="Arial" w:cs="Arial"/>
          <w:bCs/>
        </w:rPr>
        <w:t>spotřeby energie</w:t>
      </w:r>
      <w:r w:rsidRPr="00720299">
        <w:rPr>
          <w:rFonts w:ascii="Arial" w:hAnsi="Arial" w:cs="Arial"/>
        </w:rPr>
        <w:t xml:space="preserve"> a </w:t>
      </w:r>
      <w:r w:rsidRPr="00720299">
        <w:rPr>
          <w:rFonts w:ascii="Arial" w:hAnsi="Arial" w:cs="Arial"/>
          <w:bCs/>
        </w:rPr>
        <w:t>zvýšení konkurenceschopnosti podnikatelského sektoru v dlouhodobém horizontu</w:t>
      </w:r>
      <w:r w:rsidRPr="00720299">
        <w:rPr>
          <w:rFonts w:ascii="Arial" w:hAnsi="Arial" w:cs="Arial"/>
        </w:rPr>
        <w:t xml:space="preserve">. </w:t>
      </w:r>
    </w:p>
    <w:p w14:paraId="121EEE1E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</w:rPr>
        <w:t>V případě intervencí zaměřených na podporu soustav zásobování teplem by mělo kromě naplnění energeticko-klimatických cílů dojít ke zvýšení využití kombinované výroby tepla v souladu s potenciálem rozvoje reportovaným do EU a rozvoji účinných soustav zásobování teplem, modernizaci a rozvoji technologií umožňující splnění limitů znečišťujících látek, což podmiňuje další provoz těchto zdrojů. Dále také snížení sp</w:t>
      </w:r>
      <w:r>
        <w:rPr>
          <w:rFonts w:ascii="Arial" w:hAnsi="Arial" w:cs="Arial"/>
        </w:rPr>
        <w:t>otřeby energie v oblasti rozvodů</w:t>
      </w:r>
      <w:r w:rsidRPr="00720299">
        <w:rPr>
          <w:rFonts w:ascii="Arial" w:hAnsi="Arial" w:cs="Arial"/>
        </w:rPr>
        <w:t xml:space="preserve"> tepelné energie a snížení ztrát při distribuci tepla či zavádění moderních technologií umožňujících lepší integraci sektoru teplárenství a ostatních sektorů (akumulace tepla, využívání odpadního tepla nebo centrální výroba a dodávka chladu atd.).</w:t>
      </w:r>
      <w:r w:rsidRPr="00720299">
        <w:rPr>
          <w:rFonts w:ascii="Arial" w:eastAsiaTheme="majorEastAsia" w:hAnsi="Arial" w:cs="Arial"/>
        </w:rPr>
        <w:t xml:space="preserve"> Zároveň by mělo dojít k zabezpečení kvalitní dodávky tepelné energie pro uspokojení potřeb hospodářství i obyvatel ČR či z</w:t>
      </w:r>
      <w:r w:rsidRPr="00720299">
        <w:rPr>
          <w:rFonts w:ascii="Arial" w:hAnsi="Arial" w:cs="Arial"/>
        </w:rPr>
        <w:t xml:space="preserve">měně palivové základy s </w:t>
      </w:r>
      <w:r w:rsidRPr="00720299">
        <w:rPr>
          <w:rFonts w:ascii="Arial" w:eastAsiaTheme="majorEastAsia" w:hAnsi="Arial" w:cs="Arial"/>
        </w:rPr>
        <w:t>vyšším rozvojem využívání OZE, odpadního tepla a chladu a druhotných zdrojů.</w:t>
      </w:r>
      <w:r w:rsidRPr="00720299">
        <w:rPr>
          <w:rFonts w:ascii="Arial" w:hAnsi="Arial" w:cs="Arial"/>
        </w:rPr>
        <w:t xml:space="preserve"> Plněním cílů v oblasti teplárenství budou plněny základní předpoklady pro postupný přechod teplárenství na novou kvalitativní úroveň, tj. zvýšení účinnosti teplárenských zdrojů a rozvodů tepla, snižování emisí skleníkových plynů, tedy významný příspěvek k přechodu na </w:t>
      </w:r>
      <w:r w:rsidRPr="00720299">
        <w:rPr>
          <w:rFonts w:ascii="Arial" w:eastAsiaTheme="majorEastAsia" w:hAnsi="Arial" w:cs="Arial"/>
        </w:rPr>
        <w:t>nízkouhlíkovou ekonomiku a růst konkurenceschopnosti podniků.</w:t>
      </w:r>
    </w:p>
    <w:p w14:paraId="7F6F87FB" w14:textId="77777777" w:rsidR="00B03597" w:rsidRDefault="00B03597" w:rsidP="00EA5FEC">
      <w:pPr>
        <w:spacing w:after="120" w:line="264" w:lineRule="auto"/>
        <w:jc w:val="both"/>
        <w:rPr>
          <w:rFonts w:ascii="Arial" w:hAnsi="Arial" w:cs="Arial"/>
        </w:rPr>
      </w:pPr>
    </w:p>
    <w:p w14:paraId="78A67F7A" w14:textId="77777777" w:rsidR="00B03597" w:rsidRPr="00B03597" w:rsidRDefault="00B03597" w:rsidP="00B0359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Hlavní cílová skupina</w:t>
      </w:r>
      <w:r w:rsidRPr="00B03597">
        <w:rPr>
          <w:rFonts w:ascii="Arial" w:hAnsi="Arial" w:cs="Arial"/>
        </w:rPr>
        <w:t>:</w:t>
      </w:r>
    </w:p>
    <w:p w14:paraId="2998559F" w14:textId="77777777" w:rsidR="00A36D96" w:rsidRPr="00720299" w:rsidRDefault="00A36D96" w:rsidP="00A36D96">
      <w:pPr>
        <w:spacing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lastRenderedPageBreak/>
        <w:t>Cílovou skupinou jsou primárně podnikatelské subjekty (vč. podniků až ze 100 % vlastněných veřejným</w:t>
      </w:r>
      <w:r>
        <w:rPr>
          <w:rFonts w:ascii="Arial" w:hAnsi="Arial" w:cs="Arial"/>
        </w:rPr>
        <w:t xml:space="preserve"> sektorem)</w:t>
      </w:r>
      <w:r w:rsidRPr="00720299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,</w:t>
      </w:r>
      <w:r w:rsidRPr="00720299">
        <w:rPr>
          <w:rFonts w:ascii="Arial" w:hAnsi="Arial" w:cs="Arial"/>
        </w:rPr>
        <w:t xml:space="preserve"> nicméně realizace intervencí zajistí pozitivní dopady na všechny občany žijící v místě realizace projektu. Vzhledem k tomu, že projekty mají i environmentální přínosy, tak by realizovaná úsporná opatření měla vést kromě úspor zejména neobnovitelných zdrojů energie i ke snížení negativních vlivů na životní prostředí</w:t>
      </w:r>
      <w:r w:rsidRPr="005D3D3E">
        <w:rPr>
          <w:rFonts w:ascii="Arial" w:hAnsi="Arial" w:cs="Arial"/>
        </w:rPr>
        <w:t xml:space="preserve"> (pevné částice, Nox, emise CO</w:t>
      </w:r>
      <w:r w:rsidRPr="005D3D3E">
        <w:rPr>
          <w:rFonts w:ascii="Arial" w:hAnsi="Arial" w:cs="Arial"/>
          <w:vertAlign w:val="subscript"/>
        </w:rPr>
        <w:t>2</w:t>
      </w:r>
      <w:r w:rsidRPr="005D3D3E">
        <w:rPr>
          <w:rFonts w:ascii="Arial" w:hAnsi="Arial" w:cs="Arial"/>
        </w:rPr>
        <w:t xml:space="preserve"> apod.)</w:t>
      </w:r>
      <w:r w:rsidRPr="00720299">
        <w:rPr>
          <w:rFonts w:ascii="Arial" w:hAnsi="Arial" w:cs="Arial"/>
        </w:rPr>
        <w:t xml:space="preserve">, a to jak lokálně, tak globálně. To plně souvisí s cílem přispět k plnění klimaticko-energetických cílů pro rok 2030. </w:t>
      </w:r>
      <w:r>
        <w:rPr>
          <w:rFonts w:ascii="Arial" w:hAnsi="Arial" w:cs="Arial"/>
        </w:rPr>
        <w:t>Ú</w:t>
      </w:r>
      <w:r w:rsidRPr="00720299">
        <w:rPr>
          <w:rFonts w:ascii="Arial" w:hAnsi="Arial" w:cs="Arial"/>
        </w:rPr>
        <w:t xml:space="preserve">spory energie přispějí </w:t>
      </w:r>
      <w:r>
        <w:rPr>
          <w:rFonts w:ascii="Arial" w:hAnsi="Arial" w:cs="Arial"/>
        </w:rPr>
        <w:t>také ke</w:t>
      </w:r>
      <w:r w:rsidRPr="00720299">
        <w:rPr>
          <w:rFonts w:ascii="Arial" w:hAnsi="Arial" w:cs="Arial"/>
        </w:rPr>
        <w:t xml:space="preserve"> snížení dovozní závislosti, což má celospolečenský dopad. </w:t>
      </w:r>
    </w:p>
    <w:p w14:paraId="64B641AC" w14:textId="77777777" w:rsidR="00B03597" w:rsidRPr="00B03597" w:rsidRDefault="00B03597" w:rsidP="00B0359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Cílové území</w:t>
      </w:r>
      <w:r w:rsidRPr="00B03597">
        <w:rPr>
          <w:rFonts w:ascii="Arial" w:hAnsi="Arial" w:cs="Arial"/>
        </w:rPr>
        <w:t xml:space="preserve">: </w:t>
      </w:r>
    </w:p>
    <w:p w14:paraId="727D5619" w14:textId="7D061D1B" w:rsidR="00B03597" w:rsidRPr="00B03597" w:rsidRDefault="00B03597" w:rsidP="00B0359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</w:rPr>
        <w:t>Území České republiky, vč. hl. města Prahy. Problematika se týká celé ČR, neboť cílem je přispět k plnění klimaticko-energetických cílů pro rok 2030, a k tomu je potřeba využít celý potenciál.</w:t>
      </w:r>
    </w:p>
    <w:p w14:paraId="694B571B" w14:textId="77777777" w:rsidR="00B03597" w:rsidRPr="00B03597" w:rsidRDefault="00B03597" w:rsidP="00B0359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Typy příjemců</w:t>
      </w:r>
      <w:r w:rsidRPr="00B03597">
        <w:rPr>
          <w:rFonts w:ascii="Arial" w:hAnsi="Arial" w:cs="Arial"/>
        </w:rPr>
        <w:t>:</w:t>
      </w:r>
    </w:p>
    <w:p w14:paraId="1EC6672E" w14:textId="5556C666" w:rsidR="00B03597" w:rsidRDefault="00B03597" w:rsidP="00EA5FEC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</w:rPr>
        <w:t>Podnikatelské subjekty (MSP a případně velké podniky).</w:t>
      </w:r>
    </w:p>
    <w:p w14:paraId="3C710656" w14:textId="77777777" w:rsidR="00B03597" w:rsidRDefault="00B03597" w:rsidP="00EA5FEC">
      <w:pPr>
        <w:spacing w:after="120" w:line="264" w:lineRule="auto"/>
        <w:jc w:val="both"/>
        <w:rPr>
          <w:rFonts w:ascii="Arial" w:hAnsi="Arial" w:cs="Arial"/>
        </w:rPr>
      </w:pPr>
    </w:p>
    <w:p w14:paraId="66C2193C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3F4F03B7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554E530E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38D5162E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1C0B13C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385C326C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4073B17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472C3BC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21CBF018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27C698AB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08DBAAB2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E302895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891C5A1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1B5781BD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0718F7BF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3E503D2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3D07A49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FF02B0B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BB02DBF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0D7CFAE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32471124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6B695E21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444CFFD7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58FFABA7" w14:textId="77777777" w:rsidR="00A36D96" w:rsidRDefault="00A36D96" w:rsidP="00EA5FEC">
      <w:pPr>
        <w:spacing w:after="120" w:line="264" w:lineRule="auto"/>
        <w:jc w:val="both"/>
        <w:rPr>
          <w:rFonts w:ascii="Arial" w:hAnsi="Arial" w:cs="Arial"/>
        </w:rPr>
      </w:pPr>
    </w:p>
    <w:p w14:paraId="33FCF2EA" w14:textId="49B98425" w:rsidR="000727C1" w:rsidRPr="00A36D96" w:rsidRDefault="000727C1" w:rsidP="000727C1">
      <w:pPr>
        <w:pStyle w:val="Default"/>
        <w:adjustRightInd/>
        <w:jc w:val="both"/>
        <w:rPr>
          <w:b/>
          <w:i/>
          <w:color w:val="auto"/>
          <w:sz w:val="28"/>
          <w:szCs w:val="28"/>
        </w:rPr>
      </w:pPr>
      <w:r w:rsidRPr="00A36D96">
        <w:rPr>
          <w:b/>
          <w:i/>
          <w:color w:val="auto"/>
          <w:sz w:val="28"/>
          <w:szCs w:val="28"/>
        </w:rPr>
        <w:t>Specifický cíl 3.2 - Podpora energie z obnovitelných zdrojů</w:t>
      </w:r>
    </w:p>
    <w:p w14:paraId="52D6727E" w14:textId="77777777" w:rsidR="000727C1" w:rsidRDefault="000727C1" w:rsidP="000727C1">
      <w:pPr>
        <w:spacing w:after="120" w:line="264" w:lineRule="auto"/>
        <w:jc w:val="both"/>
        <w:rPr>
          <w:rFonts w:ascii="Arial" w:hAnsi="Arial" w:cs="Arial"/>
        </w:rPr>
      </w:pPr>
    </w:p>
    <w:p w14:paraId="77C536B5" w14:textId="77777777" w:rsidR="00A36D96" w:rsidRPr="00720299" w:rsidRDefault="00A36D96" w:rsidP="00A36D96">
      <w:pPr>
        <w:spacing w:after="120" w:line="264" w:lineRule="auto"/>
        <w:jc w:val="both"/>
        <w:rPr>
          <w:rFonts w:ascii="Arial" w:eastAsiaTheme="majorEastAsia" w:hAnsi="Arial" w:cs="Arial"/>
          <w:color w:val="000000" w:themeColor="text1"/>
        </w:rPr>
      </w:pPr>
      <w:r w:rsidRPr="00720299">
        <w:rPr>
          <w:rFonts w:ascii="Arial" w:hAnsi="Arial" w:cs="Arial"/>
        </w:rPr>
        <w:t xml:space="preserve">I přes významné snižování nákladů některých OZE stagnace podílu zatím neindikuje dosažení konkurenceschopnosti s ostatními zdroji energie. V rámci společné evropské politiky pak dochází k dalšímu zvyšování ambicí v této oblasti. </w:t>
      </w:r>
      <w:r w:rsidRPr="00720299">
        <w:rPr>
          <w:rFonts w:ascii="Arial" w:hAnsi="Arial" w:cs="Arial"/>
          <w:color w:val="000000" w:themeColor="text1"/>
        </w:rPr>
        <w:t xml:space="preserve">Specifický cíl je tedy zaměřen na efektivní a šetrné využívání obnovitelných zdrojů energie. Zvyšování podílu obnovitelných zdrojů je jedním ze tří hlavních klimaticko-energetických cílů. </w:t>
      </w:r>
      <w:r w:rsidRPr="00720299">
        <w:rPr>
          <w:rFonts w:ascii="Arial" w:eastAsiaTheme="majorEastAsia" w:hAnsi="Arial" w:cs="Arial"/>
          <w:color w:val="000000" w:themeColor="text1"/>
        </w:rPr>
        <w:t>Důležitou roli, která by měla být rovněž akcentována, hrají také inovace při zavádění a využívání OZE</w:t>
      </w:r>
      <w:r>
        <w:rPr>
          <w:rFonts w:ascii="Arial" w:eastAsiaTheme="majorEastAsia" w:hAnsi="Arial" w:cs="Arial"/>
          <w:color w:val="000000" w:themeColor="text1"/>
        </w:rPr>
        <w:t xml:space="preserve"> zejména</w:t>
      </w:r>
      <w:r w:rsidRPr="00720299">
        <w:rPr>
          <w:rFonts w:ascii="Arial" w:eastAsiaTheme="majorEastAsia" w:hAnsi="Arial" w:cs="Arial"/>
          <w:color w:val="000000" w:themeColor="text1"/>
        </w:rPr>
        <w:t xml:space="preserve"> z pohledu vyšší účinnosti daného zdroje OZE</w:t>
      </w:r>
      <w:r>
        <w:rPr>
          <w:rFonts w:ascii="Arial" w:eastAsiaTheme="majorEastAsia" w:hAnsi="Arial" w:cs="Arial"/>
          <w:color w:val="000000" w:themeColor="text1"/>
        </w:rPr>
        <w:t>.</w:t>
      </w:r>
    </w:p>
    <w:p w14:paraId="63D0B7E3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V rámci tohoto specifického cíle tak budou podporovány zejména následující aktivity:</w:t>
      </w:r>
    </w:p>
    <w:p w14:paraId="592B5C4D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9714D1">
        <w:rPr>
          <w:rFonts w:ascii="Arial" w:hAnsi="Arial" w:cs="Arial"/>
        </w:rPr>
        <w:t>Podpora solárních termických systémů</w:t>
      </w:r>
      <w:r w:rsidRPr="009714D1" w:rsidDel="009714D1">
        <w:rPr>
          <w:rFonts w:ascii="Arial" w:hAnsi="Arial" w:cs="Arial"/>
        </w:rPr>
        <w:t xml:space="preserve"> </w:t>
      </w:r>
    </w:p>
    <w:p w14:paraId="6F80D1D5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9714D1">
        <w:rPr>
          <w:rFonts w:ascii="Arial" w:hAnsi="Arial" w:cs="Arial"/>
        </w:rPr>
        <w:t>Podpora solárních elektráren</w:t>
      </w:r>
    </w:p>
    <w:p w14:paraId="3BFECCBE" w14:textId="77777777" w:rsidR="00A36D96" w:rsidRPr="00C8231A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14D1">
        <w:rPr>
          <w:rFonts w:ascii="Arial" w:hAnsi="Arial" w:cs="Arial"/>
        </w:rPr>
        <w:t>odpora malých vodních elektráren</w:t>
      </w:r>
    </w:p>
    <w:p w14:paraId="3901724F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Podpora větrných elektráren</w:t>
      </w:r>
    </w:p>
    <w:p w14:paraId="078B2003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tepelných čerpadel</w:t>
      </w:r>
    </w:p>
    <w:p w14:paraId="7F57C85C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9714D1">
        <w:rPr>
          <w:rFonts w:ascii="Arial" w:hAnsi="Arial" w:cs="Arial"/>
        </w:rPr>
        <w:t xml:space="preserve">Podpora efektivního využití bioplynu při výrobě tepla a elektrické energie za podmínky kombinované výroby elektřiny a tepla, formou výstavby </w:t>
      </w:r>
      <w:r w:rsidRPr="00B8640A">
        <w:rPr>
          <w:rFonts w:ascii="Arial" w:hAnsi="Arial" w:cs="Arial"/>
        </w:rPr>
        <w:t xml:space="preserve">nových výroben a výstavbou a </w:t>
      </w:r>
      <w:r w:rsidRPr="009714D1">
        <w:rPr>
          <w:rFonts w:ascii="Arial" w:hAnsi="Arial" w:cs="Arial"/>
        </w:rPr>
        <w:t xml:space="preserve">modernizací tepelných rozvodných zařízení a </w:t>
      </w:r>
      <w:r>
        <w:rPr>
          <w:rFonts w:ascii="Arial" w:hAnsi="Arial" w:cs="Arial"/>
        </w:rPr>
        <w:t xml:space="preserve">formou </w:t>
      </w:r>
      <w:r w:rsidRPr="009714D1">
        <w:rPr>
          <w:rFonts w:ascii="Arial" w:hAnsi="Arial" w:cs="Arial"/>
        </w:rPr>
        <w:t>instalace vzdálené</w:t>
      </w:r>
      <w:r>
        <w:rPr>
          <w:rFonts w:ascii="Arial" w:hAnsi="Arial" w:cs="Arial"/>
        </w:rPr>
        <w:t xml:space="preserve">ho zdroje kombinované výroby elektřiny a tepla mimo areál stávající bioplynové stanice včetně výstavby </w:t>
      </w:r>
      <w:proofErr w:type="spellStart"/>
      <w:r>
        <w:rPr>
          <w:rFonts w:ascii="Arial" w:hAnsi="Arial" w:cs="Arial"/>
        </w:rPr>
        <w:t>bioplynovodu</w:t>
      </w:r>
      <w:proofErr w:type="spellEnd"/>
      <w:r>
        <w:rPr>
          <w:rFonts w:ascii="Arial" w:hAnsi="Arial" w:cs="Arial"/>
        </w:rPr>
        <w:t>.</w:t>
      </w:r>
    </w:p>
    <w:p w14:paraId="65AE773E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9714D1">
        <w:rPr>
          <w:rFonts w:ascii="Arial" w:hAnsi="Arial" w:cs="Arial"/>
        </w:rPr>
        <w:t xml:space="preserve">Podpora transformace stávajících výroben elektřiny z bioplynu na výrobny </w:t>
      </w:r>
      <w:proofErr w:type="spellStart"/>
      <w:r w:rsidRPr="009714D1">
        <w:rPr>
          <w:rFonts w:ascii="Arial" w:hAnsi="Arial" w:cs="Arial"/>
        </w:rPr>
        <w:t>biometanu</w:t>
      </w:r>
      <w:proofErr w:type="spellEnd"/>
      <w:r w:rsidRPr="009714D1">
        <w:rPr>
          <w:rFonts w:ascii="Arial" w:hAnsi="Arial" w:cs="Arial"/>
        </w:rPr>
        <w:t xml:space="preserve"> a výstavba nových výroben </w:t>
      </w:r>
      <w:proofErr w:type="spellStart"/>
      <w:r w:rsidRPr="009714D1">
        <w:rPr>
          <w:rFonts w:ascii="Arial" w:hAnsi="Arial" w:cs="Arial"/>
        </w:rPr>
        <w:t>biometanu</w:t>
      </w:r>
      <w:proofErr w:type="spellEnd"/>
      <w:r w:rsidRPr="009714D1">
        <w:rPr>
          <w:rFonts w:ascii="Arial" w:hAnsi="Arial" w:cs="Arial"/>
        </w:rPr>
        <w:t xml:space="preserve"> (čištění bioplynu na kvalitu zemního plynu, jeho karburace, měření kvality </w:t>
      </w:r>
      <w:proofErr w:type="spellStart"/>
      <w:r w:rsidRPr="009714D1">
        <w:rPr>
          <w:rFonts w:ascii="Arial" w:hAnsi="Arial" w:cs="Arial"/>
        </w:rPr>
        <w:t>biometanu</w:t>
      </w:r>
      <w:proofErr w:type="spellEnd"/>
      <w:r w:rsidRPr="009714D1">
        <w:rPr>
          <w:rFonts w:ascii="Arial" w:hAnsi="Arial" w:cs="Arial"/>
        </w:rPr>
        <w:t>, komprese a přenos dat) a to včetně jejich připojení na plynárenské sítě</w:t>
      </w:r>
    </w:p>
    <w:p w14:paraId="71216F3F" w14:textId="77777777" w:rsidR="00A36D96" w:rsidRPr="00B03454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14D1">
        <w:rPr>
          <w:rFonts w:ascii="Arial" w:hAnsi="Arial" w:cs="Arial"/>
        </w:rPr>
        <w:t xml:space="preserve">odpora efektivního využití biomasy při výrobě tepla a elektrické energie za podmínky kombinované výroby elektřiny a tepla, případně </w:t>
      </w:r>
      <w:proofErr w:type="spellStart"/>
      <w:r w:rsidRPr="009714D1">
        <w:rPr>
          <w:rFonts w:ascii="Arial" w:hAnsi="Arial" w:cs="Arial"/>
        </w:rPr>
        <w:t>monovýroby</w:t>
      </w:r>
      <w:proofErr w:type="spellEnd"/>
      <w:r w:rsidRPr="009714D1">
        <w:rPr>
          <w:rFonts w:ascii="Arial" w:hAnsi="Arial" w:cs="Arial"/>
        </w:rPr>
        <w:t xml:space="preserve"> tepla z biomasy formou výstavby nových výroben a výstavbou a modernizací tepelných rozvodných zařízení</w:t>
      </w:r>
    </w:p>
    <w:p w14:paraId="2AB5A90B" w14:textId="77777777" w:rsidR="00A36D96" w:rsidRPr="00C8231A" w:rsidRDefault="00A36D96" w:rsidP="00A36D96">
      <w:pPr>
        <w:numPr>
          <w:ilvl w:val="0"/>
          <w:numId w:val="27"/>
        </w:numPr>
        <w:spacing w:after="120" w:line="264" w:lineRule="auto"/>
        <w:ind w:left="567" w:hanging="357"/>
        <w:jc w:val="both"/>
        <w:rPr>
          <w:rFonts w:ascii="Arial" w:eastAsia="Calibri" w:hAnsi="Arial" w:cs="Arial"/>
        </w:rPr>
      </w:pPr>
      <w:r w:rsidRPr="009442AD">
        <w:rPr>
          <w:rFonts w:ascii="Arial" w:hAnsi="Arial" w:cs="Arial"/>
          <w:color w:val="000000" w:themeColor="text1"/>
        </w:rPr>
        <w:t>Podpora výstavby zařízení na výrobu pokročilých biopaliv pro jejich využití v dopravě.</w:t>
      </w:r>
    </w:p>
    <w:p w14:paraId="1622C6DE" w14:textId="77777777" w:rsidR="00A36D96" w:rsidRPr="009442AD" w:rsidRDefault="00A36D96" w:rsidP="00A36D96">
      <w:pPr>
        <w:numPr>
          <w:ilvl w:val="0"/>
          <w:numId w:val="27"/>
        </w:numPr>
        <w:spacing w:after="120" w:line="264" w:lineRule="auto"/>
        <w:ind w:left="567" w:hanging="357"/>
        <w:jc w:val="both"/>
        <w:rPr>
          <w:rFonts w:ascii="Arial" w:eastAsia="Calibri" w:hAnsi="Arial" w:cs="Arial"/>
        </w:rPr>
      </w:pPr>
      <w:r w:rsidRPr="00FD7797">
        <w:rPr>
          <w:rFonts w:ascii="Arial" w:hAnsi="Arial" w:cs="Arial"/>
          <w:color w:val="000000" w:themeColor="text1"/>
        </w:rPr>
        <w:t xml:space="preserve">Podpora akumulace energie a transformace </w:t>
      </w:r>
      <w:r>
        <w:rPr>
          <w:rFonts w:ascii="Arial" w:hAnsi="Arial" w:cs="Arial"/>
          <w:color w:val="000000" w:themeColor="text1"/>
        </w:rPr>
        <w:t xml:space="preserve">energie mezi </w:t>
      </w:r>
      <w:proofErr w:type="spellStart"/>
      <w:r>
        <w:rPr>
          <w:rFonts w:ascii="Arial" w:hAnsi="Arial" w:cs="Arial"/>
          <w:color w:val="000000" w:themeColor="text1"/>
        </w:rPr>
        <w:t>energonositeli</w:t>
      </w:r>
      <w:proofErr w:type="spellEnd"/>
      <w:r w:rsidRPr="00FD7797">
        <w:rPr>
          <w:rFonts w:ascii="Arial" w:hAnsi="Arial" w:cs="Arial"/>
          <w:color w:val="000000" w:themeColor="text1"/>
        </w:rPr>
        <w:t xml:space="preserve"> </w:t>
      </w:r>
    </w:p>
    <w:p w14:paraId="4F33EB25" w14:textId="77777777" w:rsidR="00A36D96" w:rsidRPr="00720299" w:rsidRDefault="00A36D96" w:rsidP="00A36D96">
      <w:pPr>
        <w:pStyle w:val="Odstavecseseznamem"/>
        <w:spacing w:after="120" w:line="264" w:lineRule="auto"/>
        <w:ind w:left="567"/>
        <w:contextualSpacing w:val="0"/>
        <w:rPr>
          <w:rFonts w:ascii="Arial" w:hAnsi="Arial" w:cs="Arial"/>
        </w:rPr>
      </w:pPr>
    </w:p>
    <w:p w14:paraId="15D0C2A3" w14:textId="77777777" w:rsidR="00A36D96" w:rsidRPr="00720299" w:rsidRDefault="00A36D96" w:rsidP="00A36D96">
      <w:pPr>
        <w:spacing w:after="120" w:line="264" w:lineRule="auto"/>
        <w:rPr>
          <w:rFonts w:ascii="Arial" w:hAnsi="Arial" w:cs="Arial"/>
          <w:b/>
          <w:bCs/>
        </w:rPr>
      </w:pPr>
      <w:r w:rsidRPr="00720299">
        <w:rPr>
          <w:rFonts w:ascii="Arial" w:hAnsi="Arial" w:cs="Arial"/>
          <w:b/>
          <w:bCs/>
        </w:rPr>
        <w:t>Očekávaný příspěvek podporovaných aktivit ke specifickému cíli:</w:t>
      </w:r>
    </w:p>
    <w:p w14:paraId="04C792AD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color w:val="000000" w:themeColor="text1"/>
        </w:rPr>
      </w:pPr>
      <w:r w:rsidRPr="00720299">
        <w:rPr>
          <w:rFonts w:ascii="Arial" w:hAnsi="Arial" w:cs="Arial"/>
        </w:rPr>
        <w:t xml:space="preserve">V rámci dosažení klimatických cílů se předpokládá, že energetické  mixy členských států EU budou  složeny ze zdrojů, které emitují minimum CO2.  Realizovaná investiční opatření tak budou představovat významný příspěvek k plnění energeticko-klimatických cílů EU vyplývajících ze směrnice Evropského parlamentu a Rady 2018/2001 o podpoře využívání energie z OZE. Cílem je rovněž efektivní a šetrné využívání OZE, zvyšování jejich podílu a tím pádem </w:t>
      </w:r>
      <w:r w:rsidRPr="00720299">
        <w:rPr>
          <w:rFonts w:ascii="Arial" w:hAnsi="Arial" w:cs="Arial"/>
          <w:color w:val="000000" w:themeColor="text1"/>
        </w:rPr>
        <w:t>snížení spotřeby primárních energetických zdrojů či podpora podnikatelských subjektů v oblasti využití OZE.</w:t>
      </w:r>
    </w:p>
    <w:p w14:paraId="7752B7CF" w14:textId="77777777" w:rsidR="00A36D96" w:rsidRPr="00720299" w:rsidRDefault="00A36D96" w:rsidP="00A36D96">
      <w:pPr>
        <w:spacing w:after="120" w:line="264" w:lineRule="auto"/>
        <w:jc w:val="both"/>
        <w:rPr>
          <w:rFonts w:ascii="Arial" w:eastAsiaTheme="majorEastAsia" w:hAnsi="Arial" w:cs="Arial"/>
          <w:color w:val="000000" w:themeColor="text1"/>
        </w:rPr>
      </w:pPr>
      <w:r w:rsidRPr="00720299">
        <w:rPr>
          <w:rFonts w:ascii="Arial" w:hAnsi="Arial" w:cs="Arial"/>
          <w:color w:val="000000" w:themeColor="text1"/>
        </w:rPr>
        <w:lastRenderedPageBreak/>
        <w:t>Cílem je zvýšení podílu obnovitelných zdrojů v souladu s příspěvkem ČR určeným vnitrostátním plánem, a to při respektování dalších dílčích cílů uvedené směrnice</w:t>
      </w:r>
      <w:r w:rsidRPr="00720299">
        <w:rPr>
          <w:rFonts w:ascii="Arial" w:hAnsi="Arial" w:cs="Arial"/>
        </w:rPr>
        <w:t xml:space="preserve">, resp. podpora </w:t>
      </w:r>
      <w:r w:rsidRPr="00720299">
        <w:rPr>
          <w:rFonts w:ascii="Arial" w:hAnsi="Arial" w:cs="Arial"/>
          <w:color w:val="000000" w:themeColor="text1"/>
        </w:rPr>
        <w:t xml:space="preserve">dílčích cílů směřující ke zvýšení podílu obnovitelných zdrojů, zajištění plnění sektorových cílů ve vytápění a chlazení a v oblasti dopravy. </w:t>
      </w:r>
      <w:r w:rsidRPr="00720299">
        <w:rPr>
          <w:rFonts w:ascii="Arial" w:hAnsi="Arial" w:cs="Arial"/>
        </w:rPr>
        <w:t xml:space="preserve">Plněním cílů v oblasti snižování emisí skleníkových plynů, zvyšováním podílu energie z OZE budou plněny základní předpoklady pro postupný přechod na </w:t>
      </w:r>
      <w:r w:rsidRPr="00720299">
        <w:rPr>
          <w:rFonts w:ascii="Arial" w:eastAsiaTheme="majorEastAsia" w:hAnsi="Arial" w:cs="Arial"/>
        </w:rPr>
        <w:t xml:space="preserve">nízkouhlíkovou ekonomiku a růst konkurenceschopnosti podniků. </w:t>
      </w:r>
      <w:r w:rsidRPr="00720299">
        <w:rPr>
          <w:rFonts w:ascii="Arial" w:eastAsia="Calibri" w:hAnsi="Arial" w:cs="Arial"/>
        </w:rPr>
        <w:t xml:space="preserve">Využití obnovitelných zdrojů podpoří snižování podílu fosilních paliv při výrobě energie a tím i znečištění ovzduší a dále sníží energetickou závislost ČR na dovozu energií ze zahraničí a na omezených domácích fosilních palivech. V případě sektoru elektroenergetiky dojde především k podpoře tzv. </w:t>
      </w:r>
      <w:proofErr w:type="spellStart"/>
      <w:r w:rsidRPr="00720299">
        <w:rPr>
          <w:rFonts w:ascii="Arial" w:eastAsia="Calibri" w:hAnsi="Arial" w:cs="Arial"/>
        </w:rPr>
        <w:t>samospotřebitelů</w:t>
      </w:r>
      <w:proofErr w:type="spellEnd"/>
      <w:r w:rsidRPr="00720299">
        <w:rPr>
          <w:rFonts w:ascii="Arial" w:eastAsia="Calibri" w:hAnsi="Arial" w:cs="Arial"/>
        </w:rPr>
        <w:t xml:space="preserve"> (výrobců energie z OZE, kteří většinu vyrobené elektřiny využijí pro vlastní spotřebu).</w:t>
      </w:r>
    </w:p>
    <w:p w14:paraId="5F7BF016" w14:textId="77777777" w:rsidR="000727C1" w:rsidRDefault="000727C1" w:rsidP="00EA5FEC">
      <w:pPr>
        <w:spacing w:after="120" w:line="264" w:lineRule="auto"/>
        <w:jc w:val="both"/>
        <w:rPr>
          <w:rFonts w:ascii="Arial" w:hAnsi="Arial" w:cs="Arial"/>
        </w:rPr>
      </w:pPr>
    </w:p>
    <w:p w14:paraId="32DCFB43" w14:textId="61F91C72" w:rsidR="000727C1" w:rsidRPr="00720299" w:rsidRDefault="000727C1" w:rsidP="000727C1">
      <w:pPr>
        <w:spacing w:after="120" w:line="264" w:lineRule="auto"/>
        <w:rPr>
          <w:rFonts w:ascii="Arial" w:hAnsi="Arial" w:cs="Arial"/>
          <w:b/>
          <w:i/>
          <w:iCs/>
        </w:rPr>
      </w:pPr>
      <w:r w:rsidRPr="000727C1">
        <w:rPr>
          <w:rFonts w:ascii="Arial" w:hAnsi="Arial" w:cs="Arial"/>
          <w:b/>
        </w:rPr>
        <w:t>Hlavní cílová skupina</w:t>
      </w:r>
      <w:r>
        <w:rPr>
          <w:rFonts w:ascii="Arial" w:hAnsi="Arial" w:cs="Arial"/>
          <w:b/>
          <w:i/>
          <w:iCs/>
        </w:rPr>
        <w:t>:</w:t>
      </w:r>
    </w:p>
    <w:p w14:paraId="49EB0383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Cílovou skupinou jsou primárně podnikatelské subjekty (vč. podniků až ze 100 % vlastněných veřejným</w:t>
      </w:r>
      <w:r>
        <w:rPr>
          <w:rFonts w:ascii="Arial" w:hAnsi="Arial" w:cs="Arial"/>
        </w:rPr>
        <w:t xml:space="preserve"> sektorem)</w:t>
      </w:r>
      <w:r w:rsidRPr="00720299">
        <w:rPr>
          <w:rFonts w:ascii="Arial" w:hAnsi="Arial" w:cs="Arial"/>
        </w:rPr>
        <w:t>,</w:t>
      </w:r>
      <w:r w:rsidRPr="00720299">
        <w:rPr>
          <w:rFonts w:ascii="Arial" w:hAnsi="Arial" w:cs="Arial"/>
          <w:color w:val="000000"/>
        </w:rPr>
        <w:t xml:space="preserve"> které se hodlají soustředit/již soustředí na oblast výroby energie z OZE. Cílovou </w:t>
      </w:r>
      <w:r w:rsidRPr="00720299">
        <w:rPr>
          <w:rFonts w:ascii="Arial" w:hAnsi="Arial" w:cs="Arial"/>
        </w:rPr>
        <w:t xml:space="preserve">skupinou jsou rovněž všichni občané, neboť projekty mají environmentální přínosy, a to ve snížení negativních vlivů na životní prostředí, zejména globálnímu snížení emisí CO2. To plně souvisí s cílem přispět k plnění klimaticko-energetických cílů pro rok 2030. Vzhledem k tomu, že neobnovitelné zdroje energie mají svá omezení z hlediska časové a místní dostupnosti, tak jejich náhrada obnovitelnými zdroji energie přispěje k prodloužení možnosti využití neobnovitelných zdrojů energie včetně snížení dovozní závislosti, což má celospolečenský dopad. </w:t>
      </w:r>
    </w:p>
    <w:p w14:paraId="28881266" w14:textId="77777777" w:rsidR="000727C1" w:rsidRDefault="000727C1" w:rsidP="000727C1">
      <w:pPr>
        <w:spacing w:after="120" w:line="264" w:lineRule="auto"/>
        <w:jc w:val="both"/>
        <w:rPr>
          <w:rFonts w:ascii="Arial" w:hAnsi="Arial" w:cs="Arial"/>
        </w:rPr>
      </w:pPr>
    </w:p>
    <w:p w14:paraId="5BEFF2B8" w14:textId="77777777" w:rsidR="000727C1" w:rsidRPr="00B03597" w:rsidRDefault="000727C1" w:rsidP="000727C1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Cílové území</w:t>
      </w:r>
      <w:r w:rsidRPr="00B03597">
        <w:rPr>
          <w:rFonts w:ascii="Arial" w:hAnsi="Arial" w:cs="Arial"/>
        </w:rPr>
        <w:t xml:space="preserve">: </w:t>
      </w:r>
    </w:p>
    <w:p w14:paraId="07368E07" w14:textId="4739FAB3" w:rsidR="000727C1" w:rsidRDefault="000C3A69" w:rsidP="000727C1">
      <w:pPr>
        <w:spacing w:after="120" w:line="264" w:lineRule="auto"/>
        <w:jc w:val="both"/>
        <w:rPr>
          <w:rFonts w:ascii="Arial" w:hAnsi="Arial" w:cs="Arial"/>
        </w:rPr>
      </w:pPr>
      <w:r w:rsidRPr="000C3A69">
        <w:rPr>
          <w:rFonts w:ascii="Arial" w:hAnsi="Arial" w:cs="Arial"/>
        </w:rPr>
        <w:t>Území České republiky, mimo hl. města Prahy.</w:t>
      </w:r>
    </w:p>
    <w:p w14:paraId="1F3F7089" w14:textId="77777777" w:rsidR="000727C1" w:rsidRDefault="000727C1" w:rsidP="000727C1">
      <w:pPr>
        <w:spacing w:after="120" w:line="264" w:lineRule="auto"/>
        <w:jc w:val="both"/>
        <w:rPr>
          <w:rFonts w:ascii="Arial" w:hAnsi="Arial" w:cs="Arial"/>
        </w:rPr>
      </w:pPr>
    </w:p>
    <w:p w14:paraId="7C82553B" w14:textId="77777777" w:rsidR="000C3A69" w:rsidRPr="00B03597" w:rsidRDefault="000C3A69" w:rsidP="000C3A69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Typy příjemců</w:t>
      </w:r>
      <w:r w:rsidRPr="00B03597">
        <w:rPr>
          <w:rFonts w:ascii="Arial" w:hAnsi="Arial" w:cs="Arial"/>
        </w:rPr>
        <w:t>:</w:t>
      </w:r>
    </w:p>
    <w:p w14:paraId="2198AEA8" w14:textId="77777777" w:rsidR="000C3A69" w:rsidRDefault="000C3A69" w:rsidP="000C3A69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</w:rPr>
        <w:t>Podnikatelské subjekty (MSP a případně velké podniky).</w:t>
      </w:r>
    </w:p>
    <w:p w14:paraId="5FCCFCA1" w14:textId="77777777" w:rsidR="000727C1" w:rsidRDefault="000727C1" w:rsidP="000727C1">
      <w:pPr>
        <w:spacing w:after="120" w:line="264" w:lineRule="auto"/>
        <w:jc w:val="both"/>
        <w:rPr>
          <w:rFonts w:ascii="Arial" w:hAnsi="Arial" w:cs="Arial"/>
        </w:rPr>
      </w:pPr>
    </w:p>
    <w:p w14:paraId="57F28B76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0EDD03AA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4FE24369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3640E4E4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7299DF2F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1413FE8B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5E18E6B2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7C573073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37EA9A4C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3E2E2C74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0C6C25A0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2BEC298B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1E0278BD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5FDEA9D3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7C25E235" w14:textId="77777777" w:rsidR="00A36D96" w:rsidRDefault="00A36D96" w:rsidP="000727C1">
      <w:pPr>
        <w:spacing w:after="120" w:line="264" w:lineRule="auto"/>
        <w:jc w:val="both"/>
        <w:rPr>
          <w:rFonts w:ascii="Arial" w:hAnsi="Arial" w:cs="Arial"/>
        </w:rPr>
      </w:pPr>
    </w:p>
    <w:p w14:paraId="62A6EB5A" w14:textId="1169DF44" w:rsidR="00784077" w:rsidRPr="00A36D96" w:rsidRDefault="00784077" w:rsidP="00784077">
      <w:pPr>
        <w:pStyle w:val="Default"/>
        <w:adjustRightInd/>
        <w:jc w:val="both"/>
        <w:rPr>
          <w:b/>
          <w:i/>
          <w:color w:val="auto"/>
          <w:sz w:val="28"/>
          <w:szCs w:val="28"/>
        </w:rPr>
      </w:pPr>
      <w:r w:rsidRPr="00A36D96">
        <w:rPr>
          <w:b/>
          <w:i/>
          <w:color w:val="auto"/>
          <w:sz w:val="28"/>
          <w:szCs w:val="28"/>
        </w:rPr>
        <w:t>Specifický cíl 3.3 - Rozvoj inteligentních energetických systémů, sítí a skladování na místní úrovni</w:t>
      </w:r>
    </w:p>
    <w:p w14:paraId="797126B0" w14:textId="77777777" w:rsidR="000C3A69" w:rsidRDefault="000C3A69" w:rsidP="000727C1">
      <w:pPr>
        <w:spacing w:after="120" w:line="264" w:lineRule="auto"/>
        <w:jc w:val="both"/>
        <w:rPr>
          <w:rFonts w:ascii="Arial" w:hAnsi="Arial" w:cs="Arial"/>
        </w:rPr>
      </w:pPr>
    </w:p>
    <w:p w14:paraId="46434D0C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eastAsiaTheme="majorEastAsia" w:hAnsi="Arial" w:cs="Arial"/>
        </w:rPr>
        <w:t xml:space="preserve">Modernizace a výstavba energetických soustav s implementací inteligentních prvků představují předpoklad funkčního energetického sektoru 21. století. Intervence budou odrážet odlišné </w:t>
      </w:r>
      <w:r w:rsidRPr="00720299">
        <w:rPr>
          <w:rFonts w:ascii="Arial" w:hAnsi="Arial" w:cs="Arial"/>
        </w:rPr>
        <w:t>charakteristiky energetických zdrojů – tj. elektřiny a plynu, přičemž specifický cíl se zaměřuje na rozvoj inteligentních energetických systémů a sítí</w:t>
      </w:r>
      <w:r>
        <w:rPr>
          <w:rFonts w:ascii="Arial" w:hAnsi="Arial" w:cs="Arial"/>
        </w:rPr>
        <w:t>.</w:t>
      </w:r>
    </w:p>
    <w:p w14:paraId="1EEFA558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V rámci tohoto specifického cíle tak budou podporovány zejména následující aktivity:</w:t>
      </w:r>
    </w:p>
    <w:p w14:paraId="6AA6EE98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 xml:space="preserve">Instalace inteligentních prvků v energetických sítích za účelem rozvoje/vzniku </w:t>
      </w:r>
      <w:proofErr w:type="spellStart"/>
      <w:r w:rsidRPr="00720299">
        <w:rPr>
          <w:rFonts w:ascii="Arial" w:hAnsi="Arial" w:cs="Arial"/>
        </w:rPr>
        <w:t>smart</w:t>
      </w:r>
      <w:proofErr w:type="spellEnd"/>
      <w:r w:rsidRPr="00720299">
        <w:rPr>
          <w:rFonts w:ascii="Arial" w:hAnsi="Arial" w:cs="Arial"/>
        </w:rPr>
        <w:t xml:space="preserve"> </w:t>
      </w:r>
      <w:proofErr w:type="spellStart"/>
      <w:r w:rsidRPr="00720299">
        <w:rPr>
          <w:rFonts w:ascii="Arial" w:hAnsi="Arial" w:cs="Arial"/>
        </w:rPr>
        <w:t>grids</w:t>
      </w:r>
      <w:proofErr w:type="spellEnd"/>
      <w:r w:rsidRPr="00720299">
        <w:rPr>
          <w:rFonts w:ascii="Arial" w:hAnsi="Arial" w:cs="Arial"/>
        </w:rPr>
        <w:t xml:space="preserve"> (inteligentní měření, regulace, spínací prvky, nasazení dálkově ovládaných prvků v distribučních soustavách, nasazení technologických prvků řízení napětí a měření kvality elektřiny v distribučních soustavách, řešení lokální bilance řízením toků výkonu mezi odběrateli a provozovatelem distribuční sítě, opatření ke zlepšení spolehlivosti, informovanosti a zavádění bilance a optimalizace provozu v lokálních distribučních soustavách, atd.)</w:t>
      </w:r>
    </w:p>
    <w:p w14:paraId="211C1DF4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Využití zařízení pro ukládání energie v elektrizační soustavě (akumulaci), která jsou plně integrovanými komponentami sítě definovanými ve Směrnici o společných pravidlech pro vnitřní trh s elektřinou a používají se pouze za účelem zajištění bezpečného a spolehlivého provozu přenosové soustavy nebo distribuční soustavy, ale ne pro účely zajišťování výkonové rovnováhy nebo řízení přetížení</w:t>
      </w:r>
    </w:p>
    <w:p w14:paraId="4EB5E039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Výstavba, posílení, rekonstrukce a modernizace přenosové/přepravní a distribučních soustav a související infrastruktury; vč. přenosu a zpracování zvýšeného objemu dat spojených se vstupem nových subjektů na trhy s elektřinou a vypořádáním nových služeb v souvislosti s novou legislativou EU</w:t>
      </w:r>
    </w:p>
    <w:p w14:paraId="3267C898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Snížení technických ztrát a zvýšení účinnosti energetických soustav</w:t>
      </w:r>
    </w:p>
    <w:p w14:paraId="5287398C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720299">
        <w:rPr>
          <w:rFonts w:ascii="Arial" w:hAnsi="Arial" w:cs="Arial"/>
        </w:rPr>
        <w:t>Zavádění systémů řízení spotřeby energie</w:t>
      </w:r>
    </w:p>
    <w:p w14:paraId="28B790E5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  <w:bCs/>
        </w:rPr>
        <w:t xml:space="preserve">Výstavba konverzních zařízení (například </w:t>
      </w:r>
      <w:proofErr w:type="spellStart"/>
      <w:r w:rsidRPr="00FD7797">
        <w:rPr>
          <w:rFonts w:ascii="Arial" w:hAnsi="Arial" w:cs="Arial"/>
          <w:bCs/>
        </w:rPr>
        <w:t>Power</w:t>
      </w:r>
      <w:proofErr w:type="spellEnd"/>
      <w:r w:rsidRPr="00FD7797">
        <w:rPr>
          <w:rFonts w:ascii="Arial" w:hAnsi="Arial" w:cs="Arial"/>
          <w:bCs/>
        </w:rPr>
        <w:t>-to-</w:t>
      </w:r>
      <w:proofErr w:type="spellStart"/>
      <w:r w:rsidRPr="00FD7797">
        <w:rPr>
          <w:rFonts w:ascii="Arial" w:hAnsi="Arial" w:cs="Arial"/>
          <w:bCs/>
        </w:rPr>
        <w:t>Gas</w:t>
      </w:r>
      <w:proofErr w:type="spellEnd"/>
      <w:r w:rsidRPr="00FD7797">
        <w:rPr>
          <w:rFonts w:ascii="Arial" w:hAnsi="Arial" w:cs="Arial"/>
          <w:bCs/>
        </w:rPr>
        <w:t xml:space="preserve"> stanic ke konverzi elektřiny z OZE na nové druhy plynů, výroba vodíku elektrolýzou)</w:t>
      </w:r>
    </w:p>
    <w:p w14:paraId="253E5D49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  <w:bCs/>
        </w:rPr>
        <w:t>Výstavba metanizačních jednotek (výroba syntetického metanu, vodík + CO2 =</w:t>
      </w:r>
      <w:r w:rsidRPr="00FD7797">
        <w:rPr>
          <w:rFonts w:ascii="Arial" w:hAnsi="Arial" w:cs="Arial"/>
          <w:bCs/>
          <w:lang w:val="en-US"/>
        </w:rPr>
        <w:t xml:space="preserve">&gt; </w:t>
      </w:r>
      <w:proofErr w:type="spellStart"/>
      <w:r w:rsidRPr="00FD7797">
        <w:rPr>
          <w:rFonts w:ascii="Arial" w:hAnsi="Arial" w:cs="Arial"/>
          <w:bCs/>
          <w:lang w:val="en-US"/>
        </w:rPr>
        <w:t>syntetick</w:t>
      </w:r>
      <w:proofErr w:type="spellEnd"/>
      <w:r w:rsidRPr="00FD7797">
        <w:rPr>
          <w:rFonts w:ascii="Arial" w:hAnsi="Arial" w:cs="Arial"/>
          <w:bCs/>
        </w:rPr>
        <w:t>ý metan)</w:t>
      </w:r>
    </w:p>
    <w:p w14:paraId="648D86EB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  <w:bCs/>
        </w:rPr>
        <w:t>Výstavba zařízení/stanic na zachytávání CO</w:t>
      </w:r>
      <w:r w:rsidRPr="00FD7797">
        <w:rPr>
          <w:rFonts w:ascii="Arial" w:hAnsi="Arial" w:cs="Arial"/>
          <w:bCs/>
          <w:vertAlign w:val="subscript"/>
        </w:rPr>
        <w:t>2</w:t>
      </w:r>
      <w:r w:rsidRPr="00FD7797">
        <w:rPr>
          <w:rFonts w:ascii="Arial" w:hAnsi="Arial" w:cs="Arial"/>
          <w:bCs/>
        </w:rPr>
        <w:t xml:space="preserve"> (technologie CCS/CCU)</w:t>
      </w:r>
    </w:p>
    <w:p w14:paraId="247DD790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  <w:bCs/>
        </w:rPr>
        <w:t xml:space="preserve">Výstavba výroben nových druhů </w:t>
      </w:r>
      <w:proofErr w:type="spellStart"/>
      <w:r w:rsidRPr="00FD7797">
        <w:rPr>
          <w:rFonts w:ascii="Arial" w:hAnsi="Arial" w:cs="Arial"/>
          <w:bCs/>
        </w:rPr>
        <w:t>nízkoemisních</w:t>
      </w:r>
      <w:proofErr w:type="spellEnd"/>
      <w:r w:rsidRPr="00FD7797">
        <w:rPr>
          <w:rFonts w:ascii="Arial" w:hAnsi="Arial" w:cs="Arial"/>
          <w:bCs/>
        </w:rPr>
        <w:t>/nízkouhlíkových plynů (například výroba vodíku ze zemního plynu parní reformací, pyrolýzou).</w:t>
      </w:r>
    </w:p>
    <w:p w14:paraId="0AC38243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</w:rPr>
        <w:t>Připojení výroben a konverzních zařízení k plynárenské soustavě (</w:t>
      </w:r>
      <w:r w:rsidRPr="00FD7797">
        <w:rPr>
          <w:rFonts w:ascii="Arial" w:hAnsi="Arial" w:cs="Arial"/>
          <w:bCs/>
        </w:rPr>
        <w:t>měření množství a kvality vyrobených nových druhů plynů, výsta</w:t>
      </w:r>
      <w:r>
        <w:rPr>
          <w:rFonts w:ascii="Arial" w:hAnsi="Arial" w:cs="Arial"/>
          <w:bCs/>
        </w:rPr>
        <w:t xml:space="preserve">vba připojovacích plynovodů, </w:t>
      </w:r>
      <w:proofErr w:type="spellStart"/>
      <w:r>
        <w:rPr>
          <w:rFonts w:ascii="Arial" w:hAnsi="Arial" w:cs="Arial"/>
          <w:bCs/>
        </w:rPr>
        <w:t>vtl</w:t>
      </w:r>
      <w:r w:rsidRPr="00FD7797">
        <w:rPr>
          <w:rFonts w:ascii="Arial" w:hAnsi="Arial" w:cs="Arial"/>
          <w:bCs/>
        </w:rPr>
        <w:t>áčecích</w:t>
      </w:r>
      <w:proofErr w:type="spellEnd"/>
      <w:r w:rsidRPr="00FD7797">
        <w:rPr>
          <w:rFonts w:ascii="Arial" w:hAnsi="Arial" w:cs="Arial"/>
          <w:bCs/>
        </w:rPr>
        <w:t xml:space="preserve"> zařízení vyrobených nových plynů do plynárenských soustav atd.)</w:t>
      </w:r>
    </w:p>
    <w:p w14:paraId="0968FABE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</w:rPr>
        <w:t>Osazení plynových expanzních turbín v RS spojených s výrobou elektrické energi</w:t>
      </w:r>
      <w:r>
        <w:rPr>
          <w:rFonts w:ascii="Arial" w:hAnsi="Arial" w:cs="Arial"/>
        </w:rPr>
        <w:t>e</w:t>
      </w:r>
    </w:p>
    <w:p w14:paraId="1B67F98E" w14:textId="77777777" w:rsidR="00A36D96" w:rsidRPr="004C09CB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  <w:bCs/>
        </w:rPr>
        <w:t>Výstavba zkapalňovacích stani</w:t>
      </w:r>
      <w:r>
        <w:rPr>
          <w:rFonts w:ascii="Arial" w:hAnsi="Arial" w:cs="Arial"/>
          <w:bCs/>
        </w:rPr>
        <w:t>c</w:t>
      </w:r>
    </w:p>
    <w:p w14:paraId="7EDD8EB4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</w:rPr>
        <w:lastRenderedPageBreak/>
        <w:t>Modernizace, úprava plynárenské soustavy, výstavba plynovodů a modernizace zásobníků plynu včetně instalace nových podzemních sond, kompresorů a bezpečnostních prvků, kompatibilních s novými druhy plynů.</w:t>
      </w:r>
    </w:p>
    <w:p w14:paraId="14B89298" w14:textId="77777777" w:rsidR="00A36D96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</w:rPr>
        <w:t>Vytvoření potřebných kapacit na nahrazování uhlí zemním ply</w:t>
      </w:r>
      <w:r>
        <w:rPr>
          <w:rFonts w:ascii="Arial" w:hAnsi="Arial" w:cs="Arial"/>
        </w:rPr>
        <w:t xml:space="preserve">nem u velkých tepelných zdrojů - </w:t>
      </w:r>
      <w:r w:rsidRPr="00FD7797">
        <w:rPr>
          <w:rFonts w:ascii="Arial" w:hAnsi="Arial" w:cs="Arial"/>
        </w:rPr>
        <w:t>plán řízeného odklonu tepláren od uh</w:t>
      </w:r>
      <w:r>
        <w:rPr>
          <w:rFonts w:ascii="Arial" w:hAnsi="Arial" w:cs="Arial"/>
        </w:rPr>
        <w:t xml:space="preserve">lí </w:t>
      </w:r>
      <w:r w:rsidRPr="00FD7797">
        <w:rPr>
          <w:rFonts w:ascii="Arial" w:hAnsi="Arial" w:cs="Arial"/>
        </w:rPr>
        <w:t>(výstavba či zvýšení kapacity distribučních nebo přepravní soustavy ve formě výstavby plynového potrubí ke stávající výrobně tepla či tepla a elektřiny, či k novým decentralizovaných zdrojům a dále výstavba plynových potrubí v rámci bývalého území distribuce tepla doplněné modernizací přepravní soustavy v rámci zvýšení celkové kapacity).</w:t>
      </w:r>
    </w:p>
    <w:p w14:paraId="07DC86CC" w14:textId="77777777" w:rsidR="00A36D96" w:rsidRPr="00720299" w:rsidRDefault="00A36D96" w:rsidP="00A36D96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ascii="Arial" w:hAnsi="Arial" w:cs="Arial"/>
        </w:rPr>
      </w:pPr>
      <w:r w:rsidRPr="00FD7797">
        <w:rPr>
          <w:rFonts w:ascii="Arial" w:hAnsi="Arial" w:cs="Arial"/>
        </w:rPr>
        <w:t xml:space="preserve">Instalace inteligentních prvků v plynárenských sítích a software za účelem rozvoje/vzniku </w:t>
      </w:r>
      <w:proofErr w:type="spellStart"/>
      <w:r w:rsidRPr="00FD7797">
        <w:rPr>
          <w:rFonts w:ascii="Arial" w:hAnsi="Arial" w:cs="Arial"/>
        </w:rPr>
        <w:t>smart</w:t>
      </w:r>
      <w:proofErr w:type="spellEnd"/>
      <w:r w:rsidRPr="00FD7797">
        <w:rPr>
          <w:rFonts w:ascii="Arial" w:hAnsi="Arial" w:cs="Arial"/>
        </w:rPr>
        <w:t xml:space="preserve"> </w:t>
      </w:r>
      <w:proofErr w:type="spellStart"/>
      <w:r w:rsidRPr="00FD7797">
        <w:rPr>
          <w:rFonts w:ascii="Arial" w:hAnsi="Arial" w:cs="Arial"/>
        </w:rPr>
        <w:t>grids</w:t>
      </w:r>
      <w:proofErr w:type="spellEnd"/>
      <w:r w:rsidRPr="00FD7797">
        <w:rPr>
          <w:rFonts w:ascii="Arial" w:hAnsi="Arial" w:cs="Arial"/>
        </w:rPr>
        <w:t xml:space="preserve"> a pro efektivní řízení integrace nových druhů plynu.</w:t>
      </w:r>
    </w:p>
    <w:p w14:paraId="322BEEB7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/>
          <w:u w:val="single"/>
        </w:rPr>
      </w:pPr>
    </w:p>
    <w:p w14:paraId="5A71BB92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/>
          <w:bCs/>
        </w:rPr>
      </w:pPr>
      <w:r w:rsidRPr="00720299">
        <w:rPr>
          <w:rFonts w:ascii="Arial" w:hAnsi="Arial" w:cs="Arial"/>
          <w:b/>
          <w:bCs/>
        </w:rPr>
        <w:t>Očekávaný příspěvek podporovaných aktivit ke specifickému cíli:</w:t>
      </w:r>
    </w:p>
    <w:p w14:paraId="5835A8C1" w14:textId="77777777" w:rsidR="00A36D96" w:rsidRPr="00957585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Prostřednictvím výše uvedených aktivit by mělo být dosaženo především implementace inteligentních sítí, které umožní zvýšit c</w:t>
      </w:r>
      <w:r w:rsidRPr="00957585">
        <w:rPr>
          <w:rFonts w:ascii="Arial" w:hAnsi="Arial" w:cs="Arial"/>
        </w:rPr>
        <w:t xml:space="preserve">elkovou kapacitu pro připojení decentralizované výroby elektřiny, zejména z OZE a zároveň zajistí spolehlivý a bezpečný provoz distribučních soustav. Instalací inteligentních prvků a jejich skupin v energetických sítích by mělo být dále dosaženo optimalizace provozu a snížení poruchovosti/zkrácení doby výpadku dodávky elektřiny při poruše v síti. V neposlední řadě je cílem dosažení energeticko-klimatických cílů dle deklarace na </w:t>
      </w:r>
      <w:r w:rsidRPr="00957585">
        <w:rPr>
          <w:rFonts w:ascii="Arial" w:hAnsi="Arial" w:cs="Arial"/>
          <w:bCs/>
        </w:rPr>
        <w:t>udržitelnou a inteligentní plynárenskou infrastrukturu pro Evropu</w:t>
      </w:r>
      <w:r w:rsidRPr="00957585">
        <w:rPr>
          <w:rFonts w:ascii="Arial" w:hAnsi="Arial" w:cs="Arial"/>
        </w:rPr>
        <w:t xml:space="preserve"> a závazků vůči emisním cílům v roce 2030. V rámci dosažení klimatických cílů se předpokládá, že energetické mixy členských států EU budou složeny ze zdrojů, které emitují minimum CO2.  </w:t>
      </w:r>
    </w:p>
    <w:p w14:paraId="1D97D05A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Dalším </w:t>
      </w:r>
      <w:r w:rsidRPr="00720299">
        <w:rPr>
          <w:rFonts w:ascii="Arial" w:hAnsi="Arial" w:cs="Arial"/>
        </w:rPr>
        <w:t xml:space="preserve">z uvažovaných řešení je plná elektrifikace spotřeby. Toto řešení je však problematické, jednak kvůli nutnosti výstavby dodatečné přenosové infrastruktury a také protože některé sektory nelze plně elektrifikovat, zvláště teplárenství a části zpracovatelského průmyslu. </w:t>
      </w:r>
      <w:proofErr w:type="spellStart"/>
      <w:r w:rsidRPr="00720299">
        <w:rPr>
          <w:rFonts w:ascii="Arial" w:hAnsi="Arial" w:cs="Arial"/>
        </w:rPr>
        <w:t>Sector-coupling</w:t>
      </w:r>
      <w:proofErr w:type="spellEnd"/>
      <w:r w:rsidRPr="00720299">
        <w:rPr>
          <w:rFonts w:ascii="Arial" w:hAnsi="Arial" w:cs="Arial"/>
        </w:rPr>
        <w:t xml:space="preserve"> jako takový nabízí alternativu tomuto řešení, jelikož umožňuje existenci hybridního systému s využitím  elektřiny a  kombinací  obnovitelných/ </w:t>
      </w:r>
      <w:proofErr w:type="spellStart"/>
      <w:r w:rsidRPr="00720299">
        <w:rPr>
          <w:rFonts w:ascii="Arial" w:hAnsi="Arial" w:cs="Arial"/>
        </w:rPr>
        <w:t>nízkoemisních</w:t>
      </w:r>
      <w:proofErr w:type="spellEnd"/>
      <w:r w:rsidRPr="00720299">
        <w:rPr>
          <w:rFonts w:ascii="Arial" w:hAnsi="Arial" w:cs="Arial"/>
        </w:rPr>
        <w:t xml:space="preserve"> plynů. </w:t>
      </w:r>
      <w:proofErr w:type="spellStart"/>
      <w:r w:rsidRPr="00720299">
        <w:rPr>
          <w:rFonts w:ascii="Arial" w:hAnsi="Arial" w:cs="Arial"/>
        </w:rPr>
        <w:t>Sector-coupling</w:t>
      </w:r>
      <w:proofErr w:type="spellEnd"/>
      <w:r w:rsidRPr="00720299">
        <w:rPr>
          <w:rFonts w:ascii="Arial" w:hAnsi="Arial" w:cs="Arial"/>
        </w:rPr>
        <w:t xml:space="preserve"> proto umožni vyřešit několik problémů energetického sektoru:</w:t>
      </w:r>
      <w:r w:rsidRPr="00720299">
        <w:rPr>
          <w:rFonts w:ascii="Arial" w:hAnsi="Arial" w:cs="Arial"/>
          <w:i/>
        </w:rPr>
        <w:t xml:space="preserve"> </w:t>
      </w:r>
      <w:proofErr w:type="spellStart"/>
      <w:r w:rsidRPr="00720299">
        <w:rPr>
          <w:rFonts w:ascii="Arial" w:hAnsi="Arial" w:cs="Arial"/>
        </w:rPr>
        <w:t>power</w:t>
      </w:r>
      <w:proofErr w:type="spellEnd"/>
      <w:r w:rsidRPr="00720299">
        <w:rPr>
          <w:rFonts w:ascii="Arial" w:hAnsi="Arial" w:cs="Arial"/>
        </w:rPr>
        <w:t xml:space="preserve"> to </w:t>
      </w:r>
      <w:proofErr w:type="spellStart"/>
      <w:r w:rsidRPr="00720299">
        <w:rPr>
          <w:rFonts w:ascii="Arial" w:hAnsi="Arial" w:cs="Arial"/>
        </w:rPr>
        <w:t>gas</w:t>
      </w:r>
      <w:proofErr w:type="spellEnd"/>
      <w:r w:rsidRPr="00720299">
        <w:rPr>
          <w:rFonts w:ascii="Arial" w:hAnsi="Arial" w:cs="Arial"/>
        </w:rPr>
        <w:t xml:space="preserve"> (P2G) technologie umožní uskladňovat větší množství energie ve formě plynných paliv, v současnosti skladování elektřiny v takovýchto objemech není možné;</w:t>
      </w:r>
      <w:r w:rsidRPr="00720299">
        <w:rPr>
          <w:rFonts w:ascii="Arial" w:hAnsi="Arial" w:cs="Arial"/>
          <w:i/>
        </w:rPr>
        <w:t xml:space="preserve"> </w:t>
      </w:r>
      <w:r w:rsidRPr="00720299">
        <w:rPr>
          <w:rFonts w:ascii="Arial" w:hAnsi="Arial" w:cs="Arial"/>
        </w:rPr>
        <w:t>celkové náklady na přechod k </w:t>
      </w:r>
      <w:proofErr w:type="spellStart"/>
      <w:r w:rsidRPr="00720299">
        <w:rPr>
          <w:rFonts w:ascii="Arial" w:hAnsi="Arial" w:cs="Arial"/>
        </w:rPr>
        <w:t>nízkoemisní</w:t>
      </w:r>
      <w:proofErr w:type="spellEnd"/>
      <w:r w:rsidRPr="00720299">
        <w:rPr>
          <w:rFonts w:ascii="Arial" w:hAnsi="Arial" w:cs="Arial"/>
        </w:rPr>
        <w:t xml:space="preserve"> energetice budou podstatně nižší, jelikož dojde k využívání stávající plynárenské infrastruktury a nebude nutné tolik investovat do výstavby přenosových sítí;  dojde k efektivnějšímu využití a většímu rozvoji OZE, které nebudou limitovány možnostmi přenosové soustavy při přepravě elektřiny na větší vzdálenosti.</w:t>
      </w:r>
    </w:p>
    <w:p w14:paraId="6420D72C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/>
        </w:rPr>
      </w:pPr>
      <w:r w:rsidRPr="00720299">
        <w:rPr>
          <w:rFonts w:ascii="Arial" w:hAnsi="Arial" w:cs="Arial"/>
          <w:bCs/>
        </w:rPr>
        <w:t>Využití inteligentních prvků a jejich skupin v distribučních sítích dále přispěje k rozšíření intermitentních zdrojů OZE a zdrojů s nízkými emisemi. Inteligentní měřicí systémy také monitorují toky a napomáhají optimalizaci spotřeby energie. U distribučních soustav budou rovněž nově připojována zařízení pro ukládání energie, která umožní optimální distribuci elektrické energie s ohledem na vlastnosti OZE. S ohledem na výše uvedené bude významným faktorem rozvoj</w:t>
      </w:r>
      <w:r>
        <w:rPr>
          <w:rFonts w:ascii="Arial" w:hAnsi="Arial" w:cs="Arial"/>
          <w:bCs/>
        </w:rPr>
        <w:t>e</w:t>
      </w:r>
      <w:r w:rsidRPr="00720299">
        <w:rPr>
          <w:rFonts w:ascii="Arial" w:hAnsi="Arial" w:cs="Arial"/>
          <w:bCs/>
        </w:rPr>
        <w:t xml:space="preserve"> odezva strany poptávky, do které se zákazníci budou moci aktivně zapojit díky prostředí vytvořenému inteligentními sítěmi.</w:t>
      </w:r>
    </w:p>
    <w:p w14:paraId="5AEBA1F4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  <w:bCs/>
        </w:rPr>
        <w:t>Realizace intervencí by rovněž měla zajistit udržení plynulosti a spolehlivosti dodávek energie v nepříznivých povětrnostních podmínkách způsobených klimatickou změnou, vyšší účast zákazníků na trhu s elektřinou, optimalizaci chování zákazníků z hlediska provozu energetické soustavy díky lepší informovanosti a včasnému poskytnutí potřebných dat o spotřebě a o chování soustavy.</w:t>
      </w:r>
    </w:p>
    <w:p w14:paraId="1CB0E7DB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</w:rPr>
        <w:lastRenderedPageBreak/>
        <w:t>V případě plynárenských soustav by mělo dojít ke s</w:t>
      </w:r>
      <w:r w:rsidRPr="00720299">
        <w:rPr>
          <w:rFonts w:ascii="Arial" w:hAnsi="Arial" w:cs="Arial"/>
          <w:bCs/>
        </w:rPr>
        <w:t xml:space="preserve">plnění závazků ČR, jako signatáře Pařížské dohody z roku 2015, resp. splnění závazků ČR vůči emisním cílům v roce 2030. Dále také </w:t>
      </w:r>
      <w:r w:rsidRPr="00720299">
        <w:rPr>
          <w:rFonts w:ascii="Arial" w:hAnsi="Arial" w:cs="Arial"/>
        </w:rPr>
        <w:t xml:space="preserve">naplnění energeticko-klimatických cílů dle deklarace na </w:t>
      </w:r>
      <w:r w:rsidRPr="00720299">
        <w:rPr>
          <w:rFonts w:ascii="Arial" w:hAnsi="Arial" w:cs="Arial"/>
          <w:bCs/>
        </w:rPr>
        <w:t>udržitelnou a inteligentní plynárenskou infrastrukturu pro Evropu či možnost vyrábět a uskladňovat větší množství energie ve formě bez- /nízko-</w:t>
      </w:r>
      <w:proofErr w:type="spellStart"/>
      <w:r w:rsidRPr="00720299">
        <w:rPr>
          <w:rFonts w:ascii="Arial" w:hAnsi="Arial" w:cs="Arial"/>
          <w:bCs/>
        </w:rPr>
        <w:t>emisníplynných</w:t>
      </w:r>
      <w:proofErr w:type="spellEnd"/>
      <w:r w:rsidRPr="00720299">
        <w:rPr>
          <w:rFonts w:ascii="Arial" w:hAnsi="Arial" w:cs="Arial"/>
          <w:bCs/>
        </w:rPr>
        <w:t xml:space="preserve"> paliv a dále finanční úspory a nižší celkové náklady na přechod k </w:t>
      </w:r>
      <w:proofErr w:type="spellStart"/>
      <w:r w:rsidRPr="00720299">
        <w:rPr>
          <w:rFonts w:ascii="Arial" w:hAnsi="Arial" w:cs="Arial"/>
          <w:bCs/>
        </w:rPr>
        <w:t>nízkoemisní</w:t>
      </w:r>
      <w:proofErr w:type="spellEnd"/>
      <w:r w:rsidRPr="00720299">
        <w:rPr>
          <w:rFonts w:ascii="Arial" w:hAnsi="Arial" w:cs="Arial"/>
          <w:bCs/>
        </w:rPr>
        <w:t xml:space="preserve"> energetice či vyšší účast zákazníků na trhu s plynem.</w:t>
      </w:r>
    </w:p>
    <w:p w14:paraId="1DFAC925" w14:textId="77777777" w:rsidR="00CF7EE0" w:rsidRDefault="00CF7EE0" w:rsidP="000727C1">
      <w:pPr>
        <w:spacing w:after="120" w:line="264" w:lineRule="auto"/>
        <w:jc w:val="both"/>
        <w:rPr>
          <w:rFonts w:ascii="Arial" w:hAnsi="Arial" w:cs="Arial"/>
        </w:rPr>
      </w:pPr>
    </w:p>
    <w:p w14:paraId="0834FC42" w14:textId="77777777" w:rsidR="00784077" w:rsidRPr="00720299" w:rsidRDefault="00784077" w:rsidP="00784077">
      <w:pPr>
        <w:spacing w:after="120" w:line="264" w:lineRule="auto"/>
        <w:rPr>
          <w:rFonts w:ascii="Arial" w:hAnsi="Arial" w:cs="Arial"/>
          <w:b/>
          <w:i/>
          <w:iCs/>
        </w:rPr>
      </w:pPr>
      <w:r w:rsidRPr="000727C1">
        <w:rPr>
          <w:rFonts w:ascii="Arial" w:hAnsi="Arial" w:cs="Arial"/>
          <w:b/>
        </w:rPr>
        <w:t>Hlavní cílová skupina</w:t>
      </w:r>
      <w:r>
        <w:rPr>
          <w:rFonts w:ascii="Arial" w:hAnsi="Arial" w:cs="Arial"/>
          <w:b/>
          <w:i/>
          <w:iCs/>
        </w:rPr>
        <w:t>:</w:t>
      </w:r>
    </w:p>
    <w:p w14:paraId="3AC52CE7" w14:textId="77777777" w:rsidR="00A36D96" w:rsidRPr="00720299" w:rsidRDefault="00A36D96" w:rsidP="00A36D96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  <w:color w:val="000000"/>
        </w:rPr>
        <w:t xml:space="preserve">Cílovými skupinami jsou primárně </w:t>
      </w:r>
      <w:r w:rsidRPr="00720299">
        <w:rPr>
          <w:rFonts w:ascii="Arial" w:hAnsi="Arial" w:cs="Arial"/>
          <w:bCs/>
        </w:rPr>
        <w:t xml:space="preserve">podnikatelské subjekty - provozovatelé energetických distribučních a přenosových soustav, kteří se hodlají soustředit na modernizaci a rozvoj jimi provozovaných energetických soustav, resp. podnikatelské plynárenské subjekty v ČR, tzn. </w:t>
      </w:r>
      <w:r w:rsidRPr="00720299">
        <w:rPr>
          <w:rFonts w:ascii="Arial" w:hAnsi="Arial" w:cs="Arial"/>
        </w:rPr>
        <w:t>držitelé licencí na přenos a distribuci elektřiny, přepravu</w:t>
      </w:r>
      <w:r>
        <w:rPr>
          <w:rFonts w:ascii="Arial" w:hAnsi="Arial" w:cs="Arial"/>
        </w:rPr>
        <w:t xml:space="preserve">, </w:t>
      </w:r>
      <w:r w:rsidRPr="00720299">
        <w:rPr>
          <w:rFonts w:ascii="Arial" w:hAnsi="Arial" w:cs="Arial"/>
        </w:rPr>
        <w:t xml:space="preserve">distribuci </w:t>
      </w:r>
      <w:r>
        <w:rPr>
          <w:rFonts w:ascii="Arial" w:hAnsi="Arial" w:cs="Arial"/>
        </w:rPr>
        <w:t xml:space="preserve">a uskladňování </w:t>
      </w:r>
      <w:r w:rsidRPr="00720299">
        <w:rPr>
          <w:rFonts w:ascii="Arial" w:hAnsi="Arial" w:cs="Arial"/>
        </w:rPr>
        <w:t>plynu</w:t>
      </w:r>
      <w:r>
        <w:rPr>
          <w:rFonts w:ascii="Arial" w:hAnsi="Arial" w:cs="Arial"/>
        </w:rPr>
        <w:t xml:space="preserve"> vč. výroben alternativních plynů z OZE</w:t>
      </w:r>
      <w:r w:rsidRPr="00720299">
        <w:rPr>
          <w:rFonts w:ascii="Arial" w:hAnsi="Arial" w:cs="Arial"/>
        </w:rPr>
        <w:t>. Cílovou skupinou jsou však rovněž všechna odběrná místa elektřiny a plynu v ČR. Přínosy realizovaných projektů v oblasti elektrizační soustavy se dotýkají všech obyvatel ČR, jelikož současná společnost již není schopna existovat bez zásadních dopadů dlouhodobého přerušení dodávek elektrické energie. V případě přímého využití plynové infrastruktury má dopad regionální charakter, v případě využití plynu pro výrobu elektřiny platí současně výše uvedené.</w:t>
      </w:r>
      <w:r w:rsidRPr="00720299">
        <w:rPr>
          <w:rFonts w:ascii="Arial" w:hAnsi="Arial" w:cs="Arial"/>
          <w:bCs/>
        </w:rPr>
        <w:t xml:space="preserve"> </w:t>
      </w:r>
    </w:p>
    <w:p w14:paraId="072EE8BB" w14:textId="77777777" w:rsidR="00784077" w:rsidRPr="00B03597" w:rsidRDefault="00784077" w:rsidP="0078407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Cílové území</w:t>
      </w:r>
      <w:r w:rsidRPr="00B03597">
        <w:rPr>
          <w:rFonts w:ascii="Arial" w:hAnsi="Arial" w:cs="Arial"/>
        </w:rPr>
        <w:t xml:space="preserve">: </w:t>
      </w:r>
    </w:p>
    <w:p w14:paraId="5EF8BB1B" w14:textId="39586A04" w:rsidR="00784077" w:rsidRPr="00F401CA" w:rsidRDefault="00F401CA" w:rsidP="00176367">
      <w:pPr>
        <w:rPr>
          <w:rFonts w:ascii="Arial" w:hAnsi="Arial" w:cs="Arial"/>
          <w:bCs/>
        </w:rPr>
      </w:pPr>
      <w:r w:rsidRPr="00F401CA">
        <w:rPr>
          <w:rFonts w:ascii="Arial" w:hAnsi="Arial" w:cs="Arial"/>
          <w:bCs/>
        </w:rPr>
        <w:t>Území České republiky, mimo hl.</w:t>
      </w:r>
      <w:r w:rsidR="00A36D96">
        <w:rPr>
          <w:rFonts w:ascii="Arial" w:hAnsi="Arial" w:cs="Arial"/>
          <w:bCs/>
        </w:rPr>
        <w:t xml:space="preserve"> </w:t>
      </w:r>
      <w:r w:rsidRPr="00F401CA">
        <w:rPr>
          <w:rFonts w:ascii="Arial" w:hAnsi="Arial" w:cs="Arial"/>
          <w:bCs/>
        </w:rPr>
        <w:t>města Prahy.</w:t>
      </w:r>
    </w:p>
    <w:p w14:paraId="3D402B1D" w14:textId="77777777" w:rsidR="00784077" w:rsidRPr="00B03597" w:rsidRDefault="00784077" w:rsidP="00784077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  <w:b/>
        </w:rPr>
        <w:t>Typy příjemců</w:t>
      </w:r>
      <w:r w:rsidRPr="00B03597">
        <w:rPr>
          <w:rFonts w:ascii="Arial" w:hAnsi="Arial" w:cs="Arial"/>
        </w:rPr>
        <w:t>:</w:t>
      </w:r>
    </w:p>
    <w:p w14:paraId="2AB0A680" w14:textId="77777777" w:rsidR="00F401CA" w:rsidRDefault="00F401CA" w:rsidP="00F401CA">
      <w:pPr>
        <w:spacing w:after="120" w:line="264" w:lineRule="auto"/>
        <w:jc w:val="both"/>
        <w:rPr>
          <w:rFonts w:ascii="Arial" w:hAnsi="Arial" w:cs="Arial"/>
        </w:rPr>
      </w:pPr>
      <w:r w:rsidRPr="00B03597">
        <w:rPr>
          <w:rFonts w:ascii="Arial" w:hAnsi="Arial" w:cs="Arial"/>
        </w:rPr>
        <w:t>Podnikatelské subjekty (MSP a případně velké podniky).</w:t>
      </w:r>
    </w:p>
    <w:p w14:paraId="10EF0930" w14:textId="77777777" w:rsidR="00784077" w:rsidRDefault="00784077" w:rsidP="00176367">
      <w:pPr>
        <w:rPr>
          <w:rFonts w:ascii="Calibri" w:hAnsi="Calibri" w:cs="Calibri"/>
          <w:color w:val="000000"/>
          <w:lang w:eastAsia="cs-CZ"/>
        </w:rPr>
      </w:pPr>
    </w:p>
    <w:p w14:paraId="2DA31352" w14:textId="77777777" w:rsidR="00784077" w:rsidRPr="006B4595" w:rsidRDefault="00784077" w:rsidP="00176367">
      <w:pPr>
        <w:rPr>
          <w:rFonts w:ascii="Calibri" w:hAnsi="Calibri" w:cs="Calibri"/>
          <w:color w:val="000000"/>
          <w:lang w:eastAsia="cs-CZ"/>
        </w:rPr>
      </w:pPr>
    </w:p>
    <w:p w14:paraId="6727CEDE" w14:textId="77777777" w:rsidR="00883BE2" w:rsidRPr="006B4595" w:rsidRDefault="00883BE2" w:rsidP="00176367">
      <w:pPr>
        <w:rPr>
          <w:rFonts w:ascii="Calibri" w:hAnsi="Calibri" w:cs="Calibri"/>
          <w:color w:val="000000"/>
          <w:lang w:eastAsia="cs-CZ"/>
        </w:rPr>
      </w:pPr>
    </w:p>
    <w:p w14:paraId="7D380C3C" w14:textId="77777777" w:rsidR="00883BE2" w:rsidRPr="006B4595" w:rsidRDefault="00883BE2" w:rsidP="00176367">
      <w:pPr>
        <w:rPr>
          <w:rFonts w:ascii="Calibri" w:hAnsi="Calibri" w:cs="Calibri"/>
          <w:color w:val="000000"/>
          <w:lang w:eastAsia="cs-CZ"/>
        </w:rPr>
      </w:pPr>
    </w:p>
    <w:p w14:paraId="6A3A6815" w14:textId="77777777" w:rsidR="00883BE2" w:rsidRDefault="00883BE2" w:rsidP="00176367">
      <w:pPr>
        <w:rPr>
          <w:rFonts w:ascii="Calibri" w:hAnsi="Calibri" w:cs="Calibri"/>
          <w:color w:val="000000"/>
          <w:lang w:eastAsia="cs-CZ"/>
        </w:rPr>
      </w:pPr>
    </w:p>
    <w:p w14:paraId="2050677C" w14:textId="77777777" w:rsidR="00457FE9" w:rsidRPr="006B4595" w:rsidRDefault="00457FE9" w:rsidP="00176367">
      <w:pPr>
        <w:rPr>
          <w:rFonts w:ascii="Calibri" w:hAnsi="Calibri" w:cs="Calibri"/>
          <w:color w:val="000000"/>
          <w:lang w:eastAsia="cs-CZ"/>
        </w:rPr>
      </w:pPr>
    </w:p>
    <w:p w14:paraId="3AF22FE1" w14:textId="77777777" w:rsidR="00727F98" w:rsidRDefault="00727F98" w:rsidP="00EA5FE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C39D77D" w14:textId="77777777" w:rsidR="00B11CF0" w:rsidRDefault="00B11CF0" w:rsidP="00176367">
      <w:pPr>
        <w:rPr>
          <w:rFonts w:ascii="Calibri" w:hAnsi="Calibri" w:cs="Calibri"/>
          <w:color w:val="000000"/>
          <w:lang w:eastAsia="cs-CZ"/>
        </w:rPr>
      </w:pPr>
    </w:p>
    <w:p w14:paraId="085F530C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4C01A569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763393DE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33BCACFA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6844BA13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2FA36124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29D26DAF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08C6909E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4C26B8AA" w14:textId="77777777" w:rsidR="00D73DF3" w:rsidRPr="00D73DF3" w:rsidRDefault="00D73DF3" w:rsidP="00D73DF3">
      <w:pPr>
        <w:pStyle w:val="Default"/>
        <w:adjustRightInd/>
        <w:jc w:val="both"/>
        <w:rPr>
          <w:b/>
          <w:i/>
          <w:color w:val="auto"/>
          <w:sz w:val="28"/>
          <w:szCs w:val="28"/>
        </w:rPr>
      </w:pPr>
      <w:r w:rsidRPr="00D73DF3">
        <w:rPr>
          <w:b/>
          <w:i/>
          <w:color w:val="auto"/>
          <w:sz w:val="28"/>
          <w:szCs w:val="28"/>
        </w:rPr>
        <w:t>SC 3.4 Posílení biologické rozmanitosti, zelené infrastruktury v městském prostředí a snížení znečištění</w:t>
      </w:r>
    </w:p>
    <w:p w14:paraId="44A6C029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p w14:paraId="60973F06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eastAsiaTheme="majorEastAsia" w:hAnsi="Arial" w:cs="Arial"/>
        </w:rPr>
        <w:t xml:space="preserve">Rostoucí mobilitou dochází ke zvýšenému pohybu lidí, zboží, ale s tím také souvisí rostoucí environmentální zátěž s dopady na klimatické změny, které začínají zásadně ovlivňovat jak podmínky společnosti, tak i celého životního ekosystému. </w:t>
      </w:r>
      <w:r w:rsidRPr="00720299">
        <w:rPr>
          <w:rFonts w:ascii="Arial" w:hAnsi="Arial" w:cs="Arial"/>
        </w:rPr>
        <w:t>Je potřeba snižovat závislost na fosilních palivech a částečně je nahrazovat obnovitelnými zdroji energie, což je klíčové z hlediska potřeby snižovat produkci emisí  CO</w:t>
      </w:r>
      <w:r w:rsidRPr="00720299">
        <w:rPr>
          <w:rFonts w:ascii="Arial" w:hAnsi="Arial" w:cs="Arial"/>
          <w:vertAlign w:val="subscript"/>
        </w:rPr>
        <w:t xml:space="preserve">2 </w:t>
      </w:r>
      <w:r w:rsidRPr="00720299">
        <w:rPr>
          <w:rFonts w:ascii="Arial" w:hAnsi="Arial" w:cs="Arial"/>
        </w:rPr>
        <w:t>a</w:t>
      </w:r>
      <w:r w:rsidRPr="00720299">
        <w:rPr>
          <w:rFonts w:ascii="Arial" w:hAnsi="Arial" w:cs="Arial"/>
          <w:vertAlign w:val="subscript"/>
        </w:rPr>
        <w:t xml:space="preserve"> </w:t>
      </w:r>
      <w:r w:rsidRPr="00720299">
        <w:rPr>
          <w:rFonts w:ascii="Arial" w:hAnsi="Arial" w:cs="Arial"/>
        </w:rPr>
        <w:t>znečišťujících látek z dopravy stejně jako hluku z dopravy s ohledem na nutnost naplňovat závazky ČR ve vztahu k Pařížské dohodě o změn</w:t>
      </w:r>
      <w:r>
        <w:rPr>
          <w:rFonts w:ascii="Arial" w:hAnsi="Arial" w:cs="Arial"/>
        </w:rPr>
        <w:t>ě</w:t>
      </w:r>
      <w:r w:rsidRPr="00720299">
        <w:rPr>
          <w:rFonts w:ascii="Arial" w:hAnsi="Arial" w:cs="Arial"/>
        </w:rPr>
        <w:t xml:space="preserve"> klimatu. N</w:t>
      </w:r>
      <w:r w:rsidRPr="00720299">
        <w:rPr>
          <w:rFonts w:ascii="Arial" w:hAnsi="Arial" w:cs="Arial"/>
          <w:bCs/>
        </w:rPr>
        <w:t>utnost pro výrobce splnit emisní cíle CO</w:t>
      </w:r>
      <w:r w:rsidRPr="00720299">
        <w:rPr>
          <w:rFonts w:ascii="Arial" w:hAnsi="Arial" w:cs="Arial"/>
          <w:bCs/>
          <w:vertAlign w:val="subscript"/>
        </w:rPr>
        <w:t>2</w:t>
      </w:r>
      <w:r w:rsidRPr="00720299">
        <w:rPr>
          <w:rFonts w:ascii="Arial" w:hAnsi="Arial" w:cs="Arial"/>
          <w:bCs/>
        </w:rPr>
        <w:t xml:space="preserve"> u osobních a lehkých užitkových vozidel po roce 2020, od roku 2025 rovněž pro výrobce těžkých užitkových vozidel</w:t>
      </w:r>
      <w:r w:rsidRPr="00720299">
        <w:rPr>
          <w:rFonts w:ascii="Arial" w:hAnsi="Arial" w:cs="Arial"/>
        </w:rPr>
        <w:t xml:space="preserve">. Rovněž </w:t>
      </w:r>
      <w:r w:rsidRPr="00720299">
        <w:rPr>
          <w:rFonts w:ascii="Arial" w:hAnsi="Arial" w:cs="Arial"/>
          <w:bCs/>
        </w:rPr>
        <w:t>splnit závazek ČR v oblasti povinného podílu obnovitelných zdrojů energie v dopravě. Z</w:t>
      </w:r>
      <w:r w:rsidRPr="00720299">
        <w:rPr>
          <w:rFonts w:ascii="Arial" w:hAnsi="Arial" w:cs="Arial"/>
        </w:rPr>
        <w:t>avádění dopravy na alternativní paliva je v ČR v</w:t>
      </w:r>
      <w:r>
        <w:rPr>
          <w:rFonts w:ascii="Arial" w:hAnsi="Arial" w:cs="Arial"/>
        </w:rPr>
        <w:t> </w:t>
      </w:r>
      <w:r w:rsidRPr="00720299">
        <w:rPr>
          <w:rFonts w:ascii="Arial" w:hAnsi="Arial" w:cs="Arial"/>
        </w:rPr>
        <w:t>počátcích</w:t>
      </w:r>
      <w:r>
        <w:rPr>
          <w:rFonts w:ascii="Arial" w:hAnsi="Arial" w:cs="Arial"/>
        </w:rPr>
        <w:t xml:space="preserve"> a tak se b</w:t>
      </w:r>
      <w:r w:rsidRPr="00720299">
        <w:rPr>
          <w:rFonts w:ascii="Arial" w:hAnsi="Arial" w:cs="Arial"/>
        </w:rPr>
        <w:t>ez podpory ve</w:t>
      </w:r>
      <w:r>
        <w:rPr>
          <w:rFonts w:ascii="Arial" w:hAnsi="Arial" w:cs="Arial"/>
        </w:rPr>
        <w:t>řejných finančních prostředků</w:t>
      </w:r>
      <w:r w:rsidRPr="00720299">
        <w:rPr>
          <w:rFonts w:ascii="Arial" w:hAnsi="Arial" w:cs="Arial"/>
        </w:rPr>
        <w:t xml:space="preserve"> její rozvoj prozatím neobejde.</w:t>
      </w:r>
    </w:p>
    <w:p w14:paraId="2559A964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  <w:b/>
          <w:i/>
          <w:iCs/>
        </w:rPr>
      </w:pPr>
      <w:r w:rsidRPr="00720299">
        <w:rPr>
          <w:rFonts w:ascii="Arial" w:hAnsi="Arial" w:cs="Arial"/>
        </w:rPr>
        <w:t xml:space="preserve">V současné době 75 % nových vozidel si pořizují podnikatelé. Vzhledem k tomu, že podnikatelé kupují přes 90 % vozidel na alternativní pohon v ČR, mělo by dojít k naplnění cílů NAP CM. Bez dotační podpory by podnikatelé v daleko menší míře pořizovali vozidla na alternativní pohon. V České republice se nepodařilo prosadit zdanění vozidel, a tudíž nejsou poskytovány žádné významné stimuly pro pořizování si těchto vozidel. Firmy si pořizují většinou vozidla na leasing a každých 4 až 5 let je obměňují. Zároveň se na </w:t>
      </w:r>
      <w:proofErr w:type="spellStart"/>
      <w:r w:rsidRPr="00720299">
        <w:rPr>
          <w:rFonts w:ascii="Arial" w:hAnsi="Arial" w:cs="Arial"/>
        </w:rPr>
        <w:t>aftermarket</w:t>
      </w:r>
      <w:proofErr w:type="spellEnd"/>
      <w:r w:rsidRPr="00720299">
        <w:rPr>
          <w:rFonts w:ascii="Arial" w:hAnsi="Arial" w:cs="Arial"/>
        </w:rPr>
        <w:t xml:space="preserve"> dostanou ojetá vozidla na alternativní pohon pro fyzické osoby a dojde k rozšíření současného vozového parku těchto vozidel. Z hlediska TCO zatím vychází pro firmy výhodnější si pořizovat vozidla s klasickým spalovacím motorem. </w:t>
      </w:r>
    </w:p>
    <w:p w14:paraId="7BC41D7E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V rámci tohoto specifického cíle tak budou podporovány zejména následující aktivity:</w:t>
      </w:r>
    </w:p>
    <w:p w14:paraId="2DAC6582" w14:textId="77777777" w:rsidR="00D73DF3" w:rsidRPr="00720299" w:rsidRDefault="00D73DF3" w:rsidP="00D73DF3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  <w:bCs/>
        </w:rPr>
        <w:t>nákup vozidel na alternativní pohon (elektřina, vodík, CNG a LNG) v podnicích, přičemž se jedná o tyto podporované kategorie silničních vozidel - L6e a L7e (čtyřkolky), M1 (osobní), M2 a M3 do 7,5t (minibus), N1 a N2 a N3 (nákladní)</w:t>
      </w:r>
      <w:r>
        <w:rPr>
          <w:rFonts w:ascii="Arial" w:hAnsi="Arial" w:cs="Arial"/>
          <w:bCs/>
        </w:rPr>
        <w:t>;</w:t>
      </w:r>
    </w:p>
    <w:p w14:paraId="49BEF415" w14:textId="77777777" w:rsidR="00D73DF3" w:rsidRPr="00720299" w:rsidRDefault="00D73DF3" w:rsidP="00D73DF3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  <w:bCs/>
        </w:rPr>
        <w:t>budování dobíjecích a plnících stanic v</w:t>
      </w:r>
      <w:r>
        <w:rPr>
          <w:rFonts w:ascii="Arial" w:hAnsi="Arial" w:cs="Arial"/>
          <w:bCs/>
        </w:rPr>
        <w:t> </w:t>
      </w:r>
      <w:r w:rsidRPr="00720299">
        <w:rPr>
          <w:rFonts w:ascii="Arial" w:hAnsi="Arial" w:cs="Arial"/>
          <w:bCs/>
        </w:rPr>
        <w:t>podnicích</w:t>
      </w:r>
      <w:r>
        <w:rPr>
          <w:rFonts w:ascii="Arial" w:hAnsi="Arial" w:cs="Arial"/>
          <w:bCs/>
        </w:rPr>
        <w:t>;</w:t>
      </w:r>
    </w:p>
    <w:p w14:paraId="3DA6AAE3" w14:textId="77777777" w:rsidR="00D73DF3" w:rsidRPr="00720299" w:rsidRDefault="00D73DF3" w:rsidP="00D73DF3">
      <w:pPr>
        <w:pStyle w:val="Odstavecseseznamem"/>
        <w:numPr>
          <w:ilvl w:val="0"/>
          <w:numId w:val="29"/>
        </w:numPr>
        <w:spacing w:after="120" w:line="264" w:lineRule="auto"/>
        <w:contextualSpacing w:val="0"/>
        <w:jc w:val="both"/>
        <w:rPr>
          <w:rFonts w:ascii="Arial" w:hAnsi="Arial" w:cs="Arial"/>
          <w:bCs/>
        </w:rPr>
      </w:pPr>
      <w:r w:rsidRPr="00720299">
        <w:rPr>
          <w:rFonts w:ascii="Arial" w:hAnsi="Arial" w:cs="Arial"/>
          <w:bCs/>
        </w:rPr>
        <w:t>zkapalňovací stanice LNG.</w:t>
      </w:r>
    </w:p>
    <w:p w14:paraId="3DF69776" w14:textId="77777777" w:rsidR="00D73DF3" w:rsidRDefault="00D73DF3" w:rsidP="00D73DF3">
      <w:pPr>
        <w:spacing w:after="120" w:line="264" w:lineRule="auto"/>
        <w:jc w:val="both"/>
        <w:rPr>
          <w:rFonts w:ascii="Arial" w:hAnsi="Arial" w:cs="Arial"/>
          <w:iCs/>
        </w:rPr>
      </w:pPr>
    </w:p>
    <w:p w14:paraId="381D7145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  <w:b/>
        </w:rPr>
      </w:pPr>
      <w:r w:rsidRPr="00720299">
        <w:rPr>
          <w:rFonts w:ascii="Arial" w:hAnsi="Arial" w:cs="Arial"/>
          <w:b/>
        </w:rPr>
        <w:t>Očekávaný příspěvek podporovaných aktivit ke specifickému cíli::</w:t>
      </w:r>
    </w:p>
    <w:p w14:paraId="422B89B9" w14:textId="1B4F67C9" w:rsidR="00D73DF3" w:rsidRPr="00D73DF3" w:rsidRDefault="00D73DF3" w:rsidP="00D73DF3">
      <w:pPr>
        <w:spacing w:after="120" w:line="264" w:lineRule="auto"/>
        <w:jc w:val="both"/>
        <w:rPr>
          <w:rFonts w:ascii="Arial" w:hAnsi="Arial" w:cs="Arial"/>
          <w:bCs/>
        </w:rPr>
      </w:pPr>
      <w:r w:rsidRPr="00720299">
        <w:rPr>
          <w:rFonts w:ascii="Arial" w:eastAsiaTheme="majorEastAsia" w:hAnsi="Arial" w:cs="Arial"/>
        </w:rPr>
        <w:t>Cílem je dosáhnout snížení závislosti dopravy na fosilních palivech a prostřednictvím toho výrazně přispět ke snížení emisí (skleníkových plynů i znečišťujících látek) z dopravy. Za dílčí cíle podpory lze označit jednak rozvoj infrastruktury dobíjecích a plnících stanic a vedle toho pak podporu nákupu vozidel na alternativní paliva. Je však zapotřebí pokračovat i v podpoře zaměřené na zavádění vozidel na alternativní paliva v podnikatelském sektoru. V</w:t>
      </w:r>
      <w:r w:rsidRPr="00720299">
        <w:rPr>
          <w:rFonts w:ascii="Arial" w:hAnsi="Arial" w:cs="Arial"/>
          <w:bCs/>
        </w:rPr>
        <w:t>zhledem k současnému převisu projektů nad alokací, očekáváme, že podnikatelé budou využívat dotace na pořízení elektromobilů a vodík, CNG a LNG. Podnikatelé a firmy budou využívat svoje dobíjecí stanice. Dojde k navýšení počtu elektromobilů v provozu v České rep</w:t>
      </w:r>
      <w:r>
        <w:rPr>
          <w:rFonts w:ascii="Arial" w:hAnsi="Arial" w:cs="Arial"/>
          <w:bCs/>
        </w:rPr>
        <w:t>ublice, snížení emisí v dopravě a</w:t>
      </w:r>
      <w:r w:rsidRPr="00720299">
        <w:rPr>
          <w:rFonts w:ascii="Arial" w:hAnsi="Arial" w:cs="Arial"/>
          <w:bCs/>
        </w:rPr>
        <w:t xml:space="preserve"> rozšíření sítě neveřejných dobíjecích stanic.</w:t>
      </w:r>
    </w:p>
    <w:p w14:paraId="40041150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  <w:b/>
          <w:iCs/>
        </w:rPr>
      </w:pPr>
      <w:r w:rsidRPr="00720299">
        <w:rPr>
          <w:rFonts w:ascii="Arial" w:hAnsi="Arial" w:cs="Arial"/>
          <w:b/>
          <w:iCs/>
        </w:rPr>
        <w:lastRenderedPageBreak/>
        <w:t>Hlavní cílové skupiny</w:t>
      </w:r>
    </w:p>
    <w:p w14:paraId="3DD86756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</w:rPr>
      </w:pPr>
      <w:r w:rsidRPr="00720299">
        <w:rPr>
          <w:rFonts w:ascii="Arial" w:hAnsi="Arial" w:cs="Arial"/>
        </w:rPr>
        <w:t>Cílovou skupinou jsou kromě podnikatelských subjektů všichni občané žijící v místě realizace projektu. Přínosy projektu nelze vztahovat pouze na příjemce podpory, ale na okolí místa realizace projektu, které bude profitovat ze snížení emisí a hluku.</w:t>
      </w:r>
    </w:p>
    <w:p w14:paraId="7BBFB636" w14:textId="77777777" w:rsidR="00D73DF3" w:rsidRPr="00720299" w:rsidRDefault="00D73DF3" w:rsidP="00D73DF3">
      <w:pPr>
        <w:spacing w:after="120" w:line="264" w:lineRule="auto"/>
        <w:jc w:val="both"/>
        <w:rPr>
          <w:rFonts w:ascii="Arial" w:hAnsi="Arial" w:cs="Arial"/>
          <w:b/>
          <w:iCs/>
        </w:rPr>
      </w:pPr>
      <w:r w:rsidRPr="00720299">
        <w:rPr>
          <w:rFonts w:ascii="Arial" w:hAnsi="Arial" w:cs="Arial"/>
          <w:b/>
          <w:iCs/>
        </w:rPr>
        <w:t>Konkrétní cílová území, včetně plánovaného použití územních nástrojů</w:t>
      </w:r>
    </w:p>
    <w:p w14:paraId="04BE2377" w14:textId="77777777" w:rsidR="00D73DF3" w:rsidRDefault="00D73DF3" w:rsidP="00D73DF3">
      <w:pPr>
        <w:spacing w:after="120" w:line="264" w:lineRule="auto"/>
        <w:jc w:val="both"/>
        <w:rPr>
          <w:rFonts w:ascii="Arial" w:hAnsi="Arial" w:cs="Arial"/>
        </w:rPr>
      </w:pPr>
      <w:r w:rsidRPr="002C2B4D">
        <w:rPr>
          <w:rFonts w:ascii="Arial" w:hAnsi="Arial" w:cs="Arial"/>
        </w:rPr>
        <w:t xml:space="preserve">Předpokládáme celé území České republiky, vč. hl. města Prahy. </w:t>
      </w:r>
    </w:p>
    <w:p w14:paraId="0D634ACD" w14:textId="77777777" w:rsidR="00D73DF3" w:rsidRDefault="00D73DF3" w:rsidP="00D73DF3">
      <w:pPr>
        <w:spacing w:after="120" w:line="264" w:lineRule="auto"/>
        <w:jc w:val="both"/>
        <w:rPr>
          <w:rFonts w:ascii="Arial" w:hAnsi="Arial" w:cs="Arial"/>
        </w:rPr>
      </w:pPr>
    </w:p>
    <w:p w14:paraId="35394149" w14:textId="77777777" w:rsidR="00D73DF3" w:rsidRPr="00522617" w:rsidRDefault="00D73DF3" w:rsidP="00D73DF3">
      <w:pPr>
        <w:pStyle w:val="slovanodstavec"/>
        <w:tabs>
          <w:tab w:val="left" w:pos="284"/>
        </w:tabs>
        <w:suppressAutoHyphens/>
        <w:spacing w:after="0"/>
        <w:rPr>
          <w:rFonts w:cs="Arial"/>
          <w:b/>
          <w:color w:val="000000" w:themeColor="text1"/>
          <w:lang w:eastAsia="cs-CZ"/>
        </w:rPr>
      </w:pPr>
      <w:r w:rsidRPr="00522617">
        <w:rPr>
          <w:rFonts w:cs="Arial"/>
          <w:b/>
          <w:color w:val="000000" w:themeColor="text1"/>
          <w:lang w:eastAsia="cs-CZ"/>
        </w:rPr>
        <w:t>Typy příjemců:</w:t>
      </w:r>
    </w:p>
    <w:p w14:paraId="708A6ACD" w14:textId="32842A78" w:rsidR="00D73DF3" w:rsidRPr="009F5FE2" w:rsidRDefault="00D73DF3" w:rsidP="00D73DF3">
      <w:pPr>
        <w:spacing w:after="120" w:line="264" w:lineRule="auto"/>
        <w:jc w:val="both"/>
        <w:rPr>
          <w:rFonts w:ascii="Arial" w:hAnsi="Arial" w:cs="Arial"/>
        </w:rPr>
      </w:pPr>
      <w:r w:rsidRPr="009F5FE2">
        <w:rPr>
          <w:rFonts w:ascii="Arial" w:hAnsi="Arial" w:cs="Arial"/>
        </w:rPr>
        <w:t xml:space="preserve">Podnikatelské subjekty </w:t>
      </w:r>
      <w:r>
        <w:rPr>
          <w:rFonts w:ascii="Arial" w:hAnsi="Arial" w:cs="Arial"/>
          <w:bCs/>
        </w:rPr>
        <w:t>nakupující</w:t>
      </w:r>
      <w:r w:rsidRPr="002C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vozidla</w:t>
      </w:r>
      <w:r w:rsidRPr="002C2B4D">
        <w:rPr>
          <w:rFonts w:ascii="Arial" w:hAnsi="Arial" w:cs="Arial"/>
          <w:bCs/>
        </w:rPr>
        <w:t xml:space="preserve"> na alternativní pohon (elektřina, vodík, CNG a LNG)</w:t>
      </w:r>
      <w:r>
        <w:rPr>
          <w:rFonts w:ascii="Arial" w:hAnsi="Arial" w:cs="Arial"/>
          <w:bCs/>
        </w:rPr>
        <w:t xml:space="preserve">, podniky investující do </w:t>
      </w:r>
      <w:r w:rsidRPr="002C2B4D">
        <w:rPr>
          <w:rFonts w:ascii="Arial" w:hAnsi="Arial" w:cs="Arial"/>
          <w:bCs/>
        </w:rPr>
        <w:t>dobíjecích a plnících stanic</w:t>
      </w:r>
      <w:r>
        <w:rPr>
          <w:rFonts w:ascii="Arial" w:hAnsi="Arial" w:cs="Arial"/>
          <w:bCs/>
        </w:rPr>
        <w:t>.</w:t>
      </w:r>
    </w:p>
    <w:p w14:paraId="09304026" w14:textId="77777777" w:rsidR="00D73DF3" w:rsidRPr="002C2B4D" w:rsidRDefault="00D73DF3" w:rsidP="00D73DF3">
      <w:pPr>
        <w:spacing w:after="120" w:line="264" w:lineRule="auto"/>
        <w:jc w:val="both"/>
        <w:rPr>
          <w:rFonts w:ascii="Arial" w:hAnsi="Arial" w:cs="Arial"/>
        </w:rPr>
      </w:pPr>
    </w:p>
    <w:p w14:paraId="47BD30C0" w14:textId="77777777" w:rsidR="00D73DF3" w:rsidRDefault="00D73DF3" w:rsidP="00176367">
      <w:pPr>
        <w:rPr>
          <w:rFonts w:ascii="Calibri" w:hAnsi="Calibri" w:cs="Calibri"/>
          <w:color w:val="000000"/>
          <w:lang w:eastAsia="cs-CZ"/>
        </w:rPr>
      </w:pPr>
    </w:p>
    <w:sectPr w:rsidR="00D73DF3" w:rsidSect="004C2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511BB" w14:textId="77777777" w:rsidR="00EC0DF5" w:rsidRDefault="00EC0DF5" w:rsidP="003D1499">
      <w:pPr>
        <w:spacing w:after="0" w:line="240" w:lineRule="auto"/>
      </w:pPr>
      <w:r>
        <w:separator/>
      </w:r>
    </w:p>
  </w:endnote>
  <w:endnote w:type="continuationSeparator" w:id="0">
    <w:p w14:paraId="5FBCC6EC" w14:textId="77777777" w:rsidR="00EC0DF5" w:rsidRDefault="00EC0DF5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5084"/>
      <w:docPartObj>
        <w:docPartGallery w:val="Page Numbers (Bottom of Page)"/>
        <w:docPartUnique/>
      </w:docPartObj>
    </w:sdtPr>
    <w:sdtEndPr/>
    <w:sdtContent>
      <w:p w14:paraId="4C5E4865" w14:textId="163764D1" w:rsidR="009B275E" w:rsidRDefault="009B2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EB">
          <w:rPr>
            <w:noProof/>
          </w:rPr>
          <w:t>10</w:t>
        </w:r>
        <w:r>
          <w:fldChar w:fldCharType="end"/>
        </w:r>
        <w:r>
          <w:t>/10</w:t>
        </w:r>
      </w:p>
    </w:sdtContent>
  </w:sdt>
  <w:p w14:paraId="7F7CFD6C" w14:textId="77777777" w:rsidR="00487C45" w:rsidRDefault="00487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C6489" w14:textId="77777777" w:rsidR="00EC0DF5" w:rsidRDefault="00EC0DF5" w:rsidP="003D1499">
      <w:pPr>
        <w:spacing w:after="0" w:line="240" w:lineRule="auto"/>
      </w:pPr>
      <w:r>
        <w:separator/>
      </w:r>
    </w:p>
  </w:footnote>
  <w:footnote w:type="continuationSeparator" w:id="0">
    <w:p w14:paraId="2D1F6B87" w14:textId="77777777" w:rsidR="00EC0DF5" w:rsidRDefault="00EC0DF5" w:rsidP="003D1499">
      <w:pPr>
        <w:spacing w:after="0" w:line="240" w:lineRule="auto"/>
      </w:pPr>
      <w:r>
        <w:continuationSeparator/>
      </w:r>
    </w:p>
  </w:footnote>
  <w:footnote w:id="1">
    <w:p w14:paraId="5419737A" w14:textId="77777777" w:rsidR="00A36D96" w:rsidRPr="00A34A8F" w:rsidRDefault="00A36D96" w:rsidP="00A36D96">
      <w:pPr>
        <w:spacing w:after="12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A34A8F">
        <w:rPr>
          <w:rFonts w:ascii="Arial" w:hAnsi="Arial" w:cs="Arial"/>
          <w:color w:val="000000"/>
          <w:sz w:val="18"/>
          <w:szCs w:val="18"/>
        </w:rPr>
        <w:t xml:space="preserve">Vyjma zdravotnických subjektů vlastněných 100 % veřejným subjektem pověřených Službou obecného hospodářského zájmu (SGEI) od svého zřizovatele.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C8E"/>
    <w:multiLevelType w:val="hybridMultilevel"/>
    <w:tmpl w:val="6C00D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9EB"/>
    <w:multiLevelType w:val="hybridMultilevel"/>
    <w:tmpl w:val="54967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16DE2"/>
    <w:multiLevelType w:val="hybridMultilevel"/>
    <w:tmpl w:val="8DE6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4EF8"/>
    <w:multiLevelType w:val="hybridMultilevel"/>
    <w:tmpl w:val="74BE01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95E2C"/>
    <w:multiLevelType w:val="hybridMultilevel"/>
    <w:tmpl w:val="2B62B1B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4"/>
  </w:num>
  <w:num w:numId="5">
    <w:abstractNumId w:val="24"/>
  </w:num>
  <w:num w:numId="6">
    <w:abstractNumId w:val="2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23"/>
  </w:num>
  <w:num w:numId="14">
    <w:abstractNumId w:val="25"/>
  </w:num>
  <w:num w:numId="15">
    <w:abstractNumId w:val="13"/>
  </w:num>
  <w:num w:numId="16">
    <w:abstractNumId w:val="1"/>
  </w:num>
  <w:num w:numId="17">
    <w:abstractNumId w:val="27"/>
  </w:num>
  <w:num w:numId="18">
    <w:abstractNumId w:val="28"/>
  </w:num>
  <w:num w:numId="19">
    <w:abstractNumId w:val="3"/>
  </w:num>
  <w:num w:numId="20">
    <w:abstractNumId w:val="4"/>
  </w:num>
  <w:num w:numId="21">
    <w:abstractNumId w:val="7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9"/>
  </w:num>
  <w:num w:numId="27">
    <w:abstractNumId w:val="5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3672B"/>
    <w:rsid w:val="000727C1"/>
    <w:rsid w:val="00084D9D"/>
    <w:rsid w:val="00093A06"/>
    <w:rsid w:val="000C3A69"/>
    <w:rsid w:val="000F3416"/>
    <w:rsid w:val="001206DA"/>
    <w:rsid w:val="0013751F"/>
    <w:rsid w:val="00156D1D"/>
    <w:rsid w:val="00176367"/>
    <w:rsid w:val="001D7053"/>
    <w:rsid w:val="00222262"/>
    <w:rsid w:val="00231B6E"/>
    <w:rsid w:val="00247E4B"/>
    <w:rsid w:val="00252C80"/>
    <w:rsid w:val="002C3436"/>
    <w:rsid w:val="003327BA"/>
    <w:rsid w:val="0038420B"/>
    <w:rsid w:val="003B6FF3"/>
    <w:rsid w:val="003D1499"/>
    <w:rsid w:val="003D5B75"/>
    <w:rsid w:val="00412DF5"/>
    <w:rsid w:val="00424757"/>
    <w:rsid w:val="00431C7A"/>
    <w:rsid w:val="00457FE9"/>
    <w:rsid w:val="00487C45"/>
    <w:rsid w:val="00487EFA"/>
    <w:rsid w:val="004A2F42"/>
    <w:rsid w:val="004C2F99"/>
    <w:rsid w:val="00500132"/>
    <w:rsid w:val="00511CD9"/>
    <w:rsid w:val="00517809"/>
    <w:rsid w:val="00521F6D"/>
    <w:rsid w:val="00522617"/>
    <w:rsid w:val="005659D3"/>
    <w:rsid w:val="00581885"/>
    <w:rsid w:val="00631501"/>
    <w:rsid w:val="00634658"/>
    <w:rsid w:val="006B4595"/>
    <w:rsid w:val="00727F98"/>
    <w:rsid w:val="0073655C"/>
    <w:rsid w:val="007456CA"/>
    <w:rsid w:val="00746EEB"/>
    <w:rsid w:val="00756FBE"/>
    <w:rsid w:val="00782499"/>
    <w:rsid w:val="00784077"/>
    <w:rsid w:val="00791091"/>
    <w:rsid w:val="00793425"/>
    <w:rsid w:val="007B5FE6"/>
    <w:rsid w:val="00832441"/>
    <w:rsid w:val="00857C49"/>
    <w:rsid w:val="008651F4"/>
    <w:rsid w:val="00883BE2"/>
    <w:rsid w:val="00886C41"/>
    <w:rsid w:val="008C0A36"/>
    <w:rsid w:val="008C5811"/>
    <w:rsid w:val="008C725F"/>
    <w:rsid w:val="008D7CB7"/>
    <w:rsid w:val="009842F8"/>
    <w:rsid w:val="009B275E"/>
    <w:rsid w:val="009E1185"/>
    <w:rsid w:val="009F6C50"/>
    <w:rsid w:val="00A0193F"/>
    <w:rsid w:val="00A36D96"/>
    <w:rsid w:val="00AC4247"/>
    <w:rsid w:val="00B03597"/>
    <w:rsid w:val="00B11CF0"/>
    <w:rsid w:val="00B128FF"/>
    <w:rsid w:val="00B838E4"/>
    <w:rsid w:val="00C05BF7"/>
    <w:rsid w:val="00C31B7C"/>
    <w:rsid w:val="00C364C5"/>
    <w:rsid w:val="00C406DE"/>
    <w:rsid w:val="00CA7FBF"/>
    <w:rsid w:val="00CC78E2"/>
    <w:rsid w:val="00CF7EE0"/>
    <w:rsid w:val="00D25826"/>
    <w:rsid w:val="00D3153F"/>
    <w:rsid w:val="00D34CDE"/>
    <w:rsid w:val="00D73DF3"/>
    <w:rsid w:val="00E0249F"/>
    <w:rsid w:val="00E33615"/>
    <w:rsid w:val="00E42DA5"/>
    <w:rsid w:val="00E652E6"/>
    <w:rsid w:val="00EA5FEC"/>
    <w:rsid w:val="00EC0DF5"/>
    <w:rsid w:val="00EC54C6"/>
    <w:rsid w:val="00F401CA"/>
    <w:rsid w:val="00F555CB"/>
    <w:rsid w:val="00F82AB1"/>
    <w:rsid w:val="00F954F2"/>
    <w:rsid w:val="00FA1F29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link w:val="stylishCar"/>
    <w:uiPriority w:val="99"/>
    <w:unhideWhenUsed/>
    <w:qFormat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45"/>
  </w:style>
  <w:style w:type="paragraph" w:styleId="Zpat">
    <w:name w:val="footer"/>
    <w:basedOn w:val="Normln"/>
    <w:link w:val="Zpat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45"/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A36D96"/>
    <w:pPr>
      <w:spacing w:after="160"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6B036AFD.dotm</Template>
  <TotalTime>36</TotalTime>
  <Pages>10</Pages>
  <Words>3270</Words>
  <Characters>19299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Palos</dc:creator>
  <cp:lastModifiedBy>Števík David</cp:lastModifiedBy>
  <cp:revision>21</cp:revision>
  <cp:lastPrinted>2020-03-12T13:14:00Z</cp:lastPrinted>
  <dcterms:created xsi:type="dcterms:W3CDTF">2019-09-19T12:14:00Z</dcterms:created>
  <dcterms:modified xsi:type="dcterms:W3CDTF">2020-03-12T13:40:00Z</dcterms:modified>
</cp:coreProperties>
</file>