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E1F8" w14:textId="3A4A7E14" w:rsidR="009842F8" w:rsidRPr="008E64FA" w:rsidRDefault="00EA5FEC" w:rsidP="00E33615">
      <w:pPr>
        <w:pStyle w:val="Default"/>
        <w:jc w:val="both"/>
        <w:rPr>
          <w:rFonts w:asciiTheme="minorHAnsi" w:hAnsiTheme="minorHAnsi"/>
          <w:b/>
          <w:bCs/>
          <w:color w:val="auto"/>
          <w:sz w:val="32"/>
          <w:u w:val="single"/>
        </w:rPr>
      </w:pPr>
      <w:r w:rsidRPr="008E64FA">
        <w:rPr>
          <w:rFonts w:asciiTheme="minorHAnsi" w:hAnsiTheme="minorHAnsi"/>
          <w:b/>
          <w:bCs/>
          <w:color w:val="auto"/>
          <w:sz w:val="32"/>
          <w:u w:val="single"/>
        </w:rPr>
        <w:t xml:space="preserve">Priorita 1 OP </w:t>
      </w:r>
      <w:r w:rsidR="005A49A8">
        <w:rPr>
          <w:rFonts w:asciiTheme="minorHAnsi" w:hAnsiTheme="minorHAnsi"/>
          <w:b/>
          <w:bCs/>
          <w:color w:val="auto"/>
          <w:sz w:val="32"/>
          <w:u w:val="single"/>
        </w:rPr>
        <w:t>TA</w:t>
      </w:r>
      <w:r w:rsidRPr="008E64FA">
        <w:rPr>
          <w:rFonts w:asciiTheme="minorHAnsi" w:hAnsiTheme="minorHAnsi"/>
          <w:b/>
          <w:bCs/>
          <w:color w:val="auto"/>
          <w:sz w:val="32"/>
          <w:u w:val="single"/>
        </w:rPr>
        <w:t xml:space="preserve">K - </w:t>
      </w:r>
      <w:r w:rsidRPr="008E64FA">
        <w:rPr>
          <w:rFonts w:asciiTheme="minorHAnsi" w:hAnsiTheme="minorHAnsi"/>
          <w:b/>
          <w:sz w:val="32"/>
          <w:u w:val="single"/>
        </w:rPr>
        <w:t xml:space="preserve">Posilování výkonnosti podniků v oblasti výzkumu, vývoje a inovací a </w:t>
      </w:r>
      <w:r w:rsidR="00587A58" w:rsidRPr="008E64FA">
        <w:rPr>
          <w:rFonts w:asciiTheme="minorHAnsi" w:hAnsiTheme="minorHAnsi"/>
          <w:b/>
          <w:sz w:val="32"/>
          <w:u w:val="single"/>
        </w:rPr>
        <w:t>jejich digitální transformace</w:t>
      </w:r>
    </w:p>
    <w:p w14:paraId="733543D2" w14:textId="77777777" w:rsidR="00CC78E2" w:rsidRPr="008E64FA" w:rsidRDefault="00CC78E2" w:rsidP="00E33615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14:paraId="335EE317" w14:textId="77777777" w:rsidR="00631501" w:rsidRPr="008E64FA" w:rsidRDefault="00631501" w:rsidP="00E33615">
      <w:pPr>
        <w:pStyle w:val="Default"/>
        <w:adjustRightInd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4C22C641" w14:textId="45B0BF50" w:rsidR="009842F8" w:rsidRPr="008E64FA" w:rsidRDefault="00E33615" w:rsidP="00E33615">
      <w:pPr>
        <w:pStyle w:val="Default"/>
        <w:adjustRightInd/>
        <w:jc w:val="both"/>
        <w:rPr>
          <w:rFonts w:asciiTheme="minorHAnsi" w:hAnsiTheme="minorHAnsi"/>
          <w:b/>
          <w:i/>
          <w:color w:val="auto"/>
          <w:sz w:val="28"/>
          <w:szCs w:val="28"/>
        </w:rPr>
      </w:pPr>
      <w:r w:rsidRPr="008E64FA">
        <w:rPr>
          <w:rFonts w:asciiTheme="minorHAnsi" w:hAnsiTheme="minorHAnsi"/>
          <w:b/>
          <w:i/>
          <w:color w:val="auto"/>
          <w:sz w:val="28"/>
          <w:szCs w:val="28"/>
        </w:rPr>
        <w:t>SC 1</w:t>
      </w:r>
      <w:r w:rsidR="00EA5FEC" w:rsidRPr="008E64FA">
        <w:rPr>
          <w:rFonts w:asciiTheme="minorHAnsi" w:hAnsiTheme="minorHAnsi"/>
          <w:b/>
          <w:i/>
          <w:color w:val="auto"/>
          <w:sz w:val="28"/>
          <w:szCs w:val="28"/>
        </w:rPr>
        <w:t>.1</w:t>
      </w:r>
      <w:r w:rsidRPr="008E64FA">
        <w:rPr>
          <w:rFonts w:asciiTheme="minorHAnsi" w:hAnsiTheme="minorHAnsi"/>
          <w:b/>
          <w:i/>
          <w:color w:val="auto"/>
          <w:sz w:val="28"/>
          <w:szCs w:val="28"/>
        </w:rPr>
        <w:t xml:space="preserve"> P</w:t>
      </w:r>
      <w:r w:rsidR="009842F8" w:rsidRPr="008E64FA">
        <w:rPr>
          <w:rFonts w:asciiTheme="minorHAnsi" w:hAnsiTheme="minorHAnsi"/>
          <w:b/>
          <w:i/>
          <w:color w:val="auto"/>
          <w:sz w:val="28"/>
          <w:szCs w:val="28"/>
        </w:rPr>
        <w:t>osílení výzkumných a inovačních kapacit a za</w:t>
      </w:r>
      <w:r w:rsidRPr="008E64FA">
        <w:rPr>
          <w:rFonts w:asciiTheme="minorHAnsi" w:hAnsiTheme="minorHAnsi"/>
          <w:b/>
          <w:i/>
          <w:color w:val="auto"/>
          <w:sz w:val="28"/>
          <w:szCs w:val="28"/>
        </w:rPr>
        <w:t>vádění pokročilých technologií</w:t>
      </w:r>
    </w:p>
    <w:p w14:paraId="76D4A4E6" w14:textId="77777777" w:rsidR="00CC78E2" w:rsidRPr="008E64FA" w:rsidRDefault="00CC78E2" w:rsidP="00E33615">
      <w:pPr>
        <w:spacing w:after="0"/>
        <w:jc w:val="both"/>
        <w:rPr>
          <w:rFonts w:eastAsiaTheme="majorEastAsia" w:cs="Arial"/>
          <w:b/>
          <w:sz w:val="20"/>
          <w:szCs w:val="20"/>
        </w:rPr>
      </w:pPr>
    </w:p>
    <w:p w14:paraId="6E551EA6" w14:textId="77777777" w:rsidR="004119D3" w:rsidRPr="008E64FA" w:rsidRDefault="004119D3" w:rsidP="004119D3">
      <w:pPr>
        <w:spacing w:after="120" w:line="264" w:lineRule="auto"/>
        <w:jc w:val="both"/>
        <w:rPr>
          <w:rFonts w:cs="Arial"/>
        </w:rPr>
      </w:pPr>
      <w:r w:rsidRPr="008E64FA">
        <w:rPr>
          <w:rFonts w:cs="Arial"/>
        </w:rPr>
        <w:t xml:space="preserve">Intervence se zaměří na podporu inovační výkonnosti podniků a zároveň na vytváření a rozvoj inovačního „ekosystému“, přičemž vhodná kombinace rozvoje systémového prostředí a podpory konkrétních výzkumných a inovačních aktivit umožní maximalizovat potřebné synergické efekty. </w:t>
      </w:r>
    </w:p>
    <w:p w14:paraId="5285B01A" w14:textId="77777777" w:rsidR="004119D3" w:rsidRPr="008E64FA" w:rsidRDefault="004119D3" w:rsidP="004119D3">
      <w:pPr>
        <w:spacing w:after="120" w:line="264" w:lineRule="auto"/>
        <w:jc w:val="both"/>
        <w:rPr>
          <w:rFonts w:cs="Arial"/>
        </w:rPr>
      </w:pPr>
      <w:r w:rsidRPr="008E64FA">
        <w:rPr>
          <w:rFonts w:cs="Arial"/>
        </w:rPr>
        <w:t>V rámci tohoto SC tak budou podporovány zejména následující aktivity:</w:t>
      </w:r>
    </w:p>
    <w:p w14:paraId="6DC1C190" w14:textId="77777777" w:rsidR="004119D3" w:rsidRPr="008E64FA" w:rsidRDefault="004119D3" w:rsidP="004119D3">
      <w:pPr>
        <w:pStyle w:val="Odstavecseseznamem"/>
        <w:keepNext/>
        <w:numPr>
          <w:ilvl w:val="0"/>
          <w:numId w:val="23"/>
        </w:numPr>
        <w:spacing w:after="120" w:line="264" w:lineRule="auto"/>
        <w:contextualSpacing w:val="0"/>
        <w:jc w:val="both"/>
        <w:rPr>
          <w:rFonts w:cs="Arial"/>
          <w:bCs/>
        </w:rPr>
      </w:pPr>
      <w:r w:rsidRPr="008E64FA">
        <w:rPr>
          <w:rFonts w:cs="Arial"/>
          <w:bCs/>
        </w:rPr>
        <w:t xml:space="preserve">Realizace podnikového </w:t>
      </w:r>
      <w:proofErr w:type="spellStart"/>
      <w:r w:rsidRPr="008E64FA">
        <w:rPr>
          <w:rFonts w:cs="Arial"/>
          <w:bCs/>
        </w:rPr>
        <w:t>VaV</w:t>
      </w:r>
      <w:proofErr w:type="spellEnd"/>
      <w:r w:rsidRPr="008E64FA">
        <w:rPr>
          <w:rFonts w:cs="Arial"/>
          <w:bCs/>
        </w:rPr>
        <w:t>, zejména ve spolupráci s VO - podle priorit RIS3</w:t>
      </w:r>
    </w:p>
    <w:p w14:paraId="3D2BB5A3" w14:textId="77777777" w:rsidR="004119D3" w:rsidRPr="008E64FA" w:rsidRDefault="004119D3" w:rsidP="004119D3">
      <w:pPr>
        <w:tabs>
          <w:tab w:val="left" w:pos="6345"/>
        </w:tabs>
        <w:spacing w:after="120" w:line="264" w:lineRule="auto"/>
        <w:ind w:left="1134"/>
        <w:jc w:val="both"/>
        <w:rPr>
          <w:rFonts w:cs="Arial"/>
        </w:rPr>
      </w:pPr>
      <w:r w:rsidRPr="008E64FA">
        <w:rPr>
          <w:rFonts w:cs="Arial"/>
        </w:rPr>
        <w:t xml:space="preserve">Jedná se o podporu projektů průmyslového výzkumu </w:t>
      </w:r>
      <w:bookmarkStart w:id="0" w:name="_GoBack"/>
      <w:bookmarkEnd w:id="0"/>
      <w:r w:rsidRPr="008E64FA">
        <w:rPr>
          <w:rFonts w:cs="Arial"/>
        </w:rPr>
        <w:t xml:space="preserve">a experimentálního vývoje, jejichž hlavním cílem je tvorba nových znalostí potřebných pro vývoj nových produktů, materiálů, technologií a služeb. Opatření budou zaměřená zejména na podporu projektů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(realizovaného zejména ve spolupráci podniků s VO), jejichž zaměření odpovídá </w:t>
      </w:r>
      <w:r w:rsidRPr="008E64FA">
        <w:rPr>
          <w:rFonts w:cs="Arial"/>
          <w:color w:val="000000" w:themeColor="text1"/>
        </w:rPr>
        <w:t>prioritám a doménám specializace Národní RIS3 strategie nebo krajských RIS3 strategií</w:t>
      </w:r>
      <w:r w:rsidRPr="008E64FA">
        <w:rPr>
          <w:rFonts w:cs="Arial"/>
        </w:rPr>
        <w:t xml:space="preserve">. Prioritou je rovněž posílení podnikového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a inovací v oblasti perspektivních technologií, zejména ve vazbě na P4.0, digitální ekonomiku a další perspektivní technologie (nanotechnologie, biotechnologie, progresivní materiály, bezpečnost a konektivita apod.). Podporována bude také realizace přeshraničních projektů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. </w:t>
      </w:r>
      <w:r w:rsidRPr="008E64FA">
        <w:rPr>
          <w:rFonts w:cs="Arial"/>
          <w:color w:val="000000" w:themeColor="text1"/>
        </w:rPr>
        <w:t xml:space="preserve">Podporovány budou též projekty podnikového </w:t>
      </w:r>
      <w:proofErr w:type="spellStart"/>
      <w:r w:rsidRPr="008E64FA">
        <w:rPr>
          <w:rFonts w:cs="Arial"/>
          <w:color w:val="000000" w:themeColor="text1"/>
        </w:rPr>
        <w:t>VaV</w:t>
      </w:r>
      <w:proofErr w:type="spellEnd"/>
      <w:r w:rsidRPr="008E64FA">
        <w:rPr>
          <w:rFonts w:cs="Arial"/>
          <w:color w:val="000000" w:themeColor="text1"/>
        </w:rPr>
        <w:t xml:space="preserve"> (v možné spolupráci s VO) zaměřeného na řešení společenských výzev spojených s </w:t>
      </w:r>
      <w:proofErr w:type="spellStart"/>
      <w:r w:rsidRPr="008E64FA">
        <w:rPr>
          <w:rFonts w:cs="Arial"/>
          <w:color w:val="000000" w:themeColor="text1"/>
        </w:rPr>
        <w:t>megatrendy</w:t>
      </w:r>
      <w:proofErr w:type="spellEnd"/>
      <w:r w:rsidRPr="008E64FA">
        <w:rPr>
          <w:rFonts w:cs="Arial"/>
          <w:color w:val="000000" w:themeColor="text1"/>
        </w:rPr>
        <w:t xml:space="preserve">. Opatření je navázáno na proces v rámci RIS3 strategie, který bude identifikovat výzvy, jejichž inovativní řešení může být nalezeno cílenou investicí do </w:t>
      </w:r>
      <w:proofErr w:type="spellStart"/>
      <w:r w:rsidRPr="008E64FA">
        <w:rPr>
          <w:rFonts w:cs="Arial"/>
          <w:color w:val="000000" w:themeColor="text1"/>
        </w:rPr>
        <w:t>VaV</w:t>
      </w:r>
      <w:proofErr w:type="spellEnd"/>
      <w:r w:rsidRPr="008E64FA">
        <w:rPr>
          <w:rFonts w:cs="Arial"/>
          <w:color w:val="000000" w:themeColor="text1"/>
        </w:rPr>
        <w:t>.</w:t>
      </w:r>
    </w:p>
    <w:p w14:paraId="50E3FFA9" w14:textId="77777777" w:rsidR="004119D3" w:rsidRPr="008E64FA" w:rsidRDefault="004119D3" w:rsidP="004119D3">
      <w:pPr>
        <w:pStyle w:val="Odstavecseseznamem"/>
        <w:keepNext/>
        <w:numPr>
          <w:ilvl w:val="0"/>
          <w:numId w:val="23"/>
        </w:numPr>
        <w:spacing w:after="120" w:line="264" w:lineRule="auto"/>
        <w:contextualSpacing w:val="0"/>
        <w:jc w:val="both"/>
        <w:rPr>
          <w:rFonts w:cs="Arial"/>
          <w:bCs/>
        </w:rPr>
      </w:pPr>
      <w:r w:rsidRPr="008E64FA">
        <w:rPr>
          <w:rFonts w:cs="Arial"/>
          <w:bCs/>
        </w:rPr>
        <w:t>Zavádění výsledků výzkumu a vývoje ve formě inovací do podnikové praxe, zavádění organizačních a procesních inovací, ochrana a využívání duševního vlastnictví</w:t>
      </w:r>
    </w:p>
    <w:p w14:paraId="55D3E13E" w14:textId="77777777" w:rsidR="004119D3" w:rsidRPr="008E64FA" w:rsidRDefault="004119D3" w:rsidP="004119D3">
      <w:pPr>
        <w:spacing w:after="120" w:line="264" w:lineRule="auto"/>
        <w:ind w:left="1068"/>
        <w:jc w:val="both"/>
        <w:rPr>
          <w:rFonts w:cs="Arial"/>
        </w:rPr>
      </w:pPr>
      <w:r w:rsidRPr="008E64FA">
        <w:rPr>
          <w:rFonts w:cs="Arial"/>
        </w:rPr>
        <w:t xml:space="preserve">Typovým inovačním projektem bude zavedení nových výrobků do výroby a jejich uvedení na trh a dále související zvýšení efektivnosti výrobních procesů s využitím pokročilých technologií. Opatření budou zaměřená zejména na umožnění komplexního rozvoje inovačního potenciálu a inovačních procesů a tržní uplatnění inovativních řešení, tj. podpora celého procesu směřujícího k uvedení nové inovace (produktu/procesu/služby/organizace/marketing) na trh. Zároveň budou podporovány aktivity na ověřování nových nebo zdokonalených výrobků, postupů nebo služeb v reálných provozních podmínkách, ověřování výkonnosti, demonstrační aktivity, pilotní projekty apod. V případě projektů, kde je doloženo ukončení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nebo transferu technologií, bude součástí projektu vybavení provozovny nezbytným zařízením pro zavedení nových výrobků na trh a související zvýšení efektivnosti výrobních procesů s využitím pokročilých technologií.</w:t>
      </w:r>
    </w:p>
    <w:p w14:paraId="3C74E21D" w14:textId="77777777" w:rsidR="004119D3" w:rsidRPr="008E64FA" w:rsidRDefault="004119D3" w:rsidP="004119D3">
      <w:pPr>
        <w:pStyle w:val="Odstavecseseznamem"/>
        <w:keepNext/>
        <w:numPr>
          <w:ilvl w:val="0"/>
          <w:numId w:val="24"/>
        </w:numPr>
        <w:spacing w:after="120" w:line="264" w:lineRule="auto"/>
        <w:contextualSpacing w:val="0"/>
        <w:jc w:val="both"/>
        <w:rPr>
          <w:rFonts w:cs="Arial"/>
          <w:bCs/>
        </w:rPr>
      </w:pPr>
      <w:r w:rsidRPr="008E64FA">
        <w:rPr>
          <w:rFonts w:cs="Arial"/>
          <w:bCs/>
        </w:rPr>
        <w:t>Zavádění a rozšiřování digitálních a dalších pokročilých inovačních technologií v podnicích</w:t>
      </w:r>
    </w:p>
    <w:p w14:paraId="6B133D29" w14:textId="77777777" w:rsidR="004119D3" w:rsidRPr="008E64FA" w:rsidRDefault="004119D3" w:rsidP="004119D3">
      <w:pPr>
        <w:spacing w:after="120" w:line="264" w:lineRule="auto"/>
        <w:ind w:left="1134"/>
        <w:jc w:val="both"/>
        <w:rPr>
          <w:rFonts w:cs="Arial"/>
        </w:rPr>
      </w:pPr>
      <w:r w:rsidRPr="008E64FA">
        <w:rPr>
          <w:rFonts w:cs="Arial"/>
        </w:rPr>
        <w:t xml:space="preserve">Podpora na zavádění pokročilých technologií bude řešena zlepšením přístupu MSP k otevřené infrastruktuře, ve které budou moci podniky otestovat nové technologie v reálných provozních podmínkách. Rovněž bude poskytována podpora za účelem využití </w:t>
      </w:r>
      <w:r w:rsidRPr="008E64FA">
        <w:rPr>
          <w:rFonts w:cs="Arial"/>
        </w:rPr>
        <w:lastRenderedPageBreak/>
        <w:t xml:space="preserve">dílčích inovačních a </w:t>
      </w:r>
      <w:proofErr w:type="spellStart"/>
      <w:r w:rsidRPr="008E64FA">
        <w:rPr>
          <w:rFonts w:cs="Arial"/>
        </w:rPr>
        <w:t>proof</w:t>
      </w:r>
      <w:proofErr w:type="spellEnd"/>
      <w:r w:rsidRPr="008E64FA">
        <w:rPr>
          <w:rFonts w:cs="Arial"/>
        </w:rPr>
        <w:t xml:space="preserve"> </w:t>
      </w:r>
      <w:proofErr w:type="spellStart"/>
      <w:r w:rsidRPr="008E64FA">
        <w:rPr>
          <w:rFonts w:cs="Arial"/>
        </w:rPr>
        <w:t>of</w:t>
      </w:r>
      <w:proofErr w:type="spellEnd"/>
      <w:r w:rsidRPr="008E64FA">
        <w:rPr>
          <w:rFonts w:cs="Arial"/>
        </w:rPr>
        <w:t xml:space="preserve"> </w:t>
      </w:r>
      <w:proofErr w:type="spellStart"/>
      <w:r w:rsidRPr="008E64FA">
        <w:rPr>
          <w:rFonts w:cs="Arial"/>
        </w:rPr>
        <w:t>concept</w:t>
      </w:r>
      <w:proofErr w:type="spellEnd"/>
      <w:r w:rsidRPr="008E64FA">
        <w:rPr>
          <w:rFonts w:cs="Arial"/>
        </w:rPr>
        <w:t xml:space="preserve"> projektů, které mohou být řešeny např. ve spolupráci technologického </w:t>
      </w:r>
      <w:proofErr w:type="gramStart"/>
      <w:r w:rsidRPr="008E64FA">
        <w:rPr>
          <w:rFonts w:cs="Arial"/>
        </w:rPr>
        <w:t>lídra s MSP</w:t>
      </w:r>
      <w:proofErr w:type="gramEnd"/>
      <w:r w:rsidRPr="008E64FA">
        <w:rPr>
          <w:rFonts w:cs="Arial"/>
        </w:rPr>
        <w:t xml:space="preserve"> jako finálním uživatelem, zaměřené na prvotní zavedení nové technologie či nového inovativního řešení a jejich posun na vyšší úroveň technologické připravenosti.</w:t>
      </w:r>
    </w:p>
    <w:p w14:paraId="5C1E4ACC" w14:textId="77777777" w:rsidR="004119D3" w:rsidRPr="008E64FA" w:rsidRDefault="004119D3" w:rsidP="004119D3">
      <w:pPr>
        <w:pStyle w:val="Odstavecseseznamem"/>
        <w:numPr>
          <w:ilvl w:val="0"/>
          <w:numId w:val="24"/>
        </w:numPr>
        <w:spacing w:after="120" w:line="264" w:lineRule="auto"/>
        <w:contextualSpacing w:val="0"/>
        <w:jc w:val="both"/>
        <w:rPr>
          <w:rFonts w:cs="Arial"/>
          <w:bCs/>
        </w:rPr>
      </w:pPr>
      <w:r w:rsidRPr="008E64FA">
        <w:rPr>
          <w:rFonts w:cs="Arial"/>
          <w:bCs/>
        </w:rPr>
        <w:t>Inovační vouchery</w:t>
      </w:r>
    </w:p>
    <w:p w14:paraId="11286C86" w14:textId="77777777" w:rsidR="004119D3" w:rsidRPr="008E64FA" w:rsidRDefault="004119D3" w:rsidP="004119D3">
      <w:pPr>
        <w:spacing w:after="120" w:line="264" w:lineRule="auto"/>
        <w:ind w:left="1134"/>
        <w:jc w:val="both"/>
        <w:rPr>
          <w:rFonts w:cs="Arial"/>
        </w:rPr>
      </w:pPr>
      <w:r w:rsidRPr="008E64FA">
        <w:rPr>
          <w:rFonts w:cs="Arial"/>
        </w:rPr>
        <w:t xml:space="preserve">Opatření budou zaměřená zejména na podporu zjednodušených schémat na zahájení či zintenzivnění inovačních aktivit MSP s VO či nákup specializovaných služeb od podpůrných organizací (typu technologických či kompetenčních center, digitálních inovačních </w:t>
      </w:r>
      <w:proofErr w:type="spellStart"/>
      <w:r w:rsidRPr="008E64FA">
        <w:rPr>
          <w:rFonts w:cs="Arial"/>
        </w:rPr>
        <w:t>hubů</w:t>
      </w:r>
      <w:proofErr w:type="spellEnd"/>
      <w:r w:rsidRPr="008E64FA">
        <w:rPr>
          <w:rFonts w:cs="Arial"/>
        </w:rPr>
        <w:t>, klastrů, apod.) při zavádění nových inovačních řešení s využitím pokročilých technologií, zlepšení dovedností a kompetencí MSP a jejich zaměstnanců při zavádění pokročilých technologií (tj. nákup specializovaných školení, apod.).</w:t>
      </w:r>
    </w:p>
    <w:p w14:paraId="56D8002F" w14:textId="77777777" w:rsidR="004119D3" w:rsidRPr="008E64FA" w:rsidRDefault="004119D3" w:rsidP="004119D3">
      <w:pPr>
        <w:pStyle w:val="Odstavecseseznamem"/>
        <w:keepNext/>
        <w:numPr>
          <w:ilvl w:val="0"/>
          <w:numId w:val="24"/>
        </w:numPr>
        <w:spacing w:after="120" w:line="264" w:lineRule="auto"/>
        <w:ind w:left="709"/>
        <w:contextualSpacing w:val="0"/>
        <w:jc w:val="both"/>
        <w:rPr>
          <w:rFonts w:cs="Arial"/>
        </w:rPr>
      </w:pPr>
      <w:r w:rsidRPr="008E64FA">
        <w:rPr>
          <w:rFonts w:cs="Arial"/>
          <w:bCs/>
        </w:rPr>
        <w:t xml:space="preserve">Budování a rozvoj infrastruktury pro </w:t>
      </w:r>
      <w:proofErr w:type="spellStart"/>
      <w:r w:rsidRPr="008E64FA">
        <w:rPr>
          <w:rFonts w:cs="Arial"/>
          <w:bCs/>
        </w:rPr>
        <w:t>VaV</w:t>
      </w:r>
      <w:proofErr w:type="spellEnd"/>
      <w:r w:rsidRPr="008E64FA">
        <w:rPr>
          <w:rFonts w:cs="Arial"/>
          <w:bCs/>
        </w:rPr>
        <w:t xml:space="preserve"> a inovace, testování a ověřování technologií v podnikatelském sektoru</w:t>
      </w:r>
    </w:p>
    <w:p w14:paraId="378BEB0F" w14:textId="77777777" w:rsidR="004119D3" w:rsidRPr="008E64FA" w:rsidRDefault="004119D3" w:rsidP="004119D3">
      <w:pPr>
        <w:pStyle w:val="Odstavecseseznamem"/>
        <w:keepNext/>
        <w:spacing w:after="120" w:line="264" w:lineRule="auto"/>
        <w:ind w:left="1068"/>
        <w:contextualSpacing w:val="0"/>
        <w:jc w:val="both"/>
        <w:rPr>
          <w:rFonts w:cs="Arial"/>
        </w:rPr>
      </w:pPr>
      <w:r w:rsidRPr="008E64FA">
        <w:rPr>
          <w:rFonts w:cs="Arial"/>
        </w:rPr>
        <w:t xml:space="preserve">Podpora otevřené infrastruktury pro </w:t>
      </w:r>
      <w:proofErr w:type="spellStart"/>
      <w:r w:rsidRPr="008E64FA">
        <w:rPr>
          <w:rFonts w:cs="Arial"/>
        </w:rPr>
        <w:t>VaVaI</w:t>
      </w:r>
      <w:proofErr w:type="spellEnd"/>
      <w:r w:rsidRPr="008E64FA">
        <w:rPr>
          <w:rFonts w:cs="Arial"/>
        </w:rPr>
        <w:t xml:space="preserve">, která může být poskytována soukromým i veřejným organizacím, které umožňují otevřený přístup podnikům za účelem testování a ověřování nových technologií a konceptů. Podpora bude zaměřena na rozvoj technologických center, která budou poskytovat specializované služby pro MSP vč. začínajících podniků zaměřené zejména na zavádění nových inovačních řešení, pokročilých technologií, nová řešení v oblasti NUT či zvýšení dovedností a kompetencí v těchto oblastech. Záměrem je doplnit chybějící podpůrnou </w:t>
      </w:r>
      <w:proofErr w:type="spellStart"/>
      <w:r w:rsidRPr="008E64FA">
        <w:rPr>
          <w:rFonts w:cs="Arial"/>
        </w:rPr>
        <w:t>VaI</w:t>
      </w:r>
      <w:proofErr w:type="spellEnd"/>
      <w:r w:rsidRPr="008E64FA">
        <w:rPr>
          <w:rFonts w:cs="Arial"/>
        </w:rPr>
        <w:t xml:space="preserve"> infrastrukturu ve vazbě na potřeby společnosti a globální trendy, jako jsou klimatické změny, znečištění ŽP, zrychlování technologických změn a perspektivní technologie (např. ICT, biotechnologie a nanotechnologie apod.). Zároveň i podpořit rozvoj tzv. </w:t>
      </w:r>
      <w:proofErr w:type="spellStart"/>
      <w:r w:rsidRPr="008E64FA">
        <w:rPr>
          <w:rFonts w:cs="Arial"/>
        </w:rPr>
        <w:t>testbedů</w:t>
      </w:r>
      <w:proofErr w:type="spellEnd"/>
      <w:r w:rsidRPr="008E64FA">
        <w:rPr>
          <w:rFonts w:cs="Arial"/>
        </w:rPr>
        <w:t xml:space="preserve">, ve kterých podniky získají přístup ke komplexním podpůrným službám. </w:t>
      </w:r>
    </w:p>
    <w:p w14:paraId="0DC56C14" w14:textId="77777777" w:rsidR="004119D3" w:rsidRPr="008E64FA" w:rsidRDefault="004119D3" w:rsidP="004119D3">
      <w:pPr>
        <w:pStyle w:val="Odstavecseseznamem"/>
        <w:keepNext/>
        <w:numPr>
          <w:ilvl w:val="0"/>
          <w:numId w:val="24"/>
        </w:numPr>
        <w:spacing w:after="120" w:line="264" w:lineRule="auto"/>
        <w:ind w:hanging="357"/>
        <w:contextualSpacing w:val="0"/>
        <w:jc w:val="both"/>
        <w:rPr>
          <w:rFonts w:cs="Arial"/>
          <w:bCs/>
        </w:rPr>
      </w:pPr>
      <w:r w:rsidRPr="008E64FA">
        <w:rPr>
          <w:rFonts w:cs="Arial"/>
          <w:bCs/>
        </w:rPr>
        <w:t xml:space="preserve">Sdílené kapacity pro </w:t>
      </w:r>
      <w:proofErr w:type="spellStart"/>
      <w:r w:rsidRPr="008E64FA">
        <w:rPr>
          <w:rFonts w:cs="Arial"/>
          <w:bCs/>
        </w:rPr>
        <w:t>VaVaI</w:t>
      </w:r>
      <w:proofErr w:type="spellEnd"/>
      <w:r w:rsidRPr="008E64FA">
        <w:rPr>
          <w:rFonts w:cs="Arial"/>
          <w:bCs/>
        </w:rPr>
        <w:t xml:space="preserve"> - klastry, technologické platformy, inovační centra atd.</w:t>
      </w:r>
    </w:p>
    <w:p w14:paraId="69CFF5A2" w14:textId="77777777" w:rsidR="004119D3" w:rsidRPr="008E64FA" w:rsidRDefault="004119D3" w:rsidP="004119D3">
      <w:pPr>
        <w:spacing w:after="120" w:line="264" w:lineRule="auto"/>
        <w:ind w:left="1071"/>
        <w:jc w:val="both"/>
        <w:rPr>
          <w:rFonts w:cs="Arial"/>
        </w:rPr>
      </w:pPr>
      <w:r w:rsidRPr="008E64FA">
        <w:rPr>
          <w:rFonts w:cs="Arial"/>
        </w:rPr>
        <w:t xml:space="preserve">Opatření se zaměřují na posílení kapacit klastrových organizací, které budou schopny poskytovat specializované podpůrné služby s vyšší přidanou hodnotou pro MSP a vytvářet strategická mezioborová či přeshraniční partnerství. Záměrem je rovněž přispět k vytváření vazeb mezi podniky, VO, technologickými centry a dalšími podpůrnými organizacemi, prohlubovat inteligentní specializaci dle priorit RIS3 </w:t>
      </w:r>
      <w:r w:rsidRPr="008E64FA">
        <w:rPr>
          <w:rFonts w:cs="Arial"/>
          <w:color w:val="000000" w:themeColor="text1"/>
        </w:rPr>
        <w:t>strategie</w:t>
      </w:r>
      <w:r w:rsidRPr="008E64FA">
        <w:rPr>
          <w:rFonts w:cs="Arial"/>
        </w:rPr>
        <w:t>, vytvářet inovační a investiční příležitosti ve spolupráci s velkými podniky a akcelerovat průmyslové změny. Nedílnou součást opatření představuje zprostředkování podpory na pilotní projekty větších skupin MSP typu prvotní testování nových technologií a přenos inovativních řešení do jiných odvětví a nových hodnotových řetězců. Dílčí projekty mohou sloužit jako demonstrační aktivity pro širší uplatnění nových technologií v daném odvětví.</w:t>
      </w:r>
    </w:p>
    <w:p w14:paraId="6A0F34CC" w14:textId="77777777" w:rsidR="004119D3" w:rsidRPr="008E64FA" w:rsidRDefault="004119D3" w:rsidP="004119D3">
      <w:pPr>
        <w:pStyle w:val="Odstavecseseznamem"/>
        <w:keepNext/>
        <w:numPr>
          <w:ilvl w:val="0"/>
          <w:numId w:val="24"/>
        </w:numPr>
        <w:spacing w:after="120" w:line="264" w:lineRule="auto"/>
        <w:ind w:hanging="357"/>
        <w:contextualSpacing w:val="0"/>
        <w:jc w:val="both"/>
        <w:rPr>
          <w:rFonts w:cs="Arial"/>
          <w:bCs/>
        </w:rPr>
      </w:pPr>
      <w:r w:rsidRPr="008E64FA">
        <w:rPr>
          <w:rFonts w:cs="Arial"/>
          <w:bCs/>
        </w:rPr>
        <w:t xml:space="preserve">Rozvoj transferu znalostí, komercializace, podpora při ověřování výsledků </w:t>
      </w:r>
      <w:proofErr w:type="spellStart"/>
      <w:r w:rsidRPr="008E64FA">
        <w:rPr>
          <w:rFonts w:cs="Arial"/>
          <w:bCs/>
        </w:rPr>
        <w:t>VaV</w:t>
      </w:r>
      <w:proofErr w:type="spellEnd"/>
      <w:r w:rsidRPr="008E64FA">
        <w:rPr>
          <w:rFonts w:cs="Arial"/>
          <w:bCs/>
        </w:rPr>
        <w:t xml:space="preserve"> a jejich uvádění na trh (zvýšení horizontální mobility (podniky – VO – školy))</w:t>
      </w:r>
    </w:p>
    <w:p w14:paraId="646953FE" w14:textId="77777777" w:rsidR="004119D3" w:rsidRPr="008E64FA" w:rsidRDefault="004119D3" w:rsidP="004119D3">
      <w:pPr>
        <w:spacing w:after="120" w:line="264" w:lineRule="auto"/>
        <w:ind w:left="1071"/>
        <w:jc w:val="both"/>
        <w:rPr>
          <w:rFonts w:cs="Arial"/>
        </w:rPr>
      </w:pPr>
      <w:r w:rsidRPr="008E64FA">
        <w:rPr>
          <w:rFonts w:cs="Arial"/>
        </w:rPr>
        <w:t xml:space="preserve">Záměrem je zvýšení mobility a znalostního transferu v rámci společných projektů podnikatelů a VO, při kterých dochází k transferu znalostí a přímé aplikaci výzkumných poznatků v podniku, které mají strategický význam pro jeho další rozvoj. Jedná se o aktivity za účasti doktorandů, úspěšných absolventů, nebo i na základě dočasně vytvořených pozic pro vysoce kvalifikované odborníky z VO, návaznost na intervence MŠMT zaměřené na zlepšení činností center transferu technologií, která budou aktivně vyhledávat partnery </w:t>
      </w:r>
      <w:r w:rsidRPr="008E64FA">
        <w:rPr>
          <w:rFonts w:cs="Arial"/>
        </w:rPr>
        <w:lastRenderedPageBreak/>
        <w:t>z podnikatelského sektoru a nabízet unikátní znalosti a know-how vytvářené ve VO a odborných univerzitních pracovištích.</w:t>
      </w:r>
    </w:p>
    <w:p w14:paraId="37C827F7" w14:textId="77777777" w:rsidR="004119D3" w:rsidRPr="008E64FA" w:rsidRDefault="004119D3" w:rsidP="004119D3">
      <w:pPr>
        <w:spacing w:after="120" w:line="264" w:lineRule="auto"/>
        <w:jc w:val="both"/>
        <w:rPr>
          <w:rFonts w:cs="Arial"/>
          <w:b/>
          <w:bCs/>
        </w:rPr>
      </w:pPr>
    </w:p>
    <w:p w14:paraId="14B20FC4" w14:textId="77777777" w:rsidR="004119D3" w:rsidRPr="008E64FA" w:rsidRDefault="004119D3" w:rsidP="004119D3">
      <w:pPr>
        <w:spacing w:after="120" w:line="264" w:lineRule="auto"/>
        <w:jc w:val="both"/>
        <w:rPr>
          <w:rFonts w:cs="Arial"/>
          <w:b/>
          <w:bCs/>
        </w:rPr>
      </w:pPr>
      <w:r w:rsidRPr="008E64FA">
        <w:rPr>
          <w:rFonts w:cs="Arial"/>
          <w:b/>
          <w:bCs/>
        </w:rPr>
        <w:t xml:space="preserve">Očekávaný příspěvek podporovaných aktivit ke specifickému cíli: </w:t>
      </w:r>
    </w:p>
    <w:p w14:paraId="0E138E4D" w14:textId="77777777" w:rsidR="004119D3" w:rsidRPr="008E64FA" w:rsidRDefault="004119D3" w:rsidP="004119D3">
      <w:pPr>
        <w:spacing w:after="120" w:line="264" w:lineRule="auto"/>
        <w:jc w:val="both"/>
        <w:rPr>
          <w:rFonts w:cs="Arial"/>
        </w:rPr>
      </w:pPr>
      <w:r w:rsidRPr="008E64FA">
        <w:rPr>
          <w:rFonts w:cs="Arial"/>
        </w:rPr>
        <w:t>Prostřednictvím realizace konkrétních aktivit bude vytvořeno množství reálných výzkumných a inovačních výsledků a přímých přínosů pro jejich tvůrce, pro rozvoj ekonomiky a také pro šíření dobré praxe. Rozvoj příznivého systémového prostředí dlouhodobě akceleruje inovační aktivity podniků a existence pokročilé infrastruktury a služeb zajistí, spolu s důslednou implementací RIS3 strategie, dlouhodobou udržitelnost nastavených procesů a aktivit a jejich přínosy pro podniky i společnost. Dojde k vytváření a rozvoji inovačního „ekosystému“, tj. ve prospěch vzájemné provázanosti dosud individuálních aktivit či solitérních institucí. Podpora se bude více směřovat na nové technologie, které se budou stále více uplatňovat nejen v průmyslové výrobě, ale i v dalších odvětvích.</w:t>
      </w:r>
    </w:p>
    <w:p w14:paraId="1F46C703" w14:textId="77777777" w:rsidR="004119D3" w:rsidRPr="008E64FA" w:rsidRDefault="004119D3" w:rsidP="004119D3">
      <w:pPr>
        <w:spacing w:after="120" w:line="264" w:lineRule="auto"/>
        <w:jc w:val="both"/>
        <w:rPr>
          <w:rFonts w:cs="Arial"/>
          <w:bCs/>
        </w:rPr>
      </w:pPr>
      <w:r w:rsidRPr="008E64FA">
        <w:rPr>
          <w:rFonts w:cs="Arial"/>
        </w:rPr>
        <w:t xml:space="preserve">Veřejná podpora výrazným způsobem přispěje k rozvoji </w:t>
      </w:r>
      <w:proofErr w:type="spellStart"/>
      <w:r w:rsidRPr="008E64FA">
        <w:rPr>
          <w:rFonts w:cs="Arial"/>
        </w:rPr>
        <w:t>VaI</w:t>
      </w:r>
      <w:proofErr w:type="spellEnd"/>
      <w:r w:rsidRPr="008E64FA">
        <w:rPr>
          <w:rFonts w:cs="Arial"/>
        </w:rPr>
        <w:t xml:space="preserve"> aktivit v domácím podnikovém sektoru (zejména v MSP) a tím </w:t>
      </w:r>
      <w:r w:rsidRPr="008E64FA">
        <w:rPr>
          <w:rFonts w:cs="Arial"/>
          <w:bCs/>
        </w:rPr>
        <w:t>zvýšení podílu inovujících podniků</w:t>
      </w:r>
      <w:r w:rsidRPr="008E64FA">
        <w:rPr>
          <w:rFonts w:cs="Arial"/>
        </w:rPr>
        <w:t xml:space="preserve">. Podniky budou s využitím prostředků ESIF stimulovány k realizaci jak interního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>, tak i k 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realizovaném ve spolupráci s VO. To zároveň přispěje k lepšímu uplatňování výsledků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v nových produktech, což umožní podnikům prosadit se na existujících či nových trzích a vytvoří významné předpoklady pro růst jejich konkurenceschopnosti prostřednictvím </w:t>
      </w:r>
      <w:r w:rsidRPr="008E64FA">
        <w:rPr>
          <w:rFonts w:cs="Arial"/>
          <w:bCs/>
        </w:rPr>
        <w:t>zvyšování přidané hodnoty produktů či realizaci inovací vyšších řádů vč. průlomových inovací</w:t>
      </w:r>
      <w:r w:rsidRPr="008E64FA">
        <w:rPr>
          <w:rFonts w:cs="Arial"/>
        </w:rPr>
        <w:t xml:space="preserve">. Rozvoj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aktivit přispěje také ke zvýšení absorpční kapacity podniků pro výsledky </w:t>
      </w:r>
      <w:proofErr w:type="spellStart"/>
      <w:r w:rsidRPr="008E64FA">
        <w:rPr>
          <w:rFonts w:cs="Arial"/>
        </w:rPr>
        <w:t>VaV</w:t>
      </w:r>
      <w:proofErr w:type="spellEnd"/>
      <w:r w:rsidRPr="008E64FA">
        <w:rPr>
          <w:rFonts w:cs="Arial"/>
        </w:rPr>
        <w:t xml:space="preserve"> z veřejného výzkumu, což napomůže rozvoji vazeb mezi podniky a VO a ke zvýšení účinnosti transferu znalostí z VO do podniků.</w:t>
      </w:r>
      <w:r w:rsidRPr="008E64FA">
        <w:rPr>
          <w:rFonts w:cs="Arial"/>
          <w:bCs/>
        </w:rPr>
        <w:t xml:space="preserve"> </w:t>
      </w:r>
    </w:p>
    <w:p w14:paraId="154742E8" w14:textId="77777777" w:rsidR="00E652E6" w:rsidRPr="008E64FA" w:rsidRDefault="00E652E6" w:rsidP="00E336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7D094FEB" w14:textId="77777777" w:rsidR="00E33615" w:rsidRPr="008E64FA" w:rsidRDefault="00E33615" w:rsidP="00E33615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sz w:val="20"/>
          <w:szCs w:val="20"/>
          <w:lang w:eastAsia="cs-CZ"/>
        </w:rPr>
      </w:pPr>
    </w:p>
    <w:p w14:paraId="7CE65CB2" w14:textId="77777777" w:rsidR="00E33615" w:rsidRPr="008E64FA" w:rsidRDefault="00E33615" w:rsidP="00E33615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lang w:eastAsia="cs-CZ"/>
        </w:rPr>
      </w:pPr>
      <w:r w:rsidRPr="008E64FA">
        <w:rPr>
          <w:rFonts w:asciiTheme="minorHAnsi" w:hAnsiTheme="minorHAnsi" w:cs="Arial"/>
          <w:b/>
          <w:color w:val="000000" w:themeColor="text1"/>
          <w:lang w:eastAsia="cs-CZ"/>
        </w:rPr>
        <w:t>Hlavní cílová skupina:</w:t>
      </w:r>
    </w:p>
    <w:p w14:paraId="7D8EDE0E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color w:val="000000" w:themeColor="text1"/>
        </w:rPr>
      </w:pPr>
      <w:r w:rsidRPr="008E64FA">
        <w:rPr>
          <w:rFonts w:cs="Arial"/>
          <w:color w:val="000000" w:themeColor="text1"/>
        </w:rPr>
        <w:t xml:space="preserve">Cílovými skupinami budou primárně podnikatelské subjekty (zejména MSP), tzn. především společnosti s inovačním potenciálem a potřebou zajistit trvale udržitelné hospodaření a zvýšení konkurenceschopnosti. Dále se bude jednat o organizace pro výzkum a šíření znalostí (tj. subjekty splňující definici Výzkumné organizace dle Rámce pro státní podporu Výzkumu, vývoje a inovací). Využití pokročilých technologií a materiálů bude významným impulzem pro zavádění nových výrobních procesů a inovativních produktů a služeb a klíčovým faktorem pro budoucí růst. S tím úzce souvisí nebezpečí útlumu výroby v průmyslových objektech z důvodu přesunu výroby do ciziny, což by mělo následně dopady na zaměstnanost v těchto podnicích. </w:t>
      </w:r>
    </w:p>
    <w:p w14:paraId="29D0467A" w14:textId="77777777" w:rsidR="00522617" w:rsidRPr="008E64FA" w:rsidRDefault="00522617" w:rsidP="00522617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lang w:eastAsia="cs-CZ"/>
        </w:rPr>
      </w:pPr>
    </w:p>
    <w:p w14:paraId="22513F7C" w14:textId="22408F54" w:rsidR="00E33615" w:rsidRPr="008E64FA" w:rsidRDefault="00E33615" w:rsidP="00522617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lang w:eastAsia="cs-CZ"/>
        </w:rPr>
      </w:pPr>
      <w:r w:rsidRPr="008E64FA">
        <w:rPr>
          <w:rFonts w:asciiTheme="minorHAnsi" w:hAnsiTheme="minorHAnsi" w:cs="Arial"/>
          <w:b/>
          <w:color w:val="000000" w:themeColor="text1"/>
          <w:lang w:eastAsia="cs-CZ"/>
        </w:rPr>
        <w:t xml:space="preserve">Cílové území: </w:t>
      </w:r>
    </w:p>
    <w:p w14:paraId="6120D1E4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color w:val="000000" w:themeColor="text1"/>
        </w:rPr>
      </w:pPr>
      <w:r w:rsidRPr="008E64FA">
        <w:rPr>
          <w:rFonts w:cs="Arial"/>
        </w:rPr>
        <w:t>Území České republiky, vč. hl. měst</w:t>
      </w:r>
      <w:r w:rsidRPr="008E64FA">
        <w:rPr>
          <w:rFonts w:cs="Arial"/>
          <w:color w:val="000000" w:themeColor="text1"/>
        </w:rPr>
        <w:t xml:space="preserve">a Prahy. Intervence budou primárně směřovat do přechodových regionů (Střední Čechy, Jihozápad, Jihovýchod) a do více rozvinutého regionu (Praha), kde je soustředěno nejvíce </w:t>
      </w:r>
      <w:proofErr w:type="spellStart"/>
      <w:r w:rsidRPr="008E64FA">
        <w:rPr>
          <w:rFonts w:cs="Arial"/>
          <w:color w:val="000000" w:themeColor="text1"/>
        </w:rPr>
        <w:t>VaV</w:t>
      </w:r>
      <w:proofErr w:type="spellEnd"/>
      <w:r w:rsidRPr="008E64FA">
        <w:rPr>
          <w:rFonts w:cs="Arial"/>
          <w:color w:val="000000" w:themeColor="text1"/>
        </w:rPr>
        <w:t xml:space="preserve"> aktivit. Současně bude snaha intenzivně podporovat i méně rozvinuté regiony (Severozápad, Severovýchod, Střední Morava, </w:t>
      </w:r>
      <w:proofErr w:type="spellStart"/>
      <w:r w:rsidRPr="008E64FA">
        <w:rPr>
          <w:rFonts w:cs="Arial"/>
          <w:color w:val="000000" w:themeColor="text1"/>
        </w:rPr>
        <w:t>Moravskoslezsko</w:t>
      </w:r>
      <w:proofErr w:type="spellEnd"/>
      <w:r w:rsidRPr="008E64FA">
        <w:rPr>
          <w:rFonts w:cs="Arial"/>
          <w:color w:val="000000" w:themeColor="text1"/>
        </w:rPr>
        <w:t>).</w:t>
      </w:r>
    </w:p>
    <w:p w14:paraId="0A363170" w14:textId="77777777" w:rsidR="00E33615" w:rsidRPr="008E64FA" w:rsidRDefault="00E33615" w:rsidP="00E33615">
      <w:pPr>
        <w:spacing w:after="0"/>
        <w:jc w:val="both"/>
        <w:rPr>
          <w:rFonts w:cs="Arial"/>
          <w:b/>
          <w:color w:val="000000" w:themeColor="text1"/>
          <w:sz w:val="20"/>
          <w:szCs w:val="20"/>
          <w:lang w:eastAsia="cs-CZ"/>
        </w:rPr>
      </w:pPr>
    </w:p>
    <w:p w14:paraId="5C135A3F" w14:textId="77777777" w:rsidR="00E33615" w:rsidRPr="008E64FA" w:rsidRDefault="00E33615" w:rsidP="00522617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lang w:eastAsia="cs-CZ"/>
        </w:rPr>
      </w:pPr>
      <w:r w:rsidRPr="008E64FA">
        <w:rPr>
          <w:rFonts w:asciiTheme="minorHAnsi" w:hAnsiTheme="minorHAnsi" w:cs="Arial"/>
          <w:b/>
          <w:color w:val="000000" w:themeColor="text1"/>
          <w:lang w:eastAsia="cs-CZ"/>
        </w:rPr>
        <w:t>Typy příjemců:</w:t>
      </w:r>
    </w:p>
    <w:p w14:paraId="7777CB56" w14:textId="5051DB2B" w:rsidR="001D7053" w:rsidRPr="008E64FA" w:rsidRDefault="00E33615" w:rsidP="00522617">
      <w:pPr>
        <w:spacing w:after="120" w:line="264" w:lineRule="auto"/>
        <w:jc w:val="both"/>
        <w:rPr>
          <w:rFonts w:cs="Arial"/>
          <w:bCs/>
        </w:rPr>
      </w:pPr>
      <w:r w:rsidRPr="008E64FA">
        <w:rPr>
          <w:rFonts w:cs="Arial"/>
          <w:bCs/>
        </w:rPr>
        <w:t>Podnikatelské subjekty (</w:t>
      </w:r>
      <w:r w:rsidR="00857C49" w:rsidRPr="008E64FA">
        <w:rPr>
          <w:rFonts w:cs="Arial"/>
          <w:bCs/>
        </w:rPr>
        <w:t>MSP a</w:t>
      </w:r>
      <w:r w:rsidRPr="008E64FA">
        <w:rPr>
          <w:rFonts w:cs="Arial"/>
          <w:bCs/>
        </w:rPr>
        <w:t xml:space="preserve"> případně velké podniky, které </w:t>
      </w:r>
      <w:proofErr w:type="gramStart"/>
      <w:r w:rsidRPr="008E64FA">
        <w:rPr>
          <w:rFonts w:cs="Arial"/>
          <w:bCs/>
        </w:rPr>
        <w:t>spolupracují</w:t>
      </w:r>
      <w:r w:rsidR="003D5B75" w:rsidRPr="008E64FA">
        <w:rPr>
          <w:rFonts w:cs="Arial"/>
          <w:bCs/>
        </w:rPr>
        <w:t xml:space="preserve"> </w:t>
      </w:r>
      <w:r w:rsidRPr="008E64FA">
        <w:rPr>
          <w:rFonts w:cs="Arial"/>
          <w:bCs/>
        </w:rPr>
        <w:t>s MSP</w:t>
      </w:r>
      <w:proofErr w:type="gramEnd"/>
      <w:r w:rsidRPr="008E64FA">
        <w:rPr>
          <w:rFonts w:cs="Arial"/>
          <w:bCs/>
        </w:rPr>
        <w:t>)</w:t>
      </w:r>
      <w:r w:rsidR="00431C7A" w:rsidRPr="008E64FA">
        <w:rPr>
          <w:rFonts w:cs="Arial"/>
          <w:bCs/>
        </w:rPr>
        <w:t xml:space="preserve">, </w:t>
      </w:r>
      <w:r w:rsidR="00D34CDE" w:rsidRPr="008E64FA">
        <w:rPr>
          <w:rFonts w:cs="Arial"/>
          <w:bCs/>
        </w:rPr>
        <w:t>organizace pro výzkum a šíření znalostí.</w:t>
      </w:r>
    </w:p>
    <w:p w14:paraId="74DD5DAA" w14:textId="77777777" w:rsidR="00883BE2" w:rsidRPr="008E64FA" w:rsidRDefault="00883BE2" w:rsidP="00176367">
      <w:pPr>
        <w:rPr>
          <w:rFonts w:cs="Calibri"/>
          <w:color w:val="000000"/>
          <w:lang w:eastAsia="cs-CZ"/>
        </w:rPr>
      </w:pPr>
    </w:p>
    <w:p w14:paraId="07FEEF8B" w14:textId="77777777" w:rsidR="00EA5FEC" w:rsidRPr="008E64FA" w:rsidRDefault="00EA5FEC" w:rsidP="00EA5FEC">
      <w:pPr>
        <w:jc w:val="both"/>
        <w:rPr>
          <w:rFonts w:cs="Arial"/>
          <w:b/>
          <w:i/>
          <w:sz w:val="28"/>
          <w:szCs w:val="28"/>
        </w:rPr>
      </w:pPr>
      <w:r w:rsidRPr="008E64FA">
        <w:rPr>
          <w:rFonts w:cs="Arial"/>
          <w:b/>
          <w:i/>
          <w:sz w:val="28"/>
          <w:szCs w:val="28"/>
        </w:rPr>
        <w:lastRenderedPageBreak/>
        <w:t>SC 1.2 Využití přínosů digitalizace pro občany, podniky a vlády</w:t>
      </w:r>
    </w:p>
    <w:p w14:paraId="544997D8" w14:textId="77777777" w:rsidR="001206DA" w:rsidRPr="008E64FA" w:rsidRDefault="001206DA" w:rsidP="001206DA">
      <w:pPr>
        <w:pStyle w:val="Odstavecseseznamem"/>
        <w:spacing w:after="120" w:line="264" w:lineRule="auto"/>
        <w:ind w:left="0"/>
        <w:contextualSpacing w:val="0"/>
        <w:jc w:val="both"/>
        <w:rPr>
          <w:rFonts w:cs="Arial"/>
        </w:rPr>
      </w:pPr>
      <w:r w:rsidRPr="008E64FA">
        <w:rPr>
          <w:rFonts w:cs="Arial"/>
        </w:rPr>
        <w:t xml:space="preserve">S ohledem na potřeby ČR v oblasti ekonomického a společenského rozvoje je nezbytné zaměřit orientaci na stále vyšší intenzitu využívání inovací a digitálních technologií, na zabezpečení růstu konkurenceschopnosti a na zlepšení přenosu výsledků vědy do podnikatelské praxe. Zároveň je nezbytné zajistit, aby zejména MSP mohly plně těžit z digitálních inovací i ze všech dalších rychle se rozvíjejících technologických oblastí, jako jsou umělá inteligence, </w:t>
      </w:r>
      <w:proofErr w:type="spellStart"/>
      <w:r w:rsidRPr="008E64FA">
        <w:rPr>
          <w:rFonts w:cs="Arial"/>
        </w:rPr>
        <w:t>High</w:t>
      </w:r>
      <w:proofErr w:type="spellEnd"/>
      <w:r w:rsidRPr="008E64FA">
        <w:rPr>
          <w:rFonts w:cs="Arial"/>
        </w:rPr>
        <w:t xml:space="preserve"> Performance </w:t>
      </w:r>
      <w:proofErr w:type="spellStart"/>
      <w:r w:rsidRPr="008E64FA">
        <w:rPr>
          <w:rFonts w:cs="Arial"/>
        </w:rPr>
        <w:t>Computing</w:t>
      </w:r>
      <w:proofErr w:type="spellEnd"/>
      <w:r w:rsidRPr="008E64FA">
        <w:rPr>
          <w:rFonts w:cs="Arial"/>
        </w:rPr>
        <w:t xml:space="preserve">, </w:t>
      </w:r>
      <w:proofErr w:type="spellStart"/>
      <w:r w:rsidRPr="008E64FA">
        <w:rPr>
          <w:rFonts w:cs="Arial"/>
        </w:rPr>
        <w:t>Block-chain</w:t>
      </w:r>
      <w:proofErr w:type="spellEnd"/>
      <w:r w:rsidRPr="008E64FA">
        <w:rPr>
          <w:rFonts w:cs="Arial"/>
        </w:rPr>
        <w:t xml:space="preserve"> či zapojení do evropské sítě center pro digitální inovace. </w:t>
      </w:r>
    </w:p>
    <w:p w14:paraId="26531136" w14:textId="77777777" w:rsidR="001206DA" w:rsidRPr="008E64FA" w:rsidRDefault="001206DA" w:rsidP="001206DA">
      <w:pPr>
        <w:spacing w:after="120" w:line="264" w:lineRule="auto"/>
        <w:jc w:val="both"/>
        <w:rPr>
          <w:rFonts w:cs="Arial"/>
        </w:rPr>
      </w:pPr>
      <w:r w:rsidRPr="008E64FA">
        <w:rPr>
          <w:rFonts w:cs="Arial"/>
        </w:rPr>
        <w:t>V rámci tohoto specifického cíle tak budou podporovány zejména následující aktivity:</w:t>
      </w:r>
    </w:p>
    <w:p w14:paraId="5BC812FE" w14:textId="77777777" w:rsidR="001206DA" w:rsidRPr="008E64FA" w:rsidRDefault="001206DA" w:rsidP="001206DA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64" w:lineRule="auto"/>
        <w:contextualSpacing w:val="0"/>
        <w:jc w:val="both"/>
        <w:textAlignment w:val="baseline"/>
        <w:rPr>
          <w:rFonts w:cs="Arial"/>
        </w:rPr>
      </w:pPr>
      <w:r w:rsidRPr="008E64FA">
        <w:rPr>
          <w:rFonts w:cs="Arial"/>
        </w:rPr>
        <w:t>Zavádění umělé inteligence v podnicích - podpora projektů v oblastech související s automatizací procesů a robotiky a kybernetické bezpečnosti online i fyzických systémů, v souvislosti se zaváděním nových technologických poznatků;</w:t>
      </w:r>
    </w:p>
    <w:p w14:paraId="258D73F7" w14:textId="77777777" w:rsidR="001206DA" w:rsidRPr="008E64FA" w:rsidRDefault="001206DA" w:rsidP="001206DA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64" w:lineRule="auto"/>
        <w:contextualSpacing w:val="0"/>
        <w:jc w:val="both"/>
        <w:textAlignment w:val="baseline"/>
        <w:rPr>
          <w:rFonts w:cs="Arial"/>
        </w:rPr>
      </w:pPr>
      <w:r w:rsidRPr="008E64FA">
        <w:rPr>
          <w:rFonts w:cs="Arial"/>
        </w:rPr>
        <w:t xml:space="preserve">Digitalizace zejména MSP (včetně elektronického obchodu, elektronického podnikání a síťových obchodních procesů, center pro digitální inovace, živých laboratoří, internetových podnikatelů a </w:t>
      </w:r>
      <w:proofErr w:type="spellStart"/>
      <w:r w:rsidRPr="008E64FA">
        <w:rPr>
          <w:rFonts w:cs="Arial"/>
        </w:rPr>
        <w:t>startupů</w:t>
      </w:r>
      <w:proofErr w:type="spellEnd"/>
      <w:r w:rsidRPr="008E64FA">
        <w:rPr>
          <w:rFonts w:cs="Arial"/>
        </w:rPr>
        <w:t xml:space="preserve"> v oblasti IKT, B2B); </w:t>
      </w:r>
    </w:p>
    <w:p w14:paraId="3EA68E77" w14:textId="77777777" w:rsidR="001206DA" w:rsidRPr="008E64FA" w:rsidRDefault="001206DA" w:rsidP="001206DA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64" w:lineRule="auto"/>
        <w:contextualSpacing w:val="0"/>
        <w:jc w:val="both"/>
        <w:textAlignment w:val="baseline"/>
        <w:rPr>
          <w:rFonts w:cs="Arial"/>
        </w:rPr>
      </w:pPr>
      <w:r w:rsidRPr="008E64FA">
        <w:rPr>
          <w:rFonts w:cs="Arial"/>
        </w:rPr>
        <w:t xml:space="preserve">Budování a propojování sítě Digital Innovation </w:t>
      </w:r>
      <w:proofErr w:type="spellStart"/>
      <w:r w:rsidRPr="008E64FA">
        <w:rPr>
          <w:rFonts w:cs="Arial"/>
        </w:rPr>
        <w:t>Hubs</w:t>
      </w:r>
      <w:proofErr w:type="spellEnd"/>
      <w:r w:rsidRPr="008E64FA">
        <w:rPr>
          <w:rFonts w:cs="Arial"/>
        </w:rPr>
        <w:t xml:space="preserve"> na národní i evropské úrovni;</w:t>
      </w:r>
    </w:p>
    <w:p w14:paraId="16B44CDD" w14:textId="77777777" w:rsidR="001206DA" w:rsidRPr="008E64FA" w:rsidRDefault="001206DA" w:rsidP="001206DA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64" w:lineRule="auto"/>
        <w:contextualSpacing w:val="0"/>
        <w:jc w:val="both"/>
        <w:textAlignment w:val="baseline"/>
        <w:rPr>
          <w:rFonts w:cs="Arial"/>
        </w:rPr>
      </w:pPr>
      <w:r w:rsidRPr="008E64FA">
        <w:rPr>
          <w:rFonts w:cs="Arial"/>
        </w:rPr>
        <w:t xml:space="preserve">Využití technologie </w:t>
      </w:r>
      <w:proofErr w:type="spellStart"/>
      <w:r w:rsidRPr="008E64FA">
        <w:rPr>
          <w:rFonts w:cs="Arial"/>
        </w:rPr>
        <w:t>block-chain</w:t>
      </w:r>
      <w:proofErr w:type="spellEnd"/>
      <w:r w:rsidRPr="008E64FA">
        <w:rPr>
          <w:rFonts w:cs="Arial"/>
        </w:rPr>
        <w:t xml:space="preserve"> a obdobných pro rozvoj ekonomiky;</w:t>
      </w:r>
    </w:p>
    <w:p w14:paraId="1DF587C3" w14:textId="77777777" w:rsidR="001206DA" w:rsidRPr="008E64FA" w:rsidRDefault="001206DA" w:rsidP="001206DA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64" w:lineRule="auto"/>
        <w:contextualSpacing w:val="0"/>
        <w:jc w:val="both"/>
        <w:textAlignment w:val="baseline"/>
        <w:rPr>
          <w:rFonts w:cs="Arial"/>
        </w:rPr>
      </w:pPr>
      <w:r w:rsidRPr="008E64FA">
        <w:rPr>
          <w:rFonts w:cs="Arial"/>
        </w:rPr>
        <w:t xml:space="preserve">Vývoj specializovaného SW (např. pro počítačovou bezpečnost, simulace, monitorování, počítačové vidění, pro práci s velkými daty – Big Data </w:t>
      </w:r>
      <w:proofErr w:type="spellStart"/>
      <w:r w:rsidRPr="008E64FA">
        <w:rPr>
          <w:rFonts w:cs="Arial"/>
        </w:rPr>
        <w:t>Analytics</w:t>
      </w:r>
      <w:proofErr w:type="spellEnd"/>
      <w:r w:rsidRPr="008E64FA">
        <w:rPr>
          <w:rFonts w:cs="Arial"/>
        </w:rPr>
        <w:t xml:space="preserve">, pro 3D tisk apod.), dále v oblasti digitalizace, automatizace, průmyslu 4.0 a vyšší úrovně, zavádění AI, robotizace, strojového učení, rozšířené a virtuální reality, business </w:t>
      </w:r>
      <w:proofErr w:type="spellStart"/>
      <w:r w:rsidRPr="008E64FA">
        <w:rPr>
          <w:rFonts w:cs="Arial"/>
        </w:rPr>
        <w:t>intelligence</w:t>
      </w:r>
      <w:proofErr w:type="spellEnd"/>
      <w:r w:rsidRPr="008E64FA">
        <w:rPr>
          <w:rFonts w:cs="Arial"/>
        </w:rPr>
        <w:t>, e-</w:t>
      </w:r>
      <w:proofErr w:type="spellStart"/>
      <w:r w:rsidRPr="008E64FA">
        <w:rPr>
          <w:rFonts w:cs="Arial"/>
        </w:rPr>
        <w:t>commerce</w:t>
      </w:r>
      <w:proofErr w:type="spellEnd"/>
      <w:r w:rsidRPr="008E64FA">
        <w:rPr>
          <w:rFonts w:cs="Arial"/>
        </w:rPr>
        <w:t xml:space="preserve"> apod. SW řešení, která zásadním způsobem zefektivňují procesy a přidanou hodnotu zejména v MSP;</w:t>
      </w:r>
    </w:p>
    <w:p w14:paraId="6F6616A2" w14:textId="77777777" w:rsidR="001206DA" w:rsidRPr="008E64FA" w:rsidRDefault="001206DA" w:rsidP="001206DA">
      <w:pPr>
        <w:spacing w:after="120" w:line="264" w:lineRule="auto"/>
        <w:jc w:val="both"/>
        <w:rPr>
          <w:rFonts w:cs="Arial"/>
          <w:iCs/>
        </w:rPr>
      </w:pPr>
    </w:p>
    <w:p w14:paraId="3A7F3A0A" w14:textId="77777777" w:rsidR="001206DA" w:rsidRPr="008E64FA" w:rsidRDefault="001206DA" w:rsidP="001206DA">
      <w:pPr>
        <w:spacing w:after="120" w:line="264" w:lineRule="auto"/>
        <w:jc w:val="both"/>
        <w:rPr>
          <w:rFonts w:cs="Arial"/>
          <w:b/>
          <w:bCs/>
        </w:rPr>
      </w:pPr>
      <w:r w:rsidRPr="008E64FA">
        <w:rPr>
          <w:rFonts w:cs="Arial"/>
          <w:b/>
          <w:bCs/>
        </w:rPr>
        <w:t xml:space="preserve">Očekávaný příspěvek podporovaných aktivit ke specifickému cíli: </w:t>
      </w:r>
    </w:p>
    <w:p w14:paraId="3DE26EC5" w14:textId="77777777" w:rsidR="001206DA" w:rsidRPr="008E64FA" w:rsidRDefault="001206DA" w:rsidP="001206DA">
      <w:pPr>
        <w:spacing w:after="120" w:line="264" w:lineRule="auto"/>
        <w:jc w:val="both"/>
        <w:rPr>
          <w:rFonts w:cs="Arial"/>
        </w:rPr>
      </w:pPr>
      <w:r w:rsidRPr="008E64FA">
        <w:rPr>
          <w:rFonts w:cs="Arial"/>
          <w:bCs/>
        </w:rPr>
        <w:t xml:space="preserve">Vzhledem k tomu, že digitalizace prostupuje všemi sférami ekonomiky a společnosti a transformace průmyslu v ČR probíhá napříč všemi sektorovými agendami, tak prostřednictvím výše uvedených intervencí by mělo být dosaženo zejména zvýšení využití digitálních nástrojů a nových technologií v podnikání ze strany MSP, zavedení internetu věcí ve většině obchodně-výrobních řetězců v MSP, vybudování národní sítě center pro digitální inovace a zajištění jejich služeb pro MSP či zvýšení kybernetické bezpečnosti systémů a technologií zejména v MSP. Dané intervence by rovněž měly usnadnit zapojení domácích MSP do evropských programů </w:t>
      </w:r>
      <w:proofErr w:type="spellStart"/>
      <w:r w:rsidRPr="008E64FA">
        <w:rPr>
          <w:rFonts w:cs="Arial"/>
          <w:bCs/>
        </w:rPr>
        <w:t>Horizon</w:t>
      </w:r>
      <w:proofErr w:type="spellEnd"/>
      <w:r w:rsidRPr="008E64FA">
        <w:rPr>
          <w:rFonts w:cs="Arial"/>
          <w:bCs/>
        </w:rPr>
        <w:t xml:space="preserve"> </w:t>
      </w:r>
      <w:proofErr w:type="spellStart"/>
      <w:r w:rsidRPr="008E64FA">
        <w:rPr>
          <w:rFonts w:cs="Arial"/>
          <w:bCs/>
        </w:rPr>
        <w:t>Europe</w:t>
      </w:r>
      <w:proofErr w:type="spellEnd"/>
      <w:r w:rsidRPr="008E64FA">
        <w:rPr>
          <w:rFonts w:cs="Arial"/>
          <w:bCs/>
        </w:rPr>
        <w:t xml:space="preserve"> a Digital </w:t>
      </w:r>
      <w:proofErr w:type="spellStart"/>
      <w:r w:rsidRPr="008E64FA">
        <w:rPr>
          <w:rFonts w:cs="Arial"/>
          <w:bCs/>
        </w:rPr>
        <w:t>Europe</w:t>
      </w:r>
      <w:proofErr w:type="spellEnd"/>
      <w:r w:rsidRPr="008E64FA">
        <w:rPr>
          <w:rFonts w:cs="Arial"/>
        </w:rPr>
        <w:t xml:space="preserve">. </w:t>
      </w:r>
    </w:p>
    <w:p w14:paraId="32C04CF1" w14:textId="77777777" w:rsidR="001206DA" w:rsidRPr="008E64FA" w:rsidRDefault="001206DA" w:rsidP="001206DA">
      <w:pPr>
        <w:spacing w:after="120" w:line="264" w:lineRule="auto"/>
        <w:jc w:val="both"/>
        <w:rPr>
          <w:rFonts w:cs="Arial"/>
        </w:rPr>
      </w:pPr>
      <w:r w:rsidRPr="008E64FA">
        <w:rPr>
          <w:rFonts w:cs="Arial"/>
        </w:rPr>
        <w:t xml:space="preserve">Zmiňovaná opatření by tak měla MSP umožnit přizpůsobení se výzvám digitálního věku a současně využít pro své podnikání všech souvisejících výhod a </w:t>
      </w:r>
      <w:r w:rsidRPr="008E64FA">
        <w:rPr>
          <w:rFonts w:cs="Arial"/>
          <w:color w:val="000000" w:themeColor="text1"/>
        </w:rPr>
        <w:t xml:space="preserve">usnadnit proces přechodu zejména MSP na plné využití rychle se rozvíjející digitální ekonomiky a společnosti s důrazem zejména na oblast Internetu věcí, umělou inteligenci a </w:t>
      </w:r>
      <w:proofErr w:type="spellStart"/>
      <w:r w:rsidRPr="008E64FA">
        <w:rPr>
          <w:rFonts w:cs="Arial"/>
          <w:color w:val="000000" w:themeColor="text1"/>
        </w:rPr>
        <w:t>Blockchain</w:t>
      </w:r>
      <w:proofErr w:type="spellEnd"/>
      <w:r w:rsidRPr="008E64FA">
        <w:rPr>
          <w:rFonts w:cs="Arial"/>
        </w:rPr>
        <w:t>. V</w:t>
      </w:r>
      <w:r w:rsidRPr="008E64FA">
        <w:rPr>
          <w:rFonts w:cs="Arial"/>
          <w:bCs/>
        </w:rPr>
        <w:t>šechna odvětví budou mít možnost plně těžit z digitálních inovací a maximalizovat svůj růstový potenciál za účelem vytváření produktů, postupů a služeb s vyšší přidanou hodnotou, přičemž dojde ke zvýšení počtu MSP využívajících digitální technologie a internet věcí či zvýšení konkurenceschopnosti podnikatelského sektoru.</w:t>
      </w:r>
    </w:p>
    <w:p w14:paraId="16547712" w14:textId="77777777" w:rsidR="001206DA" w:rsidRPr="008E64FA" w:rsidRDefault="001206DA" w:rsidP="001206DA">
      <w:pPr>
        <w:spacing w:after="120" w:line="264" w:lineRule="auto"/>
        <w:jc w:val="both"/>
        <w:rPr>
          <w:rFonts w:eastAsia="Calibri" w:cs="Arial"/>
          <w:color w:val="000000" w:themeColor="text1"/>
        </w:rPr>
      </w:pPr>
    </w:p>
    <w:p w14:paraId="6CE9AC07" w14:textId="77777777" w:rsidR="00587A58" w:rsidRPr="008E64FA" w:rsidRDefault="00587A58" w:rsidP="001206DA">
      <w:pPr>
        <w:spacing w:after="120" w:line="264" w:lineRule="auto"/>
        <w:jc w:val="both"/>
        <w:rPr>
          <w:rFonts w:eastAsia="Calibri" w:cs="Arial"/>
          <w:color w:val="000000" w:themeColor="text1"/>
        </w:rPr>
      </w:pPr>
    </w:p>
    <w:p w14:paraId="25B7CFE9" w14:textId="77777777" w:rsidR="001206DA" w:rsidRPr="008E64FA" w:rsidRDefault="001206DA" w:rsidP="001206DA">
      <w:pPr>
        <w:spacing w:after="120" w:line="264" w:lineRule="auto"/>
        <w:rPr>
          <w:rFonts w:cs="Arial"/>
          <w:b/>
          <w:iCs/>
        </w:rPr>
      </w:pPr>
      <w:r w:rsidRPr="008E64FA">
        <w:rPr>
          <w:rFonts w:cs="Arial"/>
          <w:b/>
          <w:iCs/>
        </w:rPr>
        <w:t>Hlavní cílové skupiny</w:t>
      </w:r>
    </w:p>
    <w:p w14:paraId="17AFDDDC" w14:textId="77777777" w:rsidR="001206DA" w:rsidRPr="008E64FA" w:rsidRDefault="001206DA" w:rsidP="001206DA">
      <w:pPr>
        <w:spacing w:after="120" w:line="264" w:lineRule="auto"/>
        <w:jc w:val="both"/>
        <w:rPr>
          <w:rFonts w:cs="Arial"/>
          <w:bCs/>
        </w:rPr>
      </w:pPr>
      <w:r w:rsidRPr="008E64FA">
        <w:rPr>
          <w:rFonts w:cs="Arial"/>
        </w:rPr>
        <w:lastRenderedPageBreak/>
        <w:t>Cílovými skupinami budou primárně podnikatelské subjekty (vč. podniků až ze 100 % vlastněných veřejným sektorem), které budou mít v rámci svých odvětví možnost plně těžit z digitálních inovací a maximalizovat svůj růstový potenciál za účelem vytváření produktů, postupů a služeb s vyšší přidanou hodnotou. Dále se bude jednat o organizace pro výzkum a šíření znalostí (tj. subjekty splňující definici Výzkumné organizace dle Rámce pro státní podporu Výzkumu, vývoje a inovací), c</w:t>
      </w:r>
      <w:r w:rsidRPr="008E64FA">
        <w:rPr>
          <w:rFonts w:cs="Arial"/>
          <w:bCs/>
        </w:rPr>
        <w:t>entra digitálních inovací, výzkumné infrastruktury, střediska vysoce výkonné výpočetní techniky či digitální klastry. Dále také obyvatelé využívající informační technologie.</w:t>
      </w:r>
    </w:p>
    <w:p w14:paraId="5F959339" w14:textId="77777777" w:rsidR="001206DA" w:rsidRPr="008E64FA" w:rsidRDefault="001206DA" w:rsidP="001206DA">
      <w:pPr>
        <w:spacing w:after="120" w:line="264" w:lineRule="auto"/>
        <w:rPr>
          <w:rFonts w:cs="Arial"/>
          <w:b/>
          <w:iCs/>
          <w:sz w:val="20"/>
          <w:szCs w:val="20"/>
        </w:rPr>
      </w:pPr>
    </w:p>
    <w:p w14:paraId="1826F2A1" w14:textId="77777777" w:rsidR="001206DA" w:rsidRPr="008E64FA" w:rsidRDefault="001206DA" w:rsidP="001206DA">
      <w:pPr>
        <w:spacing w:after="120" w:line="264" w:lineRule="auto"/>
        <w:rPr>
          <w:rFonts w:cs="Arial"/>
          <w:b/>
          <w:iCs/>
        </w:rPr>
      </w:pPr>
      <w:r w:rsidRPr="008E64FA">
        <w:rPr>
          <w:rFonts w:cs="Arial"/>
          <w:b/>
          <w:iCs/>
        </w:rPr>
        <w:t>Konkrétní cílová území, včetně plánovaného použití územních nástrojů</w:t>
      </w:r>
    </w:p>
    <w:p w14:paraId="2936CBAD" w14:textId="77777777" w:rsidR="001206DA" w:rsidRPr="008E64FA" w:rsidRDefault="001206DA" w:rsidP="001206DA">
      <w:pPr>
        <w:spacing w:after="120" w:line="264" w:lineRule="auto"/>
        <w:jc w:val="both"/>
        <w:rPr>
          <w:rFonts w:cs="Arial"/>
          <w:color w:val="000000" w:themeColor="text1"/>
        </w:rPr>
      </w:pPr>
      <w:r w:rsidRPr="008E64FA">
        <w:rPr>
          <w:rFonts w:cs="Arial"/>
          <w:color w:val="000000" w:themeColor="text1"/>
        </w:rPr>
        <w:t xml:space="preserve">Území České republiky, vč. hl. města Prahy. Vzhledem k charakteru problematiky budou intervence směřovány </w:t>
      </w:r>
      <w:r w:rsidRPr="008E64FA">
        <w:rPr>
          <w:rFonts w:cs="Arial"/>
          <w:iCs/>
          <w:color w:val="000000" w:themeColor="text1"/>
        </w:rPr>
        <w:t>napříč všemi třemi kategoriemi regionů, jelikož se jedná o problematiku, která se vzhledem k charakteru a</w:t>
      </w:r>
      <w:r w:rsidRPr="008E64FA">
        <w:rPr>
          <w:rFonts w:cs="Arial"/>
          <w:color w:val="000000" w:themeColor="text1"/>
        </w:rPr>
        <w:t xml:space="preserve"> dopadům digitálních technologií týká ČR celoplošně.</w:t>
      </w:r>
    </w:p>
    <w:p w14:paraId="65092E15" w14:textId="172ABD09" w:rsidR="00B11CF0" w:rsidRPr="008E64FA" w:rsidRDefault="00B11CF0" w:rsidP="00176367">
      <w:pPr>
        <w:rPr>
          <w:rFonts w:cs="Calibri"/>
          <w:color w:val="000000"/>
          <w:lang w:eastAsia="cs-CZ"/>
        </w:rPr>
      </w:pPr>
    </w:p>
    <w:p w14:paraId="3B905258" w14:textId="77777777" w:rsidR="00631501" w:rsidRPr="008E64FA" w:rsidRDefault="00631501" w:rsidP="00631501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lang w:eastAsia="cs-CZ"/>
        </w:rPr>
      </w:pPr>
      <w:r w:rsidRPr="008E64FA">
        <w:rPr>
          <w:rFonts w:asciiTheme="minorHAnsi" w:hAnsiTheme="minorHAnsi" w:cs="Arial"/>
          <w:b/>
          <w:color w:val="000000" w:themeColor="text1"/>
          <w:lang w:eastAsia="cs-CZ"/>
        </w:rPr>
        <w:t>Typy příjemců:</w:t>
      </w:r>
    </w:p>
    <w:p w14:paraId="2AB3C054" w14:textId="64242161" w:rsidR="00631501" w:rsidRPr="008E64FA" w:rsidRDefault="00631501" w:rsidP="00631501">
      <w:pPr>
        <w:spacing w:after="120" w:line="264" w:lineRule="auto"/>
        <w:jc w:val="both"/>
        <w:rPr>
          <w:rFonts w:cs="Arial"/>
          <w:bCs/>
        </w:rPr>
      </w:pPr>
      <w:r w:rsidRPr="008E64FA">
        <w:rPr>
          <w:rFonts w:cs="Arial"/>
          <w:bCs/>
        </w:rPr>
        <w:t>Podnikatelské subjekty,</w:t>
      </w:r>
      <w:r w:rsidR="0003672B" w:rsidRPr="008E64FA">
        <w:rPr>
          <w:rFonts w:cs="Arial"/>
          <w:bCs/>
        </w:rPr>
        <w:t xml:space="preserve"> především MSP,</w:t>
      </w:r>
      <w:r w:rsidRPr="008E64FA">
        <w:rPr>
          <w:rFonts w:cs="Arial"/>
          <w:bCs/>
        </w:rPr>
        <w:t xml:space="preserve"> organizace pro výzkum a šíření znalostí.</w:t>
      </w:r>
    </w:p>
    <w:p w14:paraId="1B7D9380" w14:textId="77777777" w:rsidR="00631501" w:rsidRPr="008E64FA" w:rsidRDefault="00631501" w:rsidP="00176367">
      <w:pPr>
        <w:rPr>
          <w:rFonts w:cs="Calibri"/>
          <w:color w:val="000000"/>
          <w:lang w:eastAsia="cs-CZ"/>
        </w:rPr>
      </w:pPr>
    </w:p>
    <w:p w14:paraId="6C5DAC34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60A43316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1648B7EC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7EC4A5E8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591DB8EE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644C61D8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61527E13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34BB7A3E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174D601D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0E6CE5DF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02BB4B5F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66472731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52B77F09" w14:textId="77777777" w:rsidR="00587A58" w:rsidRPr="008E64FA" w:rsidRDefault="00587A58" w:rsidP="00587A58">
      <w:pPr>
        <w:spacing w:before="240"/>
        <w:jc w:val="both"/>
        <w:rPr>
          <w:rFonts w:cs="Arial"/>
          <w:b/>
          <w:bCs/>
          <w:i/>
          <w:sz w:val="26"/>
          <w:szCs w:val="26"/>
        </w:rPr>
      </w:pPr>
    </w:p>
    <w:p w14:paraId="51AA4A4C" w14:textId="42AFC677" w:rsidR="00587A58" w:rsidRPr="008E64FA" w:rsidRDefault="00587A58" w:rsidP="00587A58">
      <w:pPr>
        <w:spacing w:before="240"/>
        <w:jc w:val="both"/>
        <w:rPr>
          <w:rFonts w:cs="Arial"/>
          <w:b/>
          <w:i/>
          <w:sz w:val="26"/>
          <w:szCs w:val="26"/>
        </w:rPr>
      </w:pPr>
      <w:r w:rsidRPr="008E64FA">
        <w:rPr>
          <w:rFonts w:cs="Arial"/>
          <w:b/>
          <w:bCs/>
          <w:i/>
          <w:sz w:val="26"/>
          <w:szCs w:val="26"/>
        </w:rPr>
        <w:lastRenderedPageBreak/>
        <w:t xml:space="preserve">SC </w:t>
      </w:r>
      <w:r w:rsidRPr="008E64FA">
        <w:rPr>
          <w:rFonts w:cs="Arial"/>
          <w:b/>
          <w:i/>
          <w:sz w:val="26"/>
          <w:szCs w:val="26"/>
        </w:rPr>
        <w:t>1.3 Rozvoj dovedností pro inteligentní specializaci, průmyslovou transformaci a podnikání</w:t>
      </w:r>
    </w:p>
    <w:p w14:paraId="546E865F" w14:textId="77777777" w:rsidR="00587A58" w:rsidRPr="008E64FA" w:rsidRDefault="00587A58" w:rsidP="00587A58">
      <w:pPr>
        <w:spacing w:after="120" w:line="259" w:lineRule="auto"/>
        <w:jc w:val="both"/>
        <w:rPr>
          <w:rFonts w:cs="Arial"/>
          <w:bCs/>
        </w:rPr>
      </w:pPr>
      <w:r w:rsidRPr="008E64FA">
        <w:rPr>
          <w:rFonts w:cs="Arial"/>
          <w:bCs/>
        </w:rPr>
        <w:t xml:space="preserve">Opatření v rámci tohoto specifického cíle napomohou firemnímu sektoru realizovat ambiciózní politiku cíleného rozvoje dovedností svých zaměstnanců. Opatření dále přispějí k přiblížení formálního vzdělávání specifickým potřebám firemního sektoru. Díky tomu se v podnikové sféře zlepší dostupnost kvalifikované pracovní síly, která bude schopná reagovat na potřeby a příležitosti plynoucí z rychlého technologického rozvoje a dalších světových trendů. Naplánovaná opatření by tak měla přispět k zavádění nových technologií a inovací ve firmách a úspěšné průmyslové transformaci ČR. </w:t>
      </w:r>
    </w:p>
    <w:p w14:paraId="2F25D489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bCs/>
        </w:rPr>
        <w:t>Rozvoj dovedností pro inteligentní specializaci, průmyslovou transformaci a podnikání je integrální součástí Národní RIS3 strategie. Národní RIS3 strategie v rámci tohoto cíle nasměruje aktivity do oblastí navázaných na specifické potřeby národního i regionálních inovačních ekosystémů.</w:t>
      </w:r>
    </w:p>
    <w:p w14:paraId="5957666E" w14:textId="77777777" w:rsidR="00587A58" w:rsidRPr="008E64FA" w:rsidRDefault="00587A58" w:rsidP="00587A58">
      <w:pPr>
        <w:spacing w:after="120"/>
        <w:jc w:val="both"/>
        <w:rPr>
          <w:rFonts w:cs="Arial"/>
          <w:iCs/>
        </w:rPr>
      </w:pPr>
      <w:r w:rsidRPr="008E64FA">
        <w:rPr>
          <w:rFonts w:cs="Arial"/>
        </w:rPr>
        <w:t>V</w:t>
      </w:r>
      <w:r w:rsidRPr="008E64FA">
        <w:rPr>
          <w:rFonts w:cs="Arial"/>
          <w:iCs/>
        </w:rPr>
        <w:t xml:space="preserve"> rámci tohoto specifického cíle tak budou podporovány zejména následující aktivity:</w:t>
      </w:r>
    </w:p>
    <w:p w14:paraId="090181ED" w14:textId="77777777" w:rsidR="00587A58" w:rsidRPr="008E64FA" w:rsidRDefault="00587A58" w:rsidP="00587A58">
      <w:pPr>
        <w:numPr>
          <w:ilvl w:val="0"/>
          <w:numId w:val="27"/>
        </w:numPr>
        <w:spacing w:after="120" w:line="264" w:lineRule="auto"/>
        <w:ind w:hanging="357"/>
        <w:jc w:val="both"/>
        <w:rPr>
          <w:rFonts w:cs="Arial"/>
          <w:iCs/>
        </w:rPr>
      </w:pPr>
      <w:r w:rsidRPr="008E64FA">
        <w:rPr>
          <w:rFonts w:cs="Arial"/>
          <w:iCs/>
        </w:rPr>
        <w:t>Podpora odborného vzdělávání zaměstnanců podniků v oblasti dovedností pro inteligentní specializaci, průmyslovou transformaci a podnikání, zejména:</w:t>
      </w:r>
    </w:p>
    <w:p w14:paraId="19E20D28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Odborná příprava zaměstnanců spojená se zaváděním nových technologií ve firmách.</w:t>
      </w:r>
    </w:p>
    <w:p w14:paraId="101F89E1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Financování technického vybavení pro školení zaměstnanců.</w:t>
      </w:r>
    </w:p>
    <w:p w14:paraId="24F9481E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Stáže zaměstnanců podniků v ČR i v zahraničí za účelem osvojování (zahraničních) zkušeností a dobrých praxí.</w:t>
      </w:r>
    </w:p>
    <w:p w14:paraId="0A507667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 xml:space="preserve">Podpora zlepšení strategického řízení, akcelerace růstu a inovativnosti v MSP (standardizované programy zaměřené na strategické řízení; manažerské vzdělávání, </w:t>
      </w:r>
      <w:proofErr w:type="spellStart"/>
      <w:r w:rsidRPr="008E64FA">
        <w:rPr>
          <w:rFonts w:cs="Arial"/>
          <w:iCs/>
        </w:rPr>
        <w:t>koučing</w:t>
      </w:r>
      <w:proofErr w:type="spellEnd"/>
      <w:r w:rsidRPr="008E64FA">
        <w:rPr>
          <w:rFonts w:cs="Arial"/>
          <w:iCs/>
        </w:rPr>
        <w:t xml:space="preserve">, </w:t>
      </w:r>
      <w:proofErr w:type="spellStart"/>
      <w:r w:rsidRPr="008E64FA">
        <w:rPr>
          <w:rFonts w:cs="Arial"/>
          <w:iCs/>
        </w:rPr>
        <w:t>mentoring</w:t>
      </w:r>
      <w:proofErr w:type="spellEnd"/>
      <w:r w:rsidRPr="008E64FA">
        <w:rPr>
          <w:rFonts w:cs="Arial"/>
          <w:iCs/>
        </w:rPr>
        <w:t>.)</w:t>
      </w:r>
    </w:p>
    <w:p w14:paraId="4BDAF62E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 xml:space="preserve">Podpora rozvoje </w:t>
      </w:r>
      <w:proofErr w:type="spellStart"/>
      <w:r w:rsidRPr="008E64FA">
        <w:rPr>
          <w:rFonts w:cs="Arial"/>
          <w:iCs/>
        </w:rPr>
        <w:t>nových</w:t>
      </w:r>
      <w:proofErr w:type="spellEnd"/>
      <w:r w:rsidRPr="008E64FA">
        <w:rPr>
          <w:rFonts w:cs="Arial"/>
          <w:iCs/>
        </w:rPr>
        <w:t xml:space="preserve"> forem, metod </w:t>
      </w:r>
      <w:proofErr w:type="spellStart"/>
      <w:r w:rsidRPr="008E64FA">
        <w:rPr>
          <w:rFonts w:cs="Arial"/>
          <w:iCs/>
        </w:rPr>
        <w:t>či</w:t>
      </w:r>
      <w:proofErr w:type="spellEnd"/>
      <w:r w:rsidRPr="008E64FA">
        <w:rPr>
          <w:rFonts w:cs="Arial"/>
          <w:iCs/>
        </w:rPr>
        <w:t xml:space="preserve"> </w:t>
      </w:r>
      <w:proofErr w:type="spellStart"/>
      <w:r w:rsidRPr="008E64FA">
        <w:rPr>
          <w:rFonts w:cs="Arial"/>
          <w:iCs/>
        </w:rPr>
        <w:t>didaktických</w:t>
      </w:r>
      <w:proofErr w:type="spellEnd"/>
      <w:r w:rsidRPr="008E64FA">
        <w:rPr>
          <w:rFonts w:cs="Arial"/>
          <w:iCs/>
        </w:rPr>
        <w:t xml:space="preserve"> postupů v </w:t>
      </w:r>
      <w:proofErr w:type="spellStart"/>
      <w:r w:rsidRPr="008E64FA">
        <w:rPr>
          <w:rFonts w:cs="Arial"/>
          <w:iCs/>
        </w:rPr>
        <w:t>rámci</w:t>
      </w:r>
      <w:proofErr w:type="spellEnd"/>
      <w:r w:rsidRPr="008E64FA">
        <w:rPr>
          <w:rFonts w:cs="Arial"/>
          <w:iCs/>
        </w:rPr>
        <w:t xml:space="preserve"> </w:t>
      </w:r>
      <w:proofErr w:type="spellStart"/>
      <w:r w:rsidRPr="008E64FA">
        <w:rPr>
          <w:rFonts w:cs="Arial"/>
          <w:iCs/>
        </w:rPr>
        <w:t>dalšího</w:t>
      </w:r>
      <w:proofErr w:type="spellEnd"/>
      <w:r w:rsidRPr="008E64FA">
        <w:rPr>
          <w:rFonts w:cs="Arial"/>
          <w:iCs/>
        </w:rPr>
        <w:t xml:space="preserve"> </w:t>
      </w:r>
      <w:proofErr w:type="spellStart"/>
      <w:r w:rsidRPr="008E64FA">
        <w:rPr>
          <w:rFonts w:cs="Arial"/>
          <w:iCs/>
        </w:rPr>
        <w:t>vzděláváni</w:t>
      </w:r>
      <w:proofErr w:type="spellEnd"/>
      <w:r w:rsidRPr="008E64FA">
        <w:rPr>
          <w:rFonts w:cs="Arial"/>
          <w:iCs/>
        </w:rPr>
        <w:t xml:space="preserve">́, </w:t>
      </w:r>
      <w:proofErr w:type="spellStart"/>
      <w:r w:rsidRPr="008E64FA">
        <w:rPr>
          <w:rFonts w:cs="Arial"/>
          <w:iCs/>
        </w:rPr>
        <w:t>ktere</w:t>
      </w:r>
      <w:proofErr w:type="spellEnd"/>
      <w:r w:rsidRPr="008E64FA">
        <w:rPr>
          <w:rFonts w:cs="Arial"/>
          <w:iCs/>
        </w:rPr>
        <w:t xml:space="preserve">́ </w:t>
      </w:r>
      <w:proofErr w:type="spellStart"/>
      <w:r w:rsidRPr="008E64FA">
        <w:rPr>
          <w:rFonts w:cs="Arial"/>
          <w:iCs/>
        </w:rPr>
        <w:t>prioritne</w:t>
      </w:r>
      <w:proofErr w:type="spellEnd"/>
      <w:r w:rsidRPr="008E64FA">
        <w:rPr>
          <w:rFonts w:cs="Arial"/>
          <w:iCs/>
        </w:rPr>
        <w:t xml:space="preserve">̌ reflektují </w:t>
      </w:r>
      <w:proofErr w:type="spellStart"/>
      <w:r w:rsidRPr="008E64FA">
        <w:rPr>
          <w:rFonts w:cs="Arial"/>
          <w:iCs/>
        </w:rPr>
        <w:t>potřeby</w:t>
      </w:r>
      <w:proofErr w:type="spellEnd"/>
      <w:r w:rsidRPr="008E64FA">
        <w:rPr>
          <w:rFonts w:cs="Arial"/>
          <w:iCs/>
        </w:rPr>
        <w:t xml:space="preserve"> průmyslové transformace (online platformy, </w:t>
      </w:r>
      <w:proofErr w:type="spellStart"/>
      <w:r w:rsidRPr="008E64FA">
        <w:rPr>
          <w:rFonts w:cs="Arial"/>
          <w:iCs/>
        </w:rPr>
        <w:t>blended</w:t>
      </w:r>
      <w:proofErr w:type="spellEnd"/>
      <w:r w:rsidRPr="008E64FA">
        <w:rPr>
          <w:rFonts w:cs="Arial"/>
          <w:iCs/>
        </w:rPr>
        <w:t xml:space="preserve"> </w:t>
      </w:r>
      <w:proofErr w:type="spellStart"/>
      <w:r w:rsidRPr="008E64FA">
        <w:rPr>
          <w:rFonts w:cs="Arial"/>
          <w:iCs/>
        </w:rPr>
        <w:t>learning</w:t>
      </w:r>
      <w:proofErr w:type="spellEnd"/>
      <w:r w:rsidRPr="008E64FA">
        <w:rPr>
          <w:rFonts w:cs="Arial"/>
          <w:iCs/>
        </w:rPr>
        <w:t xml:space="preserve">, </w:t>
      </w:r>
      <w:proofErr w:type="spellStart"/>
      <w:r w:rsidRPr="008E64FA">
        <w:rPr>
          <w:rFonts w:cs="Arial"/>
          <w:iCs/>
        </w:rPr>
        <w:t>gamifikace</w:t>
      </w:r>
      <w:proofErr w:type="spellEnd"/>
      <w:r w:rsidRPr="008E64FA">
        <w:rPr>
          <w:rFonts w:cs="Arial"/>
          <w:iCs/>
        </w:rPr>
        <w:t xml:space="preserve"> aj.).</w:t>
      </w:r>
    </w:p>
    <w:p w14:paraId="2A23155C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proofErr w:type="spellStart"/>
      <w:r w:rsidRPr="008E64FA">
        <w:rPr>
          <w:rFonts w:cs="Arial"/>
          <w:iCs/>
        </w:rPr>
        <w:t>Osvěta</w:t>
      </w:r>
      <w:proofErr w:type="spellEnd"/>
      <w:r w:rsidRPr="008E64FA">
        <w:rPr>
          <w:rFonts w:cs="Arial"/>
          <w:iCs/>
        </w:rPr>
        <w:t xml:space="preserve"> a propagace </w:t>
      </w:r>
      <w:proofErr w:type="spellStart"/>
      <w:r w:rsidRPr="008E64FA">
        <w:rPr>
          <w:rFonts w:cs="Arial"/>
          <w:iCs/>
        </w:rPr>
        <w:t>dalšího</w:t>
      </w:r>
      <w:proofErr w:type="spellEnd"/>
      <w:r w:rsidRPr="008E64FA">
        <w:rPr>
          <w:rFonts w:cs="Arial"/>
          <w:iCs/>
        </w:rPr>
        <w:t xml:space="preserve"> </w:t>
      </w:r>
      <w:proofErr w:type="spellStart"/>
      <w:r w:rsidRPr="008E64FA">
        <w:rPr>
          <w:rFonts w:cs="Arial"/>
          <w:iCs/>
        </w:rPr>
        <w:t>vzděláváni</w:t>
      </w:r>
      <w:proofErr w:type="spellEnd"/>
      <w:r w:rsidRPr="008E64FA">
        <w:rPr>
          <w:rFonts w:cs="Arial"/>
          <w:iCs/>
        </w:rPr>
        <w:t xml:space="preserve">́ a </w:t>
      </w:r>
      <w:proofErr w:type="spellStart"/>
      <w:r w:rsidRPr="008E64FA">
        <w:rPr>
          <w:rFonts w:cs="Arial"/>
          <w:iCs/>
        </w:rPr>
        <w:t>nových</w:t>
      </w:r>
      <w:proofErr w:type="spellEnd"/>
      <w:r w:rsidRPr="008E64FA">
        <w:rPr>
          <w:rFonts w:cs="Arial"/>
          <w:iCs/>
        </w:rPr>
        <w:t xml:space="preserve"> </w:t>
      </w:r>
      <w:proofErr w:type="spellStart"/>
      <w:r w:rsidRPr="008E64FA">
        <w:rPr>
          <w:rFonts w:cs="Arial"/>
          <w:iCs/>
        </w:rPr>
        <w:t>možnosti</w:t>
      </w:r>
      <w:proofErr w:type="spellEnd"/>
      <w:r w:rsidRPr="008E64FA">
        <w:rPr>
          <w:rFonts w:cs="Arial"/>
          <w:iCs/>
        </w:rPr>
        <w:t xml:space="preserve">́, </w:t>
      </w:r>
      <w:proofErr w:type="spellStart"/>
      <w:r w:rsidRPr="008E64FA">
        <w:rPr>
          <w:rFonts w:cs="Arial"/>
          <w:iCs/>
        </w:rPr>
        <w:t>ktere</w:t>
      </w:r>
      <w:proofErr w:type="spellEnd"/>
      <w:r w:rsidRPr="008E64FA">
        <w:rPr>
          <w:rFonts w:cs="Arial"/>
          <w:iCs/>
        </w:rPr>
        <w:t xml:space="preserve">́ </w:t>
      </w:r>
      <w:proofErr w:type="spellStart"/>
      <w:r w:rsidRPr="008E64FA">
        <w:rPr>
          <w:rFonts w:cs="Arial"/>
          <w:iCs/>
        </w:rPr>
        <w:t>nabízi</w:t>
      </w:r>
      <w:proofErr w:type="spellEnd"/>
      <w:r w:rsidRPr="008E64FA">
        <w:rPr>
          <w:rFonts w:cs="Arial"/>
          <w:iCs/>
        </w:rPr>
        <w:t>́ (</w:t>
      </w:r>
      <w:proofErr w:type="spellStart"/>
      <w:r w:rsidRPr="008E64FA">
        <w:rPr>
          <w:rFonts w:cs="Arial"/>
          <w:iCs/>
        </w:rPr>
        <w:t>napr</w:t>
      </w:r>
      <w:proofErr w:type="spellEnd"/>
      <w:r w:rsidRPr="008E64FA">
        <w:rPr>
          <w:rFonts w:cs="Arial"/>
          <w:iCs/>
        </w:rPr>
        <w:t xml:space="preserve">̌. on-line </w:t>
      </w:r>
      <w:proofErr w:type="spellStart"/>
      <w:r w:rsidRPr="008E64FA">
        <w:rPr>
          <w:rFonts w:cs="Arial"/>
          <w:iCs/>
        </w:rPr>
        <w:t>vzděláváni</w:t>
      </w:r>
      <w:proofErr w:type="spellEnd"/>
      <w:r w:rsidRPr="008E64FA">
        <w:rPr>
          <w:rFonts w:cs="Arial"/>
          <w:iCs/>
        </w:rPr>
        <w:t xml:space="preserve">́ a </w:t>
      </w:r>
      <w:proofErr w:type="spellStart"/>
      <w:r w:rsidRPr="008E64FA">
        <w:rPr>
          <w:rFonts w:cs="Arial"/>
          <w:iCs/>
        </w:rPr>
        <w:t>otevřene</w:t>
      </w:r>
      <w:proofErr w:type="spellEnd"/>
      <w:r w:rsidRPr="008E64FA">
        <w:rPr>
          <w:rFonts w:cs="Arial"/>
          <w:iCs/>
        </w:rPr>
        <w:t xml:space="preserve">́ kurzy) mezi zaměstnanci a </w:t>
      </w:r>
      <w:proofErr w:type="spellStart"/>
      <w:r w:rsidRPr="008E64FA">
        <w:rPr>
          <w:rFonts w:cs="Arial"/>
          <w:iCs/>
        </w:rPr>
        <w:t>zaměstnavateli</w:t>
      </w:r>
      <w:proofErr w:type="spellEnd"/>
      <w:r w:rsidRPr="008E64FA">
        <w:rPr>
          <w:rFonts w:cs="Arial"/>
          <w:iCs/>
        </w:rPr>
        <w:t xml:space="preserve"> </w:t>
      </w:r>
    </w:p>
    <w:p w14:paraId="1EF72B50" w14:textId="77777777" w:rsidR="00587A58" w:rsidRPr="008E64FA" w:rsidRDefault="00587A58" w:rsidP="00587A58">
      <w:pPr>
        <w:numPr>
          <w:ilvl w:val="0"/>
          <w:numId w:val="27"/>
        </w:numPr>
        <w:spacing w:after="120" w:line="264" w:lineRule="auto"/>
        <w:ind w:hanging="357"/>
        <w:jc w:val="both"/>
        <w:rPr>
          <w:rFonts w:cs="Arial"/>
          <w:iCs/>
        </w:rPr>
      </w:pPr>
      <w:r w:rsidRPr="008E64FA">
        <w:rPr>
          <w:rFonts w:cs="Arial"/>
          <w:iCs/>
        </w:rPr>
        <w:t xml:space="preserve">Činnosti Digitálních inovačních </w:t>
      </w:r>
      <w:proofErr w:type="spellStart"/>
      <w:r w:rsidRPr="008E64FA">
        <w:rPr>
          <w:rFonts w:cs="Arial"/>
          <w:iCs/>
        </w:rPr>
        <w:t>hubů</w:t>
      </w:r>
      <w:proofErr w:type="spellEnd"/>
      <w:r w:rsidRPr="008E64FA">
        <w:rPr>
          <w:rFonts w:cs="Arial"/>
          <w:iCs/>
        </w:rPr>
        <w:t xml:space="preserve"> (či podobně zaměřených center) v oblasti:</w:t>
      </w:r>
    </w:p>
    <w:p w14:paraId="0B455B15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Rozvoje dovedností spojených se zaváděním nových technologií.</w:t>
      </w:r>
    </w:p>
    <w:p w14:paraId="7EC3DEE3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 xml:space="preserve"> Identifikace budoucích příležitostí a perspektivních oblastí pro efektivní zacílení vzdělávání zaměstnanců firem v návaznosti na Národní RIS3 strategii.</w:t>
      </w:r>
    </w:p>
    <w:p w14:paraId="3B4A9563" w14:textId="77777777" w:rsidR="00587A58" w:rsidRPr="008E64FA" w:rsidRDefault="00587A58" w:rsidP="00587A58">
      <w:pPr>
        <w:numPr>
          <w:ilvl w:val="0"/>
          <w:numId w:val="27"/>
        </w:numPr>
        <w:spacing w:after="120" w:line="264" w:lineRule="auto"/>
        <w:ind w:hanging="357"/>
        <w:jc w:val="both"/>
        <w:rPr>
          <w:rFonts w:cs="Arial"/>
          <w:iCs/>
        </w:rPr>
      </w:pPr>
      <w:r w:rsidRPr="008E64FA">
        <w:rPr>
          <w:rFonts w:cs="Arial"/>
          <w:iCs/>
        </w:rPr>
        <w:t>Propojování podnikové sféry (předpokládaný nositel projektu) se systémem formálního vzdělávání v oblasti dovedností pro inteligentní specializaci, průmyslovou transformaci a podnikání, např.:</w:t>
      </w:r>
    </w:p>
    <w:p w14:paraId="3751D899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Podpora zapojení pracovníků podnikové sféry do výuky zejména na středních školách.</w:t>
      </w:r>
    </w:p>
    <w:p w14:paraId="59EF330E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Podpora technického vybavení pro praktickou výuku spojenou s požadavky podnikové sféry na absolventy škol.</w:t>
      </w:r>
    </w:p>
    <w:p w14:paraId="4886993F" w14:textId="77777777" w:rsidR="00587A58" w:rsidRPr="008E64FA" w:rsidRDefault="00587A58" w:rsidP="00587A58">
      <w:pPr>
        <w:numPr>
          <w:ilvl w:val="1"/>
          <w:numId w:val="27"/>
        </w:num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Stáže studentů i učitelů ve firmách.</w:t>
      </w:r>
    </w:p>
    <w:p w14:paraId="6EB1D4B5" w14:textId="77777777" w:rsidR="00587A58" w:rsidRPr="008E64FA" w:rsidRDefault="00587A58" w:rsidP="00587A58">
      <w:pPr>
        <w:numPr>
          <w:ilvl w:val="0"/>
          <w:numId w:val="27"/>
        </w:numPr>
        <w:spacing w:after="120" w:line="264" w:lineRule="auto"/>
        <w:ind w:hanging="357"/>
        <w:jc w:val="both"/>
        <w:rPr>
          <w:rFonts w:cs="Arial"/>
          <w:iCs/>
        </w:rPr>
      </w:pPr>
      <w:r w:rsidRPr="008E64FA">
        <w:rPr>
          <w:rFonts w:cs="Arial"/>
          <w:iCs/>
        </w:rPr>
        <w:t xml:space="preserve">Komplementární investice v projektech programu Digital </w:t>
      </w:r>
      <w:proofErr w:type="spellStart"/>
      <w:r w:rsidRPr="008E64FA">
        <w:rPr>
          <w:rFonts w:cs="Arial"/>
          <w:iCs/>
        </w:rPr>
        <w:t>Europe</w:t>
      </w:r>
      <w:proofErr w:type="spellEnd"/>
      <w:r w:rsidRPr="008E64FA">
        <w:rPr>
          <w:rFonts w:cs="Arial"/>
          <w:iCs/>
        </w:rPr>
        <w:t>.</w:t>
      </w:r>
    </w:p>
    <w:p w14:paraId="373A2741" w14:textId="77777777" w:rsidR="00587A58" w:rsidRPr="008E64FA" w:rsidRDefault="00587A58" w:rsidP="00587A58">
      <w:pPr>
        <w:spacing w:after="120" w:line="264" w:lineRule="auto"/>
        <w:ind w:left="720"/>
        <w:jc w:val="both"/>
        <w:rPr>
          <w:rFonts w:cs="Arial"/>
          <w:iCs/>
        </w:rPr>
      </w:pPr>
    </w:p>
    <w:p w14:paraId="4D00BA0F" w14:textId="77777777" w:rsidR="00587A58" w:rsidRPr="008E64FA" w:rsidRDefault="00587A58" w:rsidP="00587A58">
      <w:pPr>
        <w:spacing w:before="60" w:after="160" w:line="259" w:lineRule="auto"/>
        <w:jc w:val="both"/>
        <w:rPr>
          <w:rFonts w:cs="Arial"/>
          <w:b/>
        </w:rPr>
      </w:pPr>
      <w:r w:rsidRPr="008E64FA">
        <w:rPr>
          <w:rFonts w:cs="Arial"/>
          <w:b/>
        </w:rPr>
        <w:t>Očekávaný příspěvek podporovaných aktivit ke specifickému cíli:</w:t>
      </w:r>
    </w:p>
    <w:p w14:paraId="2FEEBC4C" w14:textId="77777777" w:rsidR="00587A58" w:rsidRPr="008E64FA" w:rsidRDefault="00587A58" w:rsidP="00587A58">
      <w:pPr>
        <w:spacing w:before="60" w:after="160" w:line="259" w:lineRule="auto"/>
        <w:jc w:val="both"/>
        <w:rPr>
          <w:rFonts w:cs="Arial"/>
        </w:rPr>
      </w:pPr>
      <w:r w:rsidRPr="008E64FA">
        <w:rPr>
          <w:rFonts w:cs="Arial"/>
        </w:rPr>
        <w:t>V cílové skupině malých a středních podniků by rozvoj kompetencí a dovedností zaměstnanců firem ve vazbě na potřeby plynoucí z průmyslové transformace a priority v Národní RIS3 strategii měl umožnit zavádění inovací navázaných na pokročilé technologie a trendy. Podniky též budou těžit z příležitosti spolupráce se vzdělávacím sektorem a bude postupně zacelována mezera mezi požadavky firem na praktickou přípravu a technické dovednosti žáků a studentů a reálným profilem absolventů, který často těmto požadavkům neodpovídá.</w:t>
      </w:r>
    </w:p>
    <w:p w14:paraId="74BA8A32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b/>
          <w:i/>
          <w:iCs/>
        </w:rPr>
      </w:pPr>
    </w:p>
    <w:p w14:paraId="33549128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b/>
          <w:i/>
          <w:iCs/>
        </w:rPr>
      </w:pPr>
      <w:r w:rsidRPr="008E64FA">
        <w:rPr>
          <w:rFonts w:cs="Arial"/>
          <w:b/>
          <w:i/>
          <w:iCs/>
        </w:rPr>
        <w:t>Hlavní cílové skupiny</w:t>
      </w:r>
    </w:p>
    <w:p w14:paraId="27F7E4E0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iCs/>
        </w:rPr>
      </w:pPr>
      <w:r w:rsidRPr="008E64FA">
        <w:rPr>
          <w:rFonts w:cs="Arial"/>
          <w:iCs/>
        </w:rPr>
        <w:t>Hlavní cílovou skupinou budou podnikatelské subjekty, konkrétně malé a střední podniky reagující na potřeby průmyslové transformace a jejich zaměstnanci. S ohledem na spolupráci se vzdělávacím sektorem budou mezi cílovou skupinu rovněž žáci SŠ, studenti VŠ a VOŠ a pedagogičtí pracovníci.</w:t>
      </w:r>
    </w:p>
    <w:p w14:paraId="6C143446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b/>
          <w:i/>
          <w:iCs/>
        </w:rPr>
      </w:pPr>
    </w:p>
    <w:p w14:paraId="5E264588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b/>
          <w:i/>
          <w:iCs/>
        </w:rPr>
      </w:pPr>
      <w:r w:rsidRPr="008E64FA">
        <w:rPr>
          <w:rFonts w:cs="Arial"/>
          <w:b/>
          <w:i/>
          <w:iCs/>
        </w:rPr>
        <w:t>Konkrétní cílová území, včetně plánovaného použití územních nástrojů</w:t>
      </w:r>
    </w:p>
    <w:p w14:paraId="10C4B213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color w:val="000000" w:themeColor="text1"/>
        </w:rPr>
      </w:pPr>
      <w:r w:rsidRPr="008E64FA">
        <w:rPr>
          <w:rFonts w:cs="Arial"/>
          <w:color w:val="000000" w:themeColor="text1"/>
        </w:rPr>
        <w:t xml:space="preserve">Území České republiky, vč. hl. města Prahy. Vzhledem k charakteru problematiky budou intervence směřovány </w:t>
      </w:r>
      <w:r w:rsidRPr="008E64FA">
        <w:rPr>
          <w:rFonts w:cs="Arial"/>
          <w:iCs/>
          <w:color w:val="000000" w:themeColor="text1"/>
        </w:rPr>
        <w:t xml:space="preserve">napříč všemi třemi kategoriemi regionů, jelikož se jedná o problematiku, která se vzhledem k potřebám inteligentní specializace a průmyslové transformace </w:t>
      </w:r>
      <w:r w:rsidRPr="008E64FA">
        <w:rPr>
          <w:rFonts w:cs="Arial"/>
          <w:color w:val="000000" w:themeColor="text1"/>
        </w:rPr>
        <w:t>týká ČR celoplošně.</w:t>
      </w:r>
    </w:p>
    <w:p w14:paraId="4DF7DE74" w14:textId="77777777" w:rsidR="00587A58" w:rsidRPr="008E64FA" w:rsidRDefault="00587A58" w:rsidP="00587A58">
      <w:pPr>
        <w:spacing w:after="120" w:line="264" w:lineRule="auto"/>
        <w:jc w:val="both"/>
        <w:rPr>
          <w:rFonts w:cs="Arial"/>
          <w:color w:val="000000" w:themeColor="text1"/>
        </w:rPr>
      </w:pPr>
    </w:p>
    <w:p w14:paraId="0A6D3880" w14:textId="77777777" w:rsidR="00587A58" w:rsidRPr="008E64FA" w:rsidRDefault="00587A58" w:rsidP="00587A58">
      <w:pPr>
        <w:pStyle w:val="slovanodstavec"/>
        <w:tabs>
          <w:tab w:val="left" w:pos="284"/>
        </w:tabs>
        <w:suppressAutoHyphens/>
        <w:spacing w:after="0"/>
        <w:rPr>
          <w:rFonts w:asciiTheme="minorHAnsi" w:hAnsiTheme="minorHAnsi" w:cs="Arial"/>
          <w:b/>
          <w:color w:val="000000" w:themeColor="text1"/>
          <w:lang w:eastAsia="cs-CZ"/>
        </w:rPr>
      </w:pPr>
      <w:r w:rsidRPr="008E64FA">
        <w:rPr>
          <w:rFonts w:asciiTheme="minorHAnsi" w:hAnsiTheme="minorHAnsi" w:cs="Arial"/>
          <w:b/>
          <w:color w:val="000000" w:themeColor="text1"/>
          <w:lang w:eastAsia="cs-CZ"/>
        </w:rPr>
        <w:t>Typy příjemců:</w:t>
      </w:r>
    </w:p>
    <w:p w14:paraId="1B1D4BF6" w14:textId="4BA3DE26" w:rsidR="00587A58" w:rsidRPr="008E64FA" w:rsidRDefault="00587A58" w:rsidP="00587A58">
      <w:pPr>
        <w:spacing w:after="120" w:line="264" w:lineRule="auto"/>
        <w:jc w:val="both"/>
        <w:rPr>
          <w:rFonts w:cs="Arial"/>
          <w:bCs/>
        </w:rPr>
      </w:pPr>
      <w:r w:rsidRPr="008E64FA">
        <w:rPr>
          <w:rFonts w:cs="Arial"/>
          <w:bCs/>
        </w:rPr>
        <w:t>Podnikatelské subjekty, především MSP.</w:t>
      </w:r>
    </w:p>
    <w:p w14:paraId="2C39D77D" w14:textId="77777777" w:rsidR="00B11CF0" w:rsidRPr="008E64FA" w:rsidRDefault="00B11CF0" w:rsidP="00176367">
      <w:pPr>
        <w:rPr>
          <w:rFonts w:cs="Calibri"/>
          <w:color w:val="000000"/>
          <w:lang w:eastAsia="cs-CZ"/>
        </w:rPr>
      </w:pPr>
    </w:p>
    <w:sectPr w:rsidR="00B11CF0" w:rsidRPr="008E64FA" w:rsidSect="004C2F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6145" w14:textId="77777777" w:rsidR="00A941D5" w:rsidRDefault="00A941D5" w:rsidP="003D1499">
      <w:pPr>
        <w:spacing w:after="0" w:line="240" w:lineRule="auto"/>
      </w:pPr>
      <w:r>
        <w:separator/>
      </w:r>
    </w:p>
  </w:endnote>
  <w:endnote w:type="continuationSeparator" w:id="0">
    <w:p w14:paraId="5A579687" w14:textId="77777777" w:rsidR="00A941D5" w:rsidRDefault="00A941D5" w:rsidP="003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164683"/>
      <w:docPartObj>
        <w:docPartGallery w:val="Page Numbers (Bottom of Page)"/>
        <w:docPartUnique/>
      </w:docPartObj>
    </w:sdtPr>
    <w:sdtEndPr/>
    <w:sdtContent>
      <w:p w14:paraId="63ED3CA3" w14:textId="625CE799" w:rsidR="00487C45" w:rsidRDefault="00487C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D5">
          <w:rPr>
            <w:noProof/>
          </w:rPr>
          <w:t>4</w:t>
        </w:r>
        <w:r>
          <w:fldChar w:fldCharType="end"/>
        </w:r>
      </w:p>
    </w:sdtContent>
  </w:sdt>
  <w:p w14:paraId="7F7CFD6C" w14:textId="77777777" w:rsidR="00487C45" w:rsidRDefault="00487C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BD4B7" w14:textId="77777777" w:rsidR="00A941D5" w:rsidRDefault="00A941D5" w:rsidP="003D1499">
      <w:pPr>
        <w:spacing w:after="0" w:line="240" w:lineRule="auto"/>
      </w:pPr>
      <w:r>
        <w:separator/>
      </w:r>
    </w:p>
  </w:footnote>
  <w:footnote w:type="continuationSeparator" w:id="0">
    <w:p w14:paraId="79029099" w14:textId="77777777" w:rsidR="00A941D5" w:rsidRDefault="00A941D5" w:rsidP="003D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B033" w14:textId="2D449F93" w:rsidR="00FB62D5" w:rsidRDefault="00FB62D5" w:rsidP="00FB62D5">
    <w:pPr>
      <w:jc w:val="center"/>
    </w:pPr>
    <w:r>
      <w:t xml:space="preserve">Příloha č. </w:t>
    </w:r>
    <w:r>
      <w:t>2</w:t>
    </w:r>
    <w:r>
      <w:t xml:space="preserve"> ke Smlouvě 1/20/61100</w:t>
    </w:r>
  </w:p>
  <w:p w14:paraId="2A82430C" w14:textId="77777777" w:rsidR="00FB62D5" w:rsidRDefault="00FB62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297"/>
    <w:multiLevelType w:val="hybridMultilevel"/>
    <w:tmpl w:val="D01A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90"/>
    <w:multiLevelType w:val="hybridMultilevel"/>
    <w:tmpl w:val="98AA48C8"/>
    <w:lvl w:ilvl="0" w:tplc="48927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8CE"/>
    <w:multiLevelType w:val="hybridMultilevel"/>
    <w:tmpl w:val="208E44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B7152"/>
    <w:multiLevelType w:val="hybridMultilevel"/>
    <w:tmpl w:val="B8BA3188"/>
    <w:lvl w:ilvl="0" w:tplc="07964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0FBC"/>
    <w:multiLevelType w:val="hybridMultilevel"/>
    <w:tmpl w:val="316674EA"/>
    <w:lvl w:ilvl="0" w:tplc="5B32F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22E5"/>
    <w:multiLevelType w:val="hybridMultilevel"/>
    <w:tmpl w:val="74C880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A54"/>
    <w:multiLevelType w:val="hybridMultilevel"/>
    <w:tmpl w:val="89AA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1742"/>
    <w:multiLevelType w:val="hybridMultilevel"/>
    <w:tmpl w:val="7180DB8A"/>
    <w:lvl w:ilvl="0" w:tplc="F0EC2B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9EB"/>
    <w:multiLevelType w:val="hybridMultilevel"/>
    <w:tmpl w:val="54967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395"/>
    <w:multiLevelType w:val="hybridMultilevel"/>
    <w:tmpl w:val="420A0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35712"/>
    <w:multiLevelType w:val="hybridMultilevel"/>
    <w:tmpl w:val="AE3008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F6421"/>
    <w:multiLevelType w:val="hybridMultilevel"/>
    <w:tmpl w:val="477AA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45AEF"/>
    <w:multiLevelType w:val="multilevel"/>
    <w:tmpl w:val="88DCCB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E85169"/>
    <w:multiLevelType w:val="hybridMultilevel"/>
    <w:tmpl w:val="89BA168A"/>
    <w:lvl w:ilvl="0" w:tplc="D0143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E089F"/>
    <w:multiLevelType w:val="hybridMultilevel"/>
    <w:tmpl w:val="EFF40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716DE2"/>
    <w:multiLevelType w:val="hybridMultilevel"/>
    <w:tmpl w:val="8DE65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61F21"/>
    <w:multiLevelType w:val="hybridMultilevel"/>
    <w:tmpl w:val="6B82F562"/>
    <w:lvl w:ilvl="0" w:tplc="3C4A6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F39CA"/>
    <w:multiLevelType w:val="hybridMultilevel"/>
    <w:tmpl w:val="61DA8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67C8F"/>
    <w:multiLevelType w:val="hybridMultilevel"/>
    <w:tmpl w:val="7606416C"/>
    <w:lvl w:ilvl="0" w:tplc="965243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80BD3"/>
    <w:multiLevelType w:val="hybridMultilevel"/>
    <w:tmpl w:val="697EA5DA"/>
    <w:lvl w:ilvl="0" w:tplc="E2325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4A6F99"/>
    <w:multiLevelType w:val="hybridMultilevel"/>
    <w:tmpl w:val="36EED6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B4B8B"/>
    <w:multiLevelType w:val="hybridMultilevel"/>
    <w:tmpl w:val="98A450B2"/>
    <w:lvl w:ilvl="0" w:tplc="8C204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4196B"/>
    <w:multiLevelType w:val="hybridMultilevel"/>
    <w:tmpl w:val="7374A9A2"/>
    <w:lvl w:ilvl="0" w:tplc="E7BE0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364FD"/>
    <w:multiLevelType w:val="hybridMultilevel"/>
    <w:tmpl w:val="F46A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4EB0"/>
    <w:multiLevelType w:val="hybridMultilevel"/>
    <w:tmpl w:val="E8F24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B7EEE"/>
    <w:multiLevelType w:val="hybridMultilevel"/>
    <w:tmpl w:val="A2F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347A6"/>
    <w:multiLevelType w:val="hybridMultilevel"/>
    <w:tmpl w:val="59AA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22"/>
  </w:num>
  <w:num w:numId="6">
    <w:abstractNumId w:val="2"/>
  </w:num>
  <w:num w:numId="7">
    <w:abstractNumId w:val="11"/>
  </w:num>
  <w:num w:numId="8">
    <w:abstractNumId w:val="9"/>
  </w:num>
  <w:num w:numId="9">
    <w:abstractNumId w:val="19"/>
  </w:num>
  <w:num w:numId="10">
    <w:abstractNumId w:val="17"/>
  </w:num>
  <w:num w:numId="11">
    <w:abstractNumId w:val="0"/>
  </w:num>
  <w:num w:numId="12">
    <w:abstractNumId w:val="24"/>
  </w:num>
  <w:num w:numId="13">
    <w:abstractNumId w:val="21"/>
  </w:num>
  <w:num w:numId="14">
    <w:abstractNumId w:val="23"/>
  </w:num>
  <w:num w:numId="15">
    <w:abstractNumId w:val="12"/>
  </w:num>
  <w:num w:numId="16">
    <w:abstractNumId w:val="1"/>
  </w:num>
  <w:num w:numId="17">
    <w:abstractNumId w:val="25"/>
  </w:num>
  <w:num w:numId="18">
    <w:abstractNumId w:val="26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10"/>
  </w:num>
  <w:num w:numId="24">
    <w:abstractNumId w:val="5"/>
  </w:num>
  <w:num w:numId="25">
    <w:abstractNumId w:val="15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8"/>
    <w:rsid w:val="0003672B"/>
    <w:rsid w:val="00084D9D"/>
    <w:rsid w:val="00093A06"/>
    <w:rsid w:val="000F3416"/>
    <w:rsid w:val="001206DA"/>
    <w:rsid w:val="0013751F"/>
    <w:rsid w:val="00156D1D"/>
    <w:rsid w:val="00176367"/>
    <w:rsid w:val="001D7053"/>
    <w:rsid w:val="00222262"/>
    <w:rsid w:val="00231B6E"/>
    <w:rsid w:val="00247E4B"/>
    <w:rsid w:val="00252C80"/>
    <w:rsid w:val="002B4415"/>
    <w:rsid w:val="002C3436"/>
    <w:rsid w:val="003327BA"/>
    <w:rsid w:val="0038420B"/>
    <w:rsid w:val="003B6FF3"/>
    <w:rsid w:val="003D1499"/>
    <w:rsid w:val="003D5B75"/>
    <w:rsid w:val="004119D3"/>
    <w:rsid w:val="00424757"/>
    <w:rsid w:val="00431C7A"/>
    <w:rsid w:val="00457FE9"/>
    <w:rsid w:val="00487C45"/>
    <w:rsid w:val="00487EFA"/>
    <w:rsid w:val="004A2F42"/>
    <w:rsid w:val="004C2F99"/>
    <w:rsid w:val="00500132"/>
    <w:rsid w:val="00501D67"/>
    <w:rsid w:val="00517809"/>
    <w:rsid w:val="00521F6D"/>
    <w:rsid w:val="00522617"/>
    <w:rsid w:val="005659D3"/>
    <w:rsid w:val="00581885"/>
    <w:rsid w:val="00587A58"/>
    <w:rsid w:val="005A0B08"/>
    <w:rsid w:val="005A49A8"/>
    <w:rsid w:val="00631501"/>
    <w:rsid w:val="00634658"/>
    <w:rsid w:val="006B4595"/>
    <w:rsid w:val="00706010"/>
    <w:rsid w:val="00727F98"/>
    <w:rsid w:val="0073655C"/>
    <w:rsid w:val="007456CA"/>
    <w:rsid w:val="00756FBE"/>
    <w:rsid w:val="00782499"/>
    <w:rsid w:val="00791091"/>
    <w:rsid w:val="00793425"/>
    <w:rsid w:val="007B5FE6"/>
    <w:rsid w:val="00832441"/>
    <w:rsid w:val="00857C49"/>
    <w:rsid w:val="008651F4"/>
    <w:rsid w:val="00883BE2"/>
    <w:rsid w:val="00886C41"/>
    <w:rsid w:val="008C0A36"/>
    <w:rsid w:val="008C5811"/>
    <w:rsid w:val="008C725F"/>
    <w:rsid w:val="008D7CB7"/>
    <w:rsid w:val="008E64FA"/>
    <w:rsid w:val="009842F8"/>
    <w:rsid w:val="009E1185"/>
    <w:rsid w:val="009F6C50"/>
    <w:rsid w:val="00A0193F"/>
    <w:rsid w:val="00A941D5"/>
    <w:rsid w:val="00AC4247"/>
    <w:rsid w:val="00B11CF0"/>
    <w:rsid w:val="00B128FF"/>
    <w:rsid w:val="00B838E4"/>
    <w:rsid w:val="00C05BF7"/>
    <w:rsid w:val="00C31B7C"/>
    <w:rsid w:val="00C364C5"/>
    <w:rsid w:val="00C406DE"/>
    <w:rsid w:val="00CA7FBF"/>
    <w:rsid w:val="00CC78E2"/>
    <w:rsid w:val="00D25826"/>
    <w:rsid w:val="00D3153F"/>
    <w:rsid w:val="00D34CDE"/>
    <w:rsid w:val="00E0249F"/>
    <w:rsid w:val="00E33615"/>
    <w:rsid w:val="00E42DA5"/>
    <w:rsid w:val="00E43900"/>
    <w:rsid w:val="00E5685D"/>
    <w:rsid w:val="00E652E6"/>
    <w:rsid w:val="00EA5FEC"/>
    <w:rsid w:val="00EC0DF5"/>
    <w:rsid w:val="00EC54C6"/>
    <w:rsid w:val="00F555CB"/>
    <w:rsid w:val="00F82AB1"/>
    <w:rsid w:val="00F954F2"/>
    <w:rsid w:val="00FA1F29"/>
    <w:rsid w:val="00FB62D5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F14"/>
  <w15:docId w15:val="{A88ED3AB-2742-49A3-AC19-A85BB03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,List Paragraph"/>
    <w:basedOn w:val="Normln"/>
    <w:link w:val="OdstavecseseznamemChar"/>
    <w:uiPriority w:val="34"/>
    <w:qFormat/>
    <w:rsid w:val="009842F8"/>
    <w:pPr>
      <w:ind w:left="720"/>
      <w:contextualSpacing/>
    </w:pPr>
  </w:style>
  <w:style w:type="table" w:styleId="Mkatabulky">
    <w:name w:val="Table Grid"/>
    <w:basedOn w:val="Normlntabulka"/>
    <w:uiPriority w:val="59"/>
    <w:rsid w:val="003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link w:val="slovanodstavecChar"/>
    <w:qFormat/>
    <w:rsid w:val="003D1499"/>
    <w:pPr>
      <w:tabs>
        <w:tab w:val="left" w:pos="567"/>
      </w:tabs>
      <w:jc w:val="both"/>
    </w:pPr>
    <w:rPr>
      <w:rFonts w:ascii="Arial" w:eastAsia="Calibri" w:hAnsi="Arial" w:cs="Times New Roman"/>
    </w:rPr>
  </w:style>
  <w:style w:type="character" w:customStyle="1" w:styleId="slovanodstavecChar">
    <w:name w:val="Číslovaný odstavec Char"/>
    <w:link w:val="slovanodstavec"/>
    <w:rsid w:val="003D1499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1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1499"/>
    <w:pPr>
      <w:spacing w:after="160" w:line="240" w:lineRule="auto"/>
      <w:jc w:val="both"/>
    </w:pPr>
    <w:rPr>
      <w:noProof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1499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1499"/>
    <w:pPr>
      <w:spacing w:after="0" w:line="240" w:lineRule="auto"/>
      <w:jc w:val="both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1499"/>
    <w:rPr>
      <w:noProof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qFormat/>
    <w:locked/>
    <w:rsid w:val="003D1499"/>
  </w:style>
  <w:style w:type="paragraph" w:customStyle="1" w:styleId="Default">
    <w:name w:val="Default"/>
    <w:rsid w:val="003D1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3D1499"/>
  </w:style>
  <w:style w:type="paragraph" w:styleId="Normlnweb">
    <w:name w:val="Normal (Web)"/>
    <w:basedOn w:val="Normln"/>
    <w:uiPriority w:val="99"/>
    <w:unhideWhenUsed/>
    <w:rsid w:val="003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499"/>
    <w:rPr>
      <w:b/>
      <w:bCs/>
    </w:rPr>
  </w:style>
  <w:style w:type="paragraph" w:customStyle="1" w:styleId="Standardntext">
    <w:name w:val="Standardní text"/>
    <w:basedOn w:val="Normln"/>
    <w:link w:val="StandardntextChar"/>
    <w:qFormat/>
    <w:rsid w:val="00E336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ntextChar">
    <w:name w:val="Standardní text Char"/>
    <w:link w:val="Standardntext"/>
    <w:rsid w:val="00E336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425"/>
    <w:pPr>
      <w:spacing w:after="200"/>
      <w:jc w:val="left"/>
    </w:pPr>
    <w:rPr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425"/>
    <w:rPr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C45"/>
  </w:style>
  <w:style w:type="paragraph" w:styleId="Zpat">
    <w:name w:val="footer"/>
    <w:basedOn w:val="Normln"/>
    <w:link w:val="Zpat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8C5EC05E.dotm</Template>
  <TotalTime>27</TotalTime>
  <Pages>1</Pages>
  <Words>2585</Words>
  <Characters>15252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Palos</dc:creator>
  <cp:lastModifiedBy>Kloučková Šárka</cp:lastModifiedBy>
  <cp:revision>22</cp:revision>
  <dcterms:created xsi:type="dcterms:W3CDTF">2019-09-19T12:14:00Z</dcterms:created>
  <dcterms:modified xsi:type="dcterms:W3CDTF">2020-03-13T12:50:00Z</dcterms:modified>
</cp:coreProperties>
</file>