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5F08C0F7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533A2E">
        <w:rPr>
          <w:b/>
          <w:sz w:val="22"/>
          <w:szCs w:val="24"/>
        </w:rPr>
        <w:t>:</w:t>
      </w:r>
    </w:p>
    <w:p w14:paraId="0B09315B" w14:textId="77777777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Školní statek Středočeského kraje, příspěvková organizace</w:t>
      </w:r>
    </w:p>
    <w:p w14:paraId="61679315" w14:textId="721CF32C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Hlavní 169</w:t>
      </w:r>
    </w:p>
    <w:p w14:paraId="5D827DB2" w14:textId="6A0060FC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250 89 Lázně Toušeň</w:t>
      </w:r>
    </w:p>
    <w:p w14:paraId="7BA90A46" w14:textId="0E5E0145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72081368, DIČ: CZ72081368</w:t>
      </w:r>
    </w:p>
    <w:p w14:paraId="012F4B07" w14:textId="77777777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1CDF8E27" w14:textId="7AB7348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618A5AA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533A2E">
        <w:rPr>
          <w:b/>
          <w:sz w:val="22"/>
          <w:szCs w:val="24"/>
        </w:rPr>
        <w:t>:</w:t>
      </w:r>
    </w:p>
    <w:p w14:paraId="11507156" w14:textId="03D971EB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KVARTO, spol. s r.o.</w:t>
      </w:r>
    </w:p>
    <w:p w14:paraId="13A6DF83" w14:textId="7812F37F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Dr. E. Beneše 496</w:t>
      </w:r>
    </w:p>
    <w:p w14:paraId="47F4093B" w14:textId="489649F4" w:rsid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257 51 Bystřice</w:t>
      </w:r>
    </w:p>
    <w:p w14:paraId="5A22D126" w14:textId="5F03C97F" w:rsidR="00053702" w:rsidRPr="00533A2E" w:rsidRDefault="00533A2E" w:rsidP="00533A2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IČO: 48951749, CZ48951749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4CC6AC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533A2E">
        <w:rPr>
          <w:rFonts w:ascii="Times New Roman" w:hAnsi="Times New Roman" w:cs="Times New Roman"/>
          <w:szCs w:val="24"/>
        </w:rPr>
        <w:t>5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33A2E">
        <w:rPr>
          <w:rFonts w:ascii="Times New Roman" w:hAnsi="Times New Roman" w:cs="Times New Roman"/>
          <w:szCs w:val="24"/>
        </w:rPr>
        <w:t xml:space="preserve"> 12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533A2E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533A2E">
        <w:rPr>
          <w:rFonts w:ascii="Times New Roman" w:hAnsi="Times New Roman" w:cs="Times New Roman"/>
          <w:szCs w:val="24"/>
        </w:rPr>
        <w:t xml:space="preserve">8 kupní smlouvu, jejímž předmětem byl nákup traktoru New </w:t>
      </w:r>
      <w:proofErr w:type="spellStart"/>
      <w:r w:rsidR="00533A2E">
        <w:rPr>
          <w:rFonts w:ascii="Times New Roman" w:hAnsi="Times New Roman" w:cs="Times New Roman"/>
          <w:szCs w:val="24"/>
        </w:rPr>
        <w:t>Holland</w:t>
      </w:r>
      <w:proofErr w:type="spellEnd"/>
      <w:r w:rsidR="00533A2E">
        <w:rPr>
          <w:rFonts w:ascii="Times New Roman" w:hAnsi="Times New Roman" w:cs="Times New Roman"/>
          <w:szCs w:val="24"/>
        </w:rPr>
        <w:t xml:space="preserve"> T5.110.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B80F19">
        <w:rPr>
          <w:rFonts w:ascii="Times New Roman" w:hAnsi="Times New Roman" w:cs="Times New Roman"/>
          <w:szCs w:val="24"/>
        </w:rPr>
        <w:t>na základě výsledků zadávacího řízení za účelem realizace veřejné zakázky s názvem „Školní statek Středočeského kraje – zdokonalení výuky – nákup strojů – středisko Mělník, Poděbrady, Čáslav, Benešov, Rakovník, Lázně Toušeň“ evidenční číslo zakázky zveřejněné na Profilu zadavatele P18V00000335, neboť nabídka prodávajícího byla vyhodnocena jako nejvhodnější.</w:t>
      </w:r>
    </w:p>
    <w:p w14:paraId="09DFCDC8" w14:textId="4B074622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B80F19">
        <w:rPr>
          <w:rFonts w:ascii="Times New Roman" w:hAnsi="Times New Roman" w:cs="Times New Roman"/>
          <w:szCs w:val="24"/>
        </w:rPr>
        <w:t xml:space="preserve"> objednatele je</w:t>
      </w:r>
      <w:r w:rsidR="00C40933" w:rsidRPr="00EE2DE9">
        <w:rPr>
          <w:rFonts w:ascii="Times New Roman" w:hAnsi="Times New Roman" w:cs="Times New Roman"/>
          <w:szCs w:val="24"/>
        </w:rPr>
        <w:t xml:space="preserve">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713C37D" w:rsidR="00CD506A" w:rsidRDefault="00053702" w:rsidP="00935C3D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935C3D">
        <w:rPr>
          <w:rFonts w:ascii="Times New Roman" w:hAnsi="Times New Roman" w:cs="Times New Roman"/>
          <w:szCs w:val="24"/>
        </w:rPr>
        <w:t>íslo 39/72/72081368/2018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935C3D">
        <w:rPr>
          <w:rFonts w:ascii="Times New Roman" w:hAnsi="Times New Roman" w:cs="Times New Roman"/>
          <w:szCs w:val="24"/>
        </w:rPr>
        <w:t xml:space="preserve"> 5. 12. 2018</w:t>
      </w:r>
    </w:p>
    <w:p w14:paraId="6E7156B6" w14:textId="77777777" w:rsidR="00D60292" w:rsidRDefault="00D60292" w:rsidP="00935C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D1880A7" w14:textId="77777777" w:rsidR="00D60292" w:rsidRDefault="00D60292" w:rsidP="00935C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C7F1264" w14:textId="77777777" w:rsidR="00D60292" w:rsidRDefault="00D60292" w:rsidP="00935C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1F15E24" w14:textId="77777777" w:rsidR="00D60292" w:rsidRDefault="00D60292" w:rsidP="00935C3D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3B586C9" w14:textId="2244D1E2" w:rsidR="00D60292" w:rsidRPr="00EE2DE9" w:rsidRDefault="00D60292" w:rsidP="00D60292">
      <w:pPr>
        <w:tabs>
          <w:tab w:val="left" w:pos="5103"/>
        </w:tabs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Za objednavatele:</w:t>
      </w:r>
      <w:r>
        <w:rPr>
          <w:rFonts w:ascii="Times New Roman" w:hAnsi="Times New Roman" w:cs="Times New Roman"/>
          <w:szCs w:val="24"/>
        </w:rPr>
        <w:tab/>
        <w:t>Za dodavatele:</w:t>
      </w:r>
    </w:p>
    <w:bookmarkEnd w:id="0"/>
    <w:p w14:paraId="45349249" w14:textId="77777777" w:rsidR="00D60292" w:rsidRPr="00EE2DE9" w:rsidRDefault="00D60292">
      <w:pPr>
        <w:tabs>
          <w:tab w:val="left" w:pos="5103"/>
        </w:tabs>
        <w:spacing w:after="120"/>
        <w:jc w:val="both"/>
        <w:rPr>
          <w:rFonts w:ascii="Times New Roman" w:hAnsi="Times New Roman" w:cs="Times New Roman"/>
          <w:szCs w:val="24"/>
        </w:rPr>
      </w:pPr>
    </w:p>
    <w:sectPr w:rsidR="00D60292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52EF" w14:textId="77777777" w:rsidR="00385BF5" w:rsidRDefault="00385BF5" w:rsidP="000425BE">
      <w:pPr>
        <w:spacing w:after="0" w:line="240" w:lineRule="auto"/>
      </w:pPr>
      <w:r>
        <w:separator/>
      </w:r>
    </w:p>
  </w:endnote>
  <w:endnote w:type="continuationSeparator" w:id="0">
    <w:p w14:paraId="11341532" w14:textId="77777777" w:rsidR="00385BF5" w:rsidRDefault="00385BF5" w:rsidP="000425BE">
      <w:pPr>
        <w:spacing w:after="0" w:line="240" w:lineRule="auto"/>
      </w:pPr>
      <w:r>
        <w:continuationSeparator/>
      </w:r>
    </w:p>
  </w:endnote>
  <w:endnote w:type="continuationNotice" w:id="1">
    <w:p w14:paraId="1331D7B7" w14:textId="77777777" w:rsidR="00385BF5" w:rsidRDefault="00385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5E05B" w14:textId="77777777" w:rsidR="00385BF5" w:rsidRDefault="00385BF5" w:rsidP="000425BE">
      <w:pPr>
        <w:spacing w:after="0" w:line="240" w:lineRule="auto"/>
      </w:pPr>
      <w:r>
        <w:separator/>
      </w:r>
    </w:p>
  </w:footnote>
  <w:footnote w:type="continuationSeparator" w:id="0">
    <w:p w14:paraId="660A9A04" w14:textId="77777777" w:rsidR="00385BF5" w:rsidRDefault="00385BF5" w:rsidP="000425BE">
      <w:pPr>
        <w:spacing w:after="0" w:line="240" w:lineRule="auto"/>
      </w:pPr>
      <w:r>
        <w:continuationSeparator/>
      </w:r>
    </w:p>
  </w:footnote>
  <w:footnote w:type="continuationNotice" w:id="1">
    <w:p w14:paraId="4656BCD0" w14:textId="77777777" w:rsidR="00385BF5" w:rsidRDefault="00385BF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41DDE"/>
    <w:rsid w:val="00254AC8"/>
    <w:rsid w:val="00260F85"/>
    <w:rsid w:val="00281113"/>
    <w:rsid w:val="00282F5C"/>
    <w:rsid w:val="002C2DB4"/>
    <w:rsid w:val="002F391F"/>
    <w:rsid w:val="00385BF5"/>
    <w:rsid w:val="00386B00"/>
    <w:rsid w:val="003931FB"/>
    <w:rsid w:val="003F380B"/>
    <w:rsid w:val="0042172D"/>
    <w:rsid w:val="004951D8"/>
    <w:rsid w:val="004D7D90"/>
    <w:rsid w:val="00533A2E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35C3D"/>
    <w:rsid w:val="00966923"/>
    <w:rsid w:val="00992F81"/>
    <w:rsid w:val="00A02EE0"/>
    <w:rsid w:val="00B34EE7"/>
    <w:rsid w:val="00B44D23"/>
    <w:rsid w:val="00B50F8A"/>
    <w:rsid w:val="00B80F19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029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6BC1-D7C7-449E-85A5-3B3DCFA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Kocman</cp:lastModifiedBy>
  <cp:revision>4</cp:revision>
  <cp:lastPrinted>2020-01-24T13:21:00Z</cp:lastPrinted>
  <dcterms:created xsi:type="dcterms:W3CDTF">2020-01-24T08:20:00Z</dcterms:created>
  <dcterms:modified xsi:type="dcterms:W3CDTF">2020-01-24T13:21:00Z</dcterms:modified>
</cp:coreProperties>
</file>