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k SMLOUVĚ O DÍLO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projektové dokumentace</w:t>
        <w:br/>
        <w:t>„III/15222 Chotěbudice průtah“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objednatele: 191/2019 - KSÚSV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zhotovitele: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uzavřený podle ustanovení § 2586 a násl. zákona č. 89/2012 Sb., občanský zákoník (dále též jen „OZ“) a dále v souladu s Obchodními podmínkami zadavatele pro veřejné zakázky na vypracování projektových dokumentací dle § 37 odst. 1 písm. c) zákona č. 134/2016 Sb., o zadávání veřejných zakázek, v platném a účinném znění (dále jen „ZZVZ“), vydanými dle § 1751 a násl. OZ.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594" w:left="1064" w:right="684" w:bottom="1016" w:header="1166" w:footer="588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14300" distB="1554480" distL="0" distR="0" simplePos="0" relativeHeight="125829378" behindDoc="0" locked="0" layoutInCell="1" allowOverlap="1">
                <wp:simplePos x="0" y="0"/>
                <wp:positionH relativeFrom="page">
                  <wp:posOffset>2007870</wp:posOffset>
                </wp:positionH>
                <wp:positionV relativeFrom="paragraph">
                  <wp:posOffset>114300</wp:posOffset>
                </wp:positionV>
                <wp:extent cx="3862070" cy="89027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62070" cy="890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Článek 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Smluvní strany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Vysočiny,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1122/16, 586 01 Jihlava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Radovanem Necidem, ředitelem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8.09999999999999pt;margin-top:9.pt;width:304.10000000000002pt;height:70.099999999999994pt;z-index:-125829375;mso-wrap-distance-left:0;mso-wrap-distance-top:9.pt;mso-wrap-distance-right:0;mso-wrap-distance-bottom:122.4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Článek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Smluvní strany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Vysočiny,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 1122/16, 586 01 Jihlava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Radovanem Necidem, ředitelem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13715" distB="0" distL="0" distR="0" simplePos="0" relativeHeight="125829380" behindDoc="0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513715</wp:posOffset>
                </wp:positionV>
                <wp:extent cx="3029585" cy="204533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29585" cy="2045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  <w:bookmarkEnd w:id="0"/>
                            <w:bookmarkEnd w:id="1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Osoby pověřené jednat jménem objednatele ve věcech technických: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Fax: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Zřizovatel: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3.700000000000003pt;margin-top:40.450000000000003pt;width:238.55000000000001pt;height:161.05000000000001pt;z-index:-125829373;mso-wrap-distance-left:0;mso-wrap-distance-top:40.45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  <w:bookmarkEnd w:id="0"/>
                      <w:bookmarkEnd w:id="1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Osoby pověřené jednat jménem objednatele ve věcech technických: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Fax: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Zřizovatel: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32205" distB="1079500" distL="0" distR="0" simplePos="0" relativeHeight="125829382" behindDoc="0" locked="0" layoutInCell="1" allowOverlap="1">
                <wp:simplePos x="0" y="0"/>
                <wp:positionH relativeFrom="page">
                  <wp:posOffset>2011045</wp:posOffset>
                </wp:positionH>
                <wp:positionV relativeFrom="paragraph">
                  <wp:posOffset>1132205</wp:posOffset>
                </wp:positionV>
                <wp:extent cx="3139440" cy="34734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3944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6" w:lineRule="auto"/>
                              <w:ind w:left="0" w:right="0" w:firstLine="18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referent přípravy a realizace staveb Komerční banka, 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58.34999999999999pt;margin-top:89.150000000000006pt;width:247.19999999999999pt;height:27.350000000000001pt;z-index:-125829371;mso-wrap-distance-left:0;mso-wrap-distance-top:89.150000000000006pt;mso-wrap-distance-right:0;mso-wrap-distance-bottom:8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186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referent přípravy a realizace staveb Komerční banka,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04645" distB="631190" distL="0" distR="0" simplePos="0" relativeHeight="125829384" behindDoc="0" locked="0" layoutInCell="1" allowOverlap="1">
                <wp:simplePos x="0" y="0"/>
                <wp:positionH relativeFrom="page">
                  <wp:posOffset>2011045</wp:posOffset>
                </wp:positionH>
                <wp:positionV relativeFrom="paragraph">
                  <wp:posOffset>1604645</wp:posOffset>
                </wp:positionV>
                <wp:extent cx="755650" cy="32321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5650" cy="323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00090450 CZ00090450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58.34999999999999pt;margin-top:126.34999999999999pt;width:59.5pt;height:25.449999999999999pt;z-index:-125829369;mso-wrap-distance-left:0;mso-wrap-distance-top:126.34999999999999pt;mso-wrap-distance-right:0;mso-wrap-distance-bottom:49.7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00090450 CZ00090450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378710" distB="635" distL="0" distR="0" simplePos="0" relativeHeight="125829386" behindDoc="0" locked="0" layoutInCell="1" allowOverlap="1">
                <wp:simplePos x="0" y="0"/>
                <wp:positionH relativeFrom="page">
                  <wp:posOffset>2007870</wp:posOffset>
                </wp:positionH>
                <wp:positionV relativeFrom="paragraph">
                  <wp:posOffset>2378710</wp:posOffset>
                </wp:positionV>
                <wp:extent cx="838200" cy="17970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820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 Vysočina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58.09999999999999pt;margin-top:187.30000000000001pt;width:66.pt;height:14.15pt;z-index:-125829367;mso-wrap-distance-left:0;mso-wrap-distance-top:187.30000000000001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 Vysočina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„Objednatel“)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/>
        <w:ind w:left="0" w:right="0" w:firstLine="760"/>
        <w:jc w:val="lef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12700</wp:posOffset>
                </wp:positionV>
                <wp:extent cx="731520" cy="633730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1520" cy="633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Zhotovitel: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se sídlem: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zastoupený: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zapsán v: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3.700000000000003pt;margin-top:1.pt;width:57.600000000000001pt;height:49.899999999999999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Zhotovitel: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se sídlem: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zastoupený: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zapsán v: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VIPA project s.r.o., Projektování dopravních staveb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Cyrilometodějská 43/20, Nové Dvory, 674 01 Třebíč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Pavel Vidlák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živnostenském rejstříku města Třebíč, dne 7. 12. 2015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2001520</wp:posOffset>
                </wp:positionH>
                <wp:positionV relativeFrom="paragraph">
                  <wp:posOffset>622300</wp:posOffset>
                </wp:positionV>
                <wp:extent cx="1191895" cy="173990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18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Komerční banka, a.s.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57.59999999999999pt;margin-top:49.pt;width:93.849999999999994pt;height:13.699999999999999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Komerční banka, a.s.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je zapsána v obchodním rejstříku vedeném u Krajského soudu v Brně, oddíl C, vložka 91136 Osoby pověřené jednat jménem zhotovitele ve věcech smluvních: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účtu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2001520</wp:posOffset>
                </wp:positionH>
                <wp:positionV relativeFrom="paragraph">
                  <wp:posOffset>12700</wp:posOffset>
                </wp:positionV>
                <wp:extent cx="755650" cy="335280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5650" cy="335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04637470 CZ04637470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57.59999999999999pt;margin-top:1.pt;width:59.5pt;height:26.399999999999999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04637470 CZ04637470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52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„Zhotovitel“)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52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(společně také jako </w:t>
      </w:r>
      <w:r>
        <w:rPr>
          <w:b/>
          <w:bCs/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.Smluvnístrany“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nebo jednotlivě </w:t>
      </w:r>
      <w:r>
        <w:rPr>
          <w:b/>
          <w:bCs/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.Smluvní strana“)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6"/>
      <w:bookmarkEnd w:id="7"/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6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tomto Dodatku č. 1 z důvodu časové prodlevy způsobené delší lhůtou pro získání vyjádření vlastníků stavbou dotčených pozemků a pro získání vyjádření k PD jednotlivými dotčenými orgány státní správy.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9"/>
          <w:szCs w:val="19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94" w:left="1064" w:right="684" w:bottom="1016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5683885</wp:posOffset>
                </wp:positionH>
                <wp:positionV relativeFrom="paragraph">
                  <wp:posOffset>12700</wp:posOffset>
                </wp:positionV>
                <wp:extent cx="673735" cy="164465"/>
                <wp:wrapSquare wrapText="lef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373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Stránka 1 z 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47.55000000000001pt;margin-top:1.pt;width:53.049999999999997pt;height:12.949999999999999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Stránka 1 z 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Dodatek č. 1 k SoD č. 191/2019 - KSÚSV</w:t>
      </w:r>
    </w:p>
    <w:p>
      <w:pPr>
        <w:pStyle w:val="Style2"/>
        <w:keepNext w:val="0"/>
        <w:keepLines w:val="0"/>
        <w:framePr w:w="8002" w:h="773" w:wrap="none" w:hAnchor="page" w:x="1063" w:y="1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souvislosti s výše uvedenými důvody dochází ke změně termínů tímto způsobem:</w:t>
      </w:r>
    </w:p>
    <w:p>
      <w:pPr>
        <w:pStyle w:val="Style5"/>
        <w:keepNext/>
        <w:keepLines/>
        <w:framePr w:w="8002" w:h="773" w:wrap="none" w:hAnchor="page" w:x="106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Příloze 1 - Technické podmínky PD, v části Lhůty plnění:</w:t>
      </w:r>
      <w:bookmarkEnd w:id="8"/>
      <w:bookmarkEnd w:id="9"/>
    </w:p>
    <w:p>
      <w:pPr>
        <w:pStyle w:val="Style2"/>
        <w:keepNext w:val="0"/>
        <w:keepLines w:val="0"/>
        <w:framePr w:w="5098" w:h="538" w:wrap="none" w:hAnchor="page" w:x="1480" w:y="966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Dokumentace DSP+PDPS, včetně projednání s dotčenými orgány státní správy a samosprávy: </w:t>
      </w:r>
    </w:p>
    <w:p>
      <w:pPr>
        <w:pStyle w:val="Style5"/>
        <w:keepNext/>
        <w:keepLines/>
        <w:framePr w:w="3264" w:h="283" w:wrap="none" w:hAnchor="page" w:x="1072" w:y="1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zněním:</w:t>
      </w:r>
      <w:bookmarkEnd w:id="10"/>
      <w:bookmarkEnd w:id="11"/>
    </w:p>
    <w:p>
      <w:pPr>
        <w:pStyle w:val="Style2"/>
        <w:keepNext w:val="0"/>
        <w:keepLines w:val="0"/>
        <w:framePr w:w="5093" w:h="528" w:wrap="none" w:hAnchor="page" w:x="1485" w:y="2425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Dokumentace DSP+PDPS, včetně projednání s dotčenými orgány státní správy a samosprávy:</w:t>
      </w:r>
    </w:p>
    <w:p>
      <w:pPr>
        <w:pStyle w:val="Style2"/>
        <w:keepNext w:val="0"/>
        <w:keepLines w:val="0"/>
        <w:framePr w:w="3811" w:h="283" w:wrap="none" w:hAnchor="page" w:x="6736" w:y="10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60 dnů od předání konceptu DSP+PDPS</w:t>
      </w:r>
    </w:p>
    <w:p>
      <w:pPr>
        <w:pStyle w:val="Style2"/>
        <w:keepNext w:val="0"/>
        <w:keepLines w:val="0"/>
        <w:framePr w:w="1186" w:h="269" w:wrap="none" w:hAnchor="page" w:x="6741" w:y="25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9. 5. 2020</w:t>
      </w:r>
    </w:p>
    <w:p>
      <w:pPr>
        <w:pStyle w:val="Style2"/>
        <w:keepNext w:val="0"/>
        <w:keepLines w:val="0"/>
        <w:framePr w:w="8746" w:h="288" w:wrap="none" w:hAnchor="page" w:x="1067" w:y="32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2.3.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Ostatní ujednání Smlouvy nedotčené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Dodatkem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zůstávají v platnosti v původním znění.</w:t>
      </w:r>
    </w:p>
    <w:p>
      <w:pPr>
        <w:pStyle w:val="Style2"/>
        <w:keepNext w:val="0"/>
        <w:keepLines w:val="0"/>
        <w:framePr w:w="10162" w:h="4550" w:wrap="none" w:hAnchor="page" w:x="1039" w:y="388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5"/>
        <w:keepNext/>
        <w:keepLines/>
        <w:framePr w:w="10162" w:h="4550" w:wrap="none" w:hAnchor="page" w:x="1039" w:y="3889"/>
        <w:widowControl w:val="0"/>
        <w:shd w:val="clear" w:color="auto" w:fill="auto"/>
        <w:bidi w:val="0"/>
        <w:spacing w:before="0" w:after="12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12"/>
      <w:bookmarkEnd w:id="13"/>
    </w:p>
    <w:p>
      <w:pPr>
        <w:pStyle w:val="Style2"/>
        <w:keepNext w:val="0"/>
        <w:keepLines w:val="0"/>
        <w:framePr w:w="10162" w:h="4550" w:wrap="none" w:hAnchor="page" w:x="1039" w:y="3889"/>
        <w:widowControl w:val="0"/>
        <w:numPr>
          <w:ilvl w:val="0"/>
          <w:numId w:val="1"/>
        </w:numPr>
        <w:shd w:val="clear" w:color="auto" w:fill="auto"/>
        <w:tabs>
          <w:tab w:pos="696" w:val="left"/>
        </w:tabs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nedílnou součástí Smlouvy o dílo č. objednatele 191/2019 - KSÚSV uzavřené dne 27. 8. 2019 podle ustanovení § 2586 a násl. OZ a dále Obchodními podmínkami zadavatele pro veřejné zakázky na vypracování projektových dokumentací dle § 37 odst. 1 písm. c) </w:t>
      </w:r>
      <w:r>
        <w:rPr>
          <w:b/>
          <w:bCs/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Z7NZ.,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vydanými dle § 1751 a násl. OZ.</w:t>
      </w:r>
    </w:p>
    <w:p>
      <w:pPr>
        <w:pStyle w:val="Style2"/>
        <w:keepNext w:val="0"/>
        <w:keepLines w:val="0"/>
        <w:framePr w:w="10162" w:h="4550" w:wrap="none" w:hAnchor="page" w:x="1039" w:y="3889"/>
        <w:widowControl w:val="0"/>
        <w:numPr>
          <w:ilvl w:val="0"/>
          <w:numId w:val="1"/>
        </w:numPr>
        <w:shd w:val="clear" w:color="auto" w:fill="auto"/>
        <w:tabs>
          <w:tab w:pos="696" w:val="left"/>
        </w:tabs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ve 4 stejnopisech, z nichž 2 výtisky obdrží objednatel a 2 zhotovitel.</w:t>
      </w:r>
    </w:p>
    <w:p>
      <w:pPr>
        <w:pStyle w:val="Style2"/>
        <w:keepNext w:val="0"/>
        <w:keepLines w:val="0"/>
        <w:framePr w:w="10162" w:h="4550" w:wrap="none" w:hAnchor="page" w:x="1039" w:y="3889"/>
        <w:widowControl w:val="0"/>
        <w:numPr>
          <w:ilvl w:val="0"/>
          <w:numId w:val="1"/>
        </w:numPr>
        <w:shd w:val="clear" w:color="auto" w:fill="auto"/>
        <w:tabs>
          <w:tab w:pos="696" w:val="left"/>
        </w:tabs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1 nabývá platnosti dnem podpisu a účinnosti dnem uveřejnění v informačním systému veřejné správy - Registru smluv.</w:t>
      </w:r>
    </w:p>
    <w:p>
      <w:pPr>
        <w:pStyle w:val="Style2"/>
        <w:keepNext w:val="0"/>
        <w:keepLines w:val="0"/>
        <w:framePr w:w="10162" w:h="4550" w:wrap="none" w:hAnchor="page" w:x="1039" w:y="3889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"/>
        <w:keepNext w:val="0"/>
        <w:keepLines w:val="0"/>
        <w:framePr w:w="10162" w:h="4550" w:wrap="none" w:hAnchor="page" w:x="1039" w:y="3889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12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Dodatek č. 1 před podpisem přečetly, s 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2"/>
        <w:keepNext w:val="0"/>
        <w:keepLines w:val="0"/>
        <w:framePr w:w="10162" w:h="4550" w:wrap="none" w:hAnchor="page" w:x="1039" w:y="3889"/>
        <w:widowControl w:val="0"/>
        <w:numPr>
          <w:ilvl w:val="0"/>
          <w:numId w:val="1"/>
        </w:numPr>
        <w:shd w:val="clear" w:color="auto" w:fill="auto"/>
        <w:tabs>
          <w:tab w:pos="686" w:val="left"/>
        </w:tabs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přílohou je Žádost o dodatek s prodloužením termínu ze dne 3. 2. 2020.</w:t>
      </w:r>
    </w:p>
    <w:p>
      <w:pPr>
        <w:pStyle w:val="Style2"/>
        <w:keepNext w:val="0"/>
        <w:keepLines w:val="0"/>
        <w:framePr w:w="5539" w:h="302" w:wrap="none" w:hAnchor="page" w:x="1058" w:y="8852"/>
        <w:widowControl w:val="0"/>
        <w:shd w:val="clear" w:color="auto" w:fill="auto"/>
        <w:tabs>
          <w:tab w:pos="136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  <w:tab/>
        <w:t>Žádost o prodloužení termínu ze dne 3. 2. 2020</w:t>
      </w:r>
    </w:p>
    <w:p>
      <w:pPr>
        <w:pStyle w:val="Style2"/>
        <w:keepNext w:val="0"/>
        <w:keepLines w:val="0"/>
        <w:framePr w:w="1051" w:h="293" w:wrap="none" w:hAnchor="page" w:x="1053" w:y="10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framePr w:w="2842" w:h="1008" w:wrap="none" w:hAnchor="page" w:x="6285" w:y="10119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15"/>
        <w:keepNext/>
        <w:keepLines/>
        <w:framePr w:w="2842" w:h="1008" w:wrap="none" w:hAnchor="page" w:x="6285" w:y="10119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03. 202U</w:t>
      </w:r>
      <w:bookmarkEnd w:id="14"/>
      <w:bookmarkEnd w:id="15"/>
    </w:p>
    <w:p>
      <w:pPr>
        <w:pStyle w:val="Style2"/>
        <w:keepNext w:val="0"/>
        <w:keepLines w:val="0"/>
        <w:framePr w:w="2842" w:h="1008" w:wrap="none" w:hAnchor="page" w:x="6285" w:y="10119"/>
        <w:widowControl w:val="0"/>
        <w:shd w:val="clear" w:color="auto" w:fill="auto"/>
        <w:tabs>
          <w:tab w:leader="dot" w:pos="1762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  <w:tab/>
      </w:r>
    </w:p>
    <w:p>
      <w:pPr>
        <w:pStyle w:val="Style2"/>
        <w:keepNext w:val="0"/>
        <w:keepLines w:val="0"/>
        <w:framePr w:w="1790" w:h="538" w:wrap="none" w:hAnchor="page" w:x="2493" w:y="12582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Pavel Vidlák</w:t>
        <w:br/>
        <w:t>jednatel společnosti</w:t>
      </w:r>
    </w:p>
    <w:p>
      <w:pPr>
        <w:pStyle w:val="Style2"/>
        <w:keepNext w:val="0"/>
        <w:keepLines w:val="0"/>
        <w:framePr w:w="1790" w:h="528" w:wrap="none" w:hAnchor="page" w:x="7370" w:y="12591"/>
        <w:widowControl w:val="0"/>
        <w:shd w:val="clear" w:color="auto" w:fill="auto"/>
        <w:bidi w:val="0"/>
        <w:spacing w:before="0" w:after="0"/>
        <w:ind w:left="600" w:right="0" w:hanging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ředitel..</w:t>
      </w:r>
    </w:p>
    <w:p>
      <w:pPr>
        <w:pStyle w:val="Style2"/>
        <w:keepNext w:val="0"/>
        <w:keepLines w:val="0"/>
        <w:framePr w:w="3442" w:h="259" w:wrap="none" w:hAnchor="page" w:x="1058" w:y="1383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Dodatek č. 1 k SoD č. 191/2019 - KSÚSV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544" w:left="1038" w:right="701" w:bottom="1007" w:header="1116" w:footer="579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Nadpis #3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Nadpis #1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6">
    <w:name w:val="Nadpis #2_"/>
    <w:basedOn w:val="DefaultParagraphFont"/>
    <w:link w:val="Styl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line="25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Nadpis #3"/>
    <w:basedOn w:val="Normal"/>
    <w:link w:val="CharStyle6"/>
    <w:pPr>
      <w:widowControl w:val="0"/>
      <w:shd w:val="clear" w:color="auto" w:fill="FFFFFF"/>
      <w:spacing w:line="257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ind w:left="2060"/>
      <w:outlineLvl w:val="1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