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73" w:rsidRPr="0079523B" w:rsidRDefault="00825173" w:rsidP="00825173">
      <w:pPr>
        <w:pStyle w:val="Nadpis4"/>
        <w:numPr>
          <w:ilvl w:val="0"/>
          <w:numId w:val="0"/>
        </w:numPr>
        <w:tabs>
          <w:tab w:val="left" w:pos="709"/>
        </w:tabs>
        <w:spacing w:line="360" w:lineRule="exact"/>
        <w:rPr>
          <w:sz w:val="32"/>
          <w:szCs w:val="32"/>
        </w:rPr>
      </w:pPr>
      <w:r w:rsidRPr="0079523B">
        <w:rPr>
          <w:sz w:val="32"/>
          <w:szCs w:val="32"/>
        </w:rPr>
        <w:t xml:space="preserve">Smlouva o sdružených službách dodávky plynu </w:t>
      </w:r>
    </w:p>
    <w:p w:rsidR="00825173" w:rsidRPr="0079523B" w:rsidRDefault="00825173" w:rsidP="00825173">
      <w:pPr>
        <w:pStyle w:val="Zhlav"/>
        <w:tabs>
          <w:tab w:val="clear" w:pos="4536"/>
          <w:tab w:val="clear" w:pos="9072"/>
        </w:tabs>
        <w:spacing w:line="280" w:lineRule="exact"/>
        <w:jc w:val="both"/>
        <w:rPr>
          <w:bCs/>
          <w:szCs w:val="24"/>
        </w:rPr>
      </w:pPr>
      <w:r w:rsidRPr="0079523B">
        <w:rPr>
          <w:bCs/>
          <w:szCs w:val="24"/>
        </w:rPr>
        <w:t>(dále jen „Smlouva“)</w:t>
      </w:r>
    </w:p>
    <w:p w:rsidR="00825173" w:rsidRPr="0079523B" w:rsidRDefault="00825173" w:rsidP="00825173">
      <w:pPr>
        <w:pStyle w:val="Zhlav"/>
        <w:tabs>
          <w:tab w:val="clear" w:pos="4536"/>
          <w:tab w:val="clear" w:pos="9072"/>
        </w:tabs>
        <w:spacing w:line="280" w:lineRule="exact"/>
        <w:jc w:val="both"/>
        <w:rPr>
          <w:bCs/>
          <w:szCs w:val="24"/>
        </w:rPr>
      </w:pPr>
    </w:p>
    <w:p w:rsidR="00825173" w:rsidRPr="0079523B" w:rsidRDefault="00825173" w:rsidP="00825173">
      <w:pPr>
        <w:pStyle w:val="Zhlav"/>
        <w:tabs>
          <w:tab w:val="clear" w:pos="4536"/>
          <w:tab w:val="clear" w:pos="9072"/>
        </w:tabs>
        <w:spacing w:before="120" w:after="120" w:line="240" w:lineRule="auto"/>
        <w:jc w:val="both"/>
        <w:rPr>
          <w:color w:val="000000"/>
          <w:lang w:eastAsia="cs-CZ"/>
        </w:rPr>
      </w:pPr>
      <w:r w:rsidRPr="0079523B">
        <w:rPr>
          <w:bCs/>
          <w:szCs w:val="24"/>
        </w:rPr>
        <w:t xml:space="preserve">Číslo Smlouvy: </w:t>
      </w:r>
      <w:r>
        <w:rPr>
          <w:noProof/>
          <w:color w:val="000000"/>
          <w:lang w:eastAsia="cs-CZ"/>
        </w:rPr>
        <w:t>ZP_</w:t>
      </w:r>
      <w:r w:rsidRPr="00C34912">
        <w:rPr>
          <w:noProof/>
          <w:color w:val="000000"/>
        </w:rPr>
        <w:t>27ZG600Z0001490P</w:t>
      </w:r>
      <w:r>
        <w:rPr>
          <w:noProof/>
          <w:color w:val="000000"/>
        </w:rPr>
        <w:t>_2017</w:t>
      </w:r>
    </w:p>
    <w:p w:rsidR="00825173" w:rsidRPr="0079523B" w:rsidRDefault="00825173" w:rsidP="00825173">
      <w:pPr>
        <w:pStyle w:val="Zhlav"/>
        <w:tabs>
          <w:tab w:val="clear" w:pos="4536"/>
          <w:tab w:val="clear" w:pos="9072"/>
        </w:tabs>
        <w:spacing w:before="120" w:after="120" w:line="240" w:lineRule="auto"/>
        <w:ind w:left="4253"/>
        <w:jc w:val="both"/>
        <w:rPr>
          <w:b/>
          <w:bCs/>
          <w:szCs w:val="24"/>
        </w:rPr>
      </w:pPr>
      <w:r w:rsidRPr="0079523B">
        <w:rPr>
          <w:b/>
          <w:bCs/>
          <w:szCs w:val="24"/>
        </w:rPr>
        <w:t>mezi</w:t>
      </w:r>
    </w:p>
    <w:p w:rsidR="00825173" w:rsidRPr="0079523B" w:rsidRDefault="00825173" w:rsidP="00825173">
      <w:pPr>
        <w:spacing w:before="120" w:after="120" w:line="240" w:lineRule="auto"/>
        <w:rPr>
          <w:szCs w:val="24"/>
        </w:rPr>
      </w:pPr>
      <w:r w:rsidRPr="0079523B">
        <w:rPr>
          <w:b/>
          <w:szCs w:val="24"/>
        </w:rPr>
        <w:t>Zákazníkem</w:t>
      </w:r>
      <w:r w:rsidRPr="0079523B">
        <w:rPr>
          <w:szCs w:val="24"/>
        </w:rPr>
        <w:cr/>
        <w:t xml:space="preserve">Název, adresa: </w:t>
      </w:r>
      <w:r w:rsidRPr="00857DF6">
        <w:rPr>
          <w:b/>
          <w:noProof/>
          <w:color w:val="000000"/>
          <w:lang w:eastAsia="cs-CZ"/>
        </w:rPr>
        <w:t>Základní škola Mikulov, Hraničářů 617 E, příspěvková organizace</w:t>
      </w:r>
      <w:r w:rsidRPr="0079523B">
        <w:rPr>
          <w:color w:val="000000"/>
          <w:lang w:eastAsia="cs-CZ"/>
        </w:rPr>
        <w:t xml:space="preserve">, </w:t>
      </w:r>
      <w:r w:rsidRPr="00C34912">
        <w:rPr>
          <w:noProof/>
          <w:color w:val="000000"/>
          <w:lang w:eastAsia="cs-CZ"/>
        </w:rPr>
        <w:t>Hraničářů 617E, 692 01 Mikulov</w:t>
      </w:r>
      <w:r w:rsidRPr="0079523B">
        <w:rPr>
          <w:szCs w:val="24"/>
        </w:rPr>
        <w:tab/>
      </w:r>
      <w:r w:rsidRPr="0079523B">
        <w:rPr>
          <w:szCs w:val="24"/>
        </w:rPr>
        <w:cr/>
        <w:t xml:space="preserve">IČ: </w:t>
      </w:r>
      <w:r w:rsidRPr="00C34912">
        <w:rPr>
          <w:noProof/>
          <w:color w:val="000000"/>
          <w:lang w:eastAsia="cs-CZ"/>
        </w:rPr>
        <w:t>70279055</w:t>
      </w:r>
      <w:r w:rsidRPr="0079523B">
        <w:rPr>
          <w:szCs w:val="24"/>
        </w:rPr>
        <w:t>, DIČ</w:t>
      </w:r>
      <w:r w:rsidRPr="00C34912">
        <w:rPr>
          <w:noProof/>
          <w:color w:val="000000"/>
          <w:lang w:eastAsia="cs-CZ"/>
        </w:rPr>
        <w:t>CZ70279055</w:t>
      </w:r>
      <w:r w:rsidRPr="0079523B">
        <w:rPr>
          <w:szCs w:val="24"/>
        </w:rPr>
        <w:tab/>
      </w:r>
      <w:r w:rsidRPr="0079523B">
        <w:rPr>
          <w:szCs w:val="24"/>
        </w:rPr>
        <w:tab/>
      </w:r>
    </w:p>
    <w:p w:rsidR="00825173" w:rsidRDefault="00825173" w:rsidP="00825173">
      <w:pPr>
        <w:spacing w:line="240" w:lineRule="auto"/>
      </w:pPr>
      <w:r w:rsidRPr="0079523B">
        <w:rPr>
          <w:szCs w:val="24"/>
        </w:rPr>
        <w:t xml:space="preserve">Bankovní spojení: </w:t>
      </w:r>
      <w:r w:rsidR="00AB0119">
        <w:rPr>
          <w:noProof/>
          <w:color w:val="000000"/>
          <w:lang w:eastAsia="cs-CZ"/>
        </w:rPr>
        <w:t>XXXXXXXXXXXXXX</w:t>
      </w:r>
      <w:r w:rsidRPr="0079523B">
        <w:rPr>
          <w:szCs w:val="24"/>
        </w:rPr>
        <w:cr/>
        <w:t xml:space="preserve">Číslo účtu/ Kód banky: </w:t>
      </w:r>
      <w:r w:rsidR="00AB0119">
        <w:rPr>
          <w:noProof/>
          <w:color w:val="000000"/>
          <w:lang w:eastAsia="cs-CZ"/>
        </w:rPr>
        <w:t>XXXXXXXXXXXXXX</w:t>
      </w:r>
      <w:r w:rsidRPr="0079523B">
        <w:rPr>
          <w:szCs w:val="24"/>
        </w:rPr>
        <w:tab/>
      </w:r>
      <w:r w:rsidRPr="0079523B">
        <w:rPr>
          <w:szCs w:val="24"/>
        </w:rPr>
        <w:cr/>
      </w:r>
      <w:r w:rsidRPr="0079523B">
        <w:t xml:space="preserve">Adresa pro doručování korespondence včetně daňových dokladů: </w:t>
      </w:r>
    </w:p>
    <w:p w:rsidR="00825173" w:rsidRPr="0079523B" w:rsidRDefault="00825173" w:rsidP="00825173">
      <w:pPr>
        <w:spacing w:before="120" w:after="120" w:line="240" w:lineRule="auto"/>
      </w:pPr>
      <w:r w:rsidRPr="00C34912">
        <w:rPr>
          <w:noProof/>
        </w:rPr>
        <w:t>Základní škola Mikulov, Hraničářů 617 E, příspěvková organizace, Hraničářů 617E, 692 01 Mikulov</w:t>
      </w:r>
    </w:p>
    <w:p w:rsidR="00825173" w:rsidRPr="0079523B" w:rsidRDefault="00825173" w:rsidP="00825173">
      <w:pPr>
        <w:spacing w:before="120" w:after="120" w:line="240" w:lineRule="auto"/>
        <w:ind w:left="4253"/>
        <w:rPr>
          <w:b/>
          <w:szCs w:val="24"/>
        </w:rPr>
      </w:pPr>
      <w:r w:rsidRPr="0079523B">
        <w:rPr>
          <w:b/>
          <w:szCs w:val="24"/>
        </w:rPr>
        <w:t>a</w:t>
      </w:r>
    </w:p>
    <w:p w:rsidR="00825173" w:rsidRPr="0079523B" w:rsidRDefault="00825173" w:rsidP="00825173">
      <w:pPr>
        <w:pStyle w:val="Zkladntextodsazen"/>
        <w:spacing w:before="120" w:after="120"/>
        <w:ind w:left="0"/>
        <w:jc w:val="left"/>
        <w:rPr>
          <w:rFonts w:ascii="Times New Roman" w:hAnsi="Times New Roman"/>
          <w:sz w:val="24"/>
          <w:szCs w:val="24"/>
        </w:rPr>
      </w:pPr>
      <w:r w:rsidRPr="0079523B">
        <w:rPr>
          <w:rFonts w:ascii="Times New Roman" w:hAnsi="Times New Roman"/>
          <w:b/>
          <w:sz w:val="24"/>
          <w:szCs w:val="24"/>
        </w:rPr>
        <w:t>Dodavatelem</w:t>
      </w:r>
      <w:r w:rsidRPr="0079523B">
        <w:rPr>
          <w:rFonts w:ascii="Times New Roman" w:hAnsi="Times New Roman"/>
          <w:sz w:val="24"/>
          <w:szCs w:val="24"/>
        </w:rPr>
        <w:t xml:space="preserve"> </w:t>
      </w:r>
      <w:r w:rsidRPr="0079523B">
        <w:rPr>
          <w:rFonts w:ascii="Times New Roman" w:hAnsi="Times New Roman"/>
          <w:sz w:val="24"/>
          <w:szCs w:val="24"/>
        </w:rPr>
        <w:cr/>
      </w:r>
      <w:proofErr w:type="gramStart"/>
      <w:r w:rsidRPr="0079523B">
        <w:rPr>
          <w:rFonts w:ascii="Times New Roman" w:hAnsi="Times New Roman"/>
          <w:b/>
          <w:sz w:val="24"/>
          <w:szCs w:val="24"/>
        </w:rPr>
        <w:t>E.ON</w:t>
      </w:r>
      <w:proofErr w:type="gramEnd"/>
      <w:r w:rsidRPr="0079523B">
        <w:rPr>
          <w:rFonts w:ascii="Times New Roman" w:hAnsi="Times New Roman"/>
          <w:b/>
          <w:sz w:val="24"/>
          <w:szCs w:val="24"/>
        </w:rPr>
        <w:t xml:space="preserve"> Energie, a.s., F. A. </w:t>
      </w:r>
      <w:proofErr w:type="spellStart"/>
      <w:r w:rsidRPr="0079523B">
        <w:rPr>
          <w:rFonts w:ascii="Times New Roman" w:hAnsi="Times New Roman"/>
          <w:b/>
          <w:sz w:val="24"/>
          <w:szCs w:val="24"/>
        </w:rPr>
        <w:t>Gerstnera</w:t>
      </w:r>
      <w:proofErr w:type="spellEnd"/>
      <w:r w:rsidRPr="0079523B">
        <w:rPr>
          <w:rFonts w:ascii="Times New Roman" w:hAnsi="Times New Roman"/>
          <w:b/>
          <w:sz w:val="24"/>
          <w:szCs w:val="24"/>
        </w:rPr>
        <w:t xml:space="preserve"> 2151/6, 370 49 České Budějovice </w:t>
      </w:r>
      <w:r w:rsidRPr="0079523B">
        <w:rPr>
          <w:rFonts w:ascii="Times New Roman" w:hAnsi="Times New Roman"/>
          <w:sz w:val="24"/>
          <w:szCs w:val="24"/>
        </w:rPr>
        <w:tab/>
      </w:r>
      <w:r w:rsidRPr="0079523B">
        <w:rPr>
          <w:rFonts w:ascii="Times New Roman" w:hAnsi="Times New Roman"/>
          <w:sz w:val="24"/>
          <w:szCs w:val="24"/>
        </w:rPr>
        <w:cr/>
        <w:t>IČ: 26078201, DIČ: CZ26078201</w:t>
      </w:r>
    </w:p>
    <w:p w:rsidR="00AB0119" w:rsidRDefault="00825173" w:rsidP="00825173">
      <w:pPr>
        <w:pStyle w:val="Zkladntextodsazen"/>
        <w:spacing w:before="0"/>
        <w:ind w:left="0"/>
        <w:jc w:val="left"/>
        <w:rPr>
          <w:rFonts w:ascii="Times New Roman" w:hAnsi="Times New Roman"/>
          <w:sz w:val="24"/>
          <w:szCs w:val="24"/>
        </w:rPr>
      </w:pPr>
      <w:r w:rsidRPr="0079523B">
        <w:rPr>
          <w:rFonts w:ascii="Times New Roman" w:hAnsi="Times New Roman"/>
          <w:sz w:val="24"/>
          <w:szCs w:val="24"/>
        </w:rPr>
        <w:t>Společnost je zapsána v OR vedeném u Krajského soudu v Českých Budějovicích, oddíl B, vložka 1390</w:t>
      </w:r>
      <w:r w:rsidRPr="0079523B">
        <w:rPr>
          <w:rFonts w:ascii="Times New Roman" w:hAnsi="Times New Roman"/>
          <w:sz w:val="24"/>
          <w:szCs w:val="24"/>
        </w:rPr>
        <w:cr/>
        <w:t xml:space="preserve">Bankovní spojení: </w:t>
      </w:r>
      <w:r w:rsidR="00AB0119">
        <w:rPr>
          <w:rFonts w:ascii="Times New Roman" w:hAnsi="Times New Roman"/>
          <w:sz w:val="24"/>
          <w:szCs w:val="24"/>
        </w:rPr>
        <w:t>XXXXXXXXXXX</w:t>
      </w:r>
    </w:p>
    <w:p w:rsidR="00825173" w:rsidRPr="0079523B" w:rsidRDefault="00825173" w:rsidP="00825173">
      <w:pPr>
        <w:pStyle w:val="Zkladntextodsazen"/>
        <w:spacing w:before="0"/>
        <w:ind w:left="0"/>
        <w:jc w:val="left"/>
        <w:rPr>
          <w:rFonts w:ascii="Times New Roman" w:hAnsi="Times New Roman"/>
          <w:sz w:val="24"/>
          <w:szCs w:val="24"/>
        </w:rPr>
      </w:pPr>
      <w:r w:rsidRPr="0079523B">
        <w:rPr>
          <w:rFonts w:ascii="Times New Roman" w:hAnsi="Times New Roman"/>
          <w:sz w:val="24"/>
          <w:szCs w:val="24"/>
        </w:rPr>
        <w:t xml:space="preserve">Číslo účtu/ Kód banky: </w:t>
      </w:r>
      <w:r w:rsidR="00AB0119">
        <w:rPr>
          <w:rFonts w:ascii="Times New Roman" w:hAnsi="Times New Roman"/>
          <w:sz w:val="24"/>
          <w:szCs w:val="24"/>
        </w:rPr>
        <w:t>XXXXXXXXXXX</w:t>
      </w:r>
      <w:r w:rsidRPr="0079523B">
        <w:rPr>
          <w:rFonts w:ascii="Times New Roman" w:hAnsi="Times New Roman"/>
          <w:sz w:val="24"/>
          <w:szCs w:val="24"/>
        </w:rPr>
        <w:t xml:space="preserve"> </w:t>
      </w:r>
    </w:p>
    <w:p w:rsidR="00825173" w:rsidRPr="0079523B" w:rsidRDefault="00825173" w:rsidP="00825173">
      <w:pPr>
        <w:pStyle w:val="Zkladntextodsazen"/>
        <w:spacing w:before="0"/>
        <w:ind w:left="0"/>
        <w:jc w:val="left"/>
        <w:rPr>
          <w:rFonts w:ascii="Times New Roman" w:hAnsi="Times New Roman"/>
          <w:szCs w:val="24"/>
        </w:rPr>
      </w:pPr>
      <w:r w:rsidRPr="0079523B">
        <w:rPr>
          <w:rFonts w:ascii="Times New Roman" w:hAnsi="Times New Roman"/>
          <w:szCs w:val="24"/>
        </w:rPr>
        <w:cr/>
      </w:r>
    </w:p>
    <w:p w:rsidR="00825173" w:rsidRPr="0079523B" w:rsidRDefault="00825173" w:rsidP="00825173">
      <w:pPr>
        <w:rPr>
          <w:b/>
        </w:rPr>
      </w:pPr>
      <w:r w:rsidRPr="0079523B">
        <w:rPr>
          <w:b/>
        </w:rPr>
        <w:t>Úvodní ustanovení</w:t>
      </w:r>
    </w:p>
    <w:p w:rsidR="00825173" w:rsidRPr="0079523B" w:rsidRDefault="00825173" w:rsidP="00825173">
      <w:r w:rsidRPr="0079523B">
        <w:t>Tato Smlouva je uzavřena dnem jejího podpisu oběma smluvními stranami na dobu určitou do</w:t>
      </w:r>
      <w:r w:rsidRPr="0079523B">
        <w:rPr>
          <w:b/>
          <w:szCs w:val="24"/>
        </w:rPr>
        <w:t xml:space="preserve"> </w:t>
      </w:r>
      <w:proofErr w:type="gramStart"/>
      <w:r w:rsidR="004271F5">
        <w:rPr>
          <w:b/>
          <w:szCs w:val="24"/>
        </w:rPr>
        <w:t>31.12.2017</w:t>
      </w:r>
      <w:proofErr w:type="gramEnd"/>
      <w:r w:rsidRPr="0079523B">
        <w:t>.</w:t>
      </w:r>
    </w:p>
    <w:p w:rsidR="00825173" w:rsidRPr="0079523B" w:rsidRDefault="00825173" w:rsidP="00825173">
      <w:r w:rsidRPr="0079523B">
        <w:t>Předpokládané datum zahájení dodávky:</w:t>
      </w:r>
      <w:r w:rsidRPr="0079523B">
        <w:rPr>
          <w:b/>
          <w:szCs w:val="24"/>
        </w:rPr>
        <w:t xml:space="preserve"> </w:t>
      </w:r>
      <w:r w:rsidRPr="00C34912">
        <w:rPr>
          <w:noProof/>
        </w:rPr>
        <w:t>01.</w:t>
      </w:r>
      <w:r w:rsidR="004271F5">
        <w:rPr>
          <w:noProof/>
        </w:rPr>
        <w:t>01.2017</w:t>
      </w:r>
      <w:r w:rsidRPr="0079523B">
        <w:rPr>
          <w:noProof/>
        </w:rPr>
        <w:t>.</w:t>
      </w:r>
      <w:r w:rsidRPr="0079523B">
        <w:t xml:space="preserve"> </w:t>
      </w:r>
    </w:p>
    <w:p w:rsidR="00825173" w:rsidRPr="0079523B" w:rsidRDefault="00825173" w:rsidP="00825173">
      <w:pPr>
        <w:spacing w:line="240" w:lineRule="auto"/>
        <w:rPr>
          <w:b/>
        </w:rPr>
      </w:pPr>
    </w:p>
    <w:p w:rsidR="00825173" w:rsidRPr="0079523B" w:rsidRDefault="00825173" w:rsidP="00825173">
      <w:pPr>
        <w:spacing w:line="240" w:lineRule="auto"/>
      </w:pPr>
      <w:r w:rsidRPr="0079523B">
        <w:rPr>
          <w:b/>
        </w:rPr>
        <w:t>Platební podmínky</w:t>
      </w:r>
    </w:p>
    <w:p w:rsidR="00825173" w:rsidRDefault="00825173" w:rsidP="00825173">
      <w:pPr>
        <w:spacing w:line="240" w:lineRule="auto"/>
      </w:pPr>
      <w:r w:rsidRPr="0079523B">
        <w:t>Splatnost faktur: 14 dnů od data jejich vystavení</w:t>
      </w:r>
    </w:p>
    <w:p w:rsidR="00825173" w:rsidRPr="0079523B" w:rsidRDefault="00825173" w:rsidP="00825173">
      <w:pPr>
        <w:spacing w:line="240" w:lineRule="auto"/>
      </w:pPr>
      <w:r>
        <w:t xml:space="preserve">Způsob zasílání faktur: </w:t>
      </w:r>
      <w:r w:rsidR="00AB0119">
        <w:t>XXXXXXXXXXXX</w:t>
      </w:r>
    </w:p>
    <w:p w:rsidR="00825173" w:rsidRPr="0079523B" w:rsidRDefault="00825173" w:rsidP="00825173">
      <w:pPr>
        <w:spacing w:line="240" w:lineRule="auto"/>
      </w:pPr>
      <w:r w:rsidRPr="0079523B">
        <w:t xml:space="preserve">Způsob úhrady plateb včetně záloh: </w:t>
      </w:r>
      <w:r w:rsidRPr="00C34912">
        <w:rPr>
          <w:noProof/>
          <w:szCs w:val="24"/>
        </w:rPr>
        <w:t>Převod z účtu</w:t>
      </w:r>
      <w:r w:rsidRPr="0079523B">
        <w:rPr>
          <w:b/>
          <w:bCs/>
          <w:color w:val="1F497D"/>
          <w:sz w:val="36"/>
          <w:szCs w:val="36"/>
        </w:rPr>
        <w:t xml:space="preserve"> </w:t>
      </w:r>
      <w:r w:rsidRPr="0079523B">
        <w:t xml:space="preserve"> </w:t>
      </w:r>
    </w:p>
    <w:p w:rsidR="00825173" w:rsidRPr="0079523B" w:rsidRDefault="00825173" w:rsidP="00825173">
      <w:pPr>
        <w:tabs>
          <w:tab w:val="left" w:pos="2977"/>
        </w:tabs>
        <w:spacing w:line="240" w:lineRule="auto"/>
      </w:pPr>
      <w:r w:rsidRPr="0079523B">
        <w:t xml:space="preserve">Výše a způsob výpočtu záloh: 100 % předpokládané platby </w:t>
      </w:r>
    </w:p>
    <w:p w:rsidR="00825173" w:rsidRPr="0079523B" w:rsidRDefault="00825173" w:rsidP="00825173">
      <w:pPr>
        <w:tabs>
          <w:tab w:val="left" w:pos="2977"/>
        </w:tabs>
      </w:pPr>
      <w:r w:rsidRPr="0079523B">
        <w:rPr>
          <w:szCs w:val="24"/>
        </w:rPr>
        <w:t xml:space="preserve">Počet zálohových plateb v měsíci: </w:t>
      </w:r>
      <w:r>
        <w:rPr>
          <w:b/>
          <w:noProof/>
          <w:szCs w:val="24"/>
        </w:rPr>
        <w:t xml:space="preserve">     </w:t>
      </w:r>
    </w:p>
    <w:p w:rsidR="00825173" w:rsidRPr="0079523B" w:rsidRDefault="00825173" w:rsidP="00825173">
      <w:pPr>
        <w:pStyle w:val="textsmlouvy"/>
        <w:ind w:firstLine="0"/>
        <w:rPr>
          <w:rFonts w:ascii="Times New Roman" w:hAnsi="Times New Roman"/>
          <w:color w:val="auto"/>
          <w:kern w:val="0"/>
          <w:szCs w:val="24"/>
        </w:rPr>
      </w:pPr>
      <w:r w:rsidRPr="0079523B">
        <w:rPr>
          <w:rFonts w:ascii="Times New Roman" w:hAnsi="Times New Roman"/>
          <w:color w:val="auto"/>
          <w:kern w:val="0"/>
          <w:szCs w:val="24"/>
        </w:rPr>
        <w:t xml:space="preserve">Termíny splatnosti zálohových plateb: </w:t>
      </w:r>
      <w:r w:rsidRPr="00C4513A">
        <w:rPr>
          <w:rFonts w:ascii="Times New Roman" w:hAnsi="Times New Roman"/>
          <w:noProof/>
          <w:color w:val="auto"/>
          <w:kern w:val="0"/>
          <w:szCs w:val="24"/>
        </w:rPr>
        <w:t>15</w:t>
      </w:r>
      <w:r>
        <w:rPr>
          <w:rFonts w:ascii="Times New Roman" w:hAnsi="Times New Roman"/>
          <w:color w:val="auto"/>
          <w:kern w:val="0"/>
          <w:szCs w:val="24"/>
        </w:rPr>
        <w:t>.</w:t>
      </w:r>
      <w:r w:rsidRPr="0079523B">
        <w:rPr>
          <w:b/>
          <w:szCs w:val="24"/>
        </w:rPr>
        <w:t xml:space="preserve"> </w:t>
      </w:r>
      <w:r w:rsidRPr="0079523B">
        <w:rPr>
          <w:rFonts w:ascii="Times New Roman" w:hAnsi="Times New Roman"/>
          <w:color w:val="auto"/>
          <w:kern w:val="0"/>
          <w:szCs w:val="24"/>
        </w:rPr>
        <w:t xml:space="preserve">kalendářní den v měsíci </w:t>
      </w:r>
    </w:p>
    <w:p w:rsidR="00825173" w:rsidRPr="0079523B" w:rsidRDefault="00825173" w:rsidP="00825173">
      <w:pPr>
        <w:pStyle w:val="textsmlouvy"/>
        <w:ind w:firstLine="0"/>
        <w:rPr>
          <w:rFonts w:ascii="Times New Roman" w:hAnsi="Times New Roman"/>
          <w:color w:val="auto"/>
          <w:kern w:val="0"/>
          <w:szCs w:val="24"/>
        </w:rPr>
      </w:pPr>
      <w:r w:rsidRPr="0079523B">
        <w:rPr>
          <w:rFonts w:ascii="Times New Roman" w:hAnsi="Times New Roman"/>
          <w:color w:val="auto"/>
          <w:kern w:val="0"/>
          <w:szCs w:val="24"/>
        </w:rPr>
        <w:t>Rozložení měsíčních zálohových plateb:</w:t>
      </w:r>
    </w:p>
    <w:p w:rsidR="00825173" w:rsidRPr="0079523B" w:rsidRDefault="00825173" w:rsidP="00825173">
      <w:pPr>
        <w:pStyle w:val="textsmlouvy"/>
        <w:ind w:firstLine="0"/>
        <w:rPr>
          <w:rFonts w:ascii="Times New Roman" w:hAnsi="Times New Roman"/>
          <w:color w:val="auto"/>
          <w:kern w:val="0"/>
          <w:szCs w:val="24"/>
        </w:rPr>
      </w:pPr>
      <w:r w:rsidRPr="0079523B">
        <w:rPr>
          <w:rFonts w:ascii="Times New Roman" w:hAnsi="Times New Roman"/>
          <w:color w:val="auto"/>
          <w:kern w:val="0"/>
          <w:szCs w:val="24"/>
        </w:rPr>
        <w:t xml:space="preserve">1. zálohová platba </w:t>
      </w:r>
      <w:r w:rsidRPr="00C4513A">
        <w:rPr>
          <w:rFonts w:ascii="Times New Roman" w:hAnsi="Times New Roman"/>
          <w:noProof/>
          <w:color w:val="auto"/>
          <w:kern w:val="0"/>
          <w:szCs w:val="24"/>
        </w:rPr>
        <w:t>70</w:t>
      </w:r>
      <w:r w:rsidRPr="0079523B">
        <w:rPr>
          <w:rFonts w:ascii="Times New Roman" w:hAnsi="Times New Roman"/>
          <w:szCs w:val="24"/>
        </w:rPr>
        <w:t xml:space="preserve"> </w:t>
      </w:r>
      <w:r w:rsidRPr="0079523B">
        <w:rPr>
          <w:rFonts w:ascii="Times New Roman" w:hAnsi="Times New Roman"/>
          <w:color w:val="auto"/>
          <w:kern w:val="0"/>
          <w:szCs w:val="24"/>
        </w:rPr>
        <w:t>%</w:t>
      </w:r>
    </w:p>
    <w:p w:rsidR="00825173" w:rsidRPr="0079523B" w:rsidRDefault="00825173" w:rsidP="00825173">
      <w:pPr>
        <w:pStyle w:val="Zkladntext"/>
        <w:tabs>
          <w:tab w:val="left" w:pos="284"/>
        </w:tabs>
        <w:spacing w:line="280" w:lineRule="exact"/>
        <w:ind w:right="-144"/>
        <w:jc w:val="left"/>
        <w:rPr>
          <w:bCs/>
          <w:szCs w:val="18"/>
          <w:lang w:eastAsia="de-DE"/>
        </w:rPr>
      </w:pPr>
    </w:p>
    <w:p w:rsidR="00825173" w:rsidRPr="0079523B" w:rsidRDefault="00825173" w:rsidP="00825173">
      <w:pPr>
        <w:pStyle w:val="Nadpis1"/>
        <w:numPr>
          <w:ilvl w:val="0"/>
          <w:numId w:val="1"/>
        </w:numPr>
        <w:spacing w:before="0" w:after="0" w:line="240" w:lineRule="auto"/>
        <w:ind w:left="709" w:hanging="709"/>
        <w:rPr>
          <w:sz w:val="24"/>
          <w:szCs w:val="24"/>
        </w:rPr>
      </w:pPr>
      <w:r w:rsidRPr="0079523B">
        <w:rPr>
          <w:sz w:val="24"/>
          <w:szCs w:val="24"/>
        </w:rPr>
        <w:lastRenderedPageBreak/>
        <w:t>Předmět Smlouvy</w:t>
      </w:r>
    </w:p>
    <w:p w:rsidR="00825173" w:rsidRPr="0079523B" w:rsidRDefault="00825173" w:rsidP="00825173">
      <w:pPr>
        <w:pStyle w:val="11"/>
      </w:pPr>
      <w:r w:rsidRPr="0079523B">
        <w:t>Závazek Dodavatele dodávat Zákazníkovi plyn ve sjednaném množství a časovém průběhu a zajistit na vlastní jméno a na vlastní účet související služby v plynárenství (dále jen „související služby“) do odběrného místa uvedeného ve Smlouvě.</w:t>
      </w:r>
    </w:p>
    <w:p w:rsidR="00825173" w:rsidRPr="0079523B" w:rsidRDefault="00825173" w:rsidP="00825173">
      <w:pPr>
        <w:pStyle w:val="11"/>
        <w:rPr>
          <w:rFonts w:ascii="Times" w:hAnsi="Times"/>
          <w:szCs w:val="15"/>
        </w:rPr>
      </w:pPr>
      <w:r w:rsidRPr="0079523B">
        <w:t xml:space="preserve">Závazek Zákazníka platit Dodavateli po celou dobu trvání této Smlouvy za dodávku plynu a související služby v plynárenství (dále jen „sdružené služby dodávky plynu“) dle této Smlouvy a závazek Zákazníka nesjednávat na dobu plnění této Smlouvy dodávku plynu do odběrného místa uvedeného ve Smlouvě s jiným dodavatelem plynu. </w:t>
      </w:r>
    </w:p>
    <w:p w:rsidR="00825173" w:rsidRPr="0079523B" w:rsidRDefault="00825173" w:rsidP="00825173">
      <w:pPr>
        <w:tabs>
          <w:tab w:val="left" w:pos="0"/>
          <w:tab w:val="left" w:pos="851"/>
        </w:tabs>
        <w:spacing w:line="240" w:lineRule="auto"/>
        <w:ind w:left="567" w:hanging="567"/>
      </w:pPr>
    </w:p>
    <w:p w:rsidR="00825173" w:rsidRPr="0079523B" w:rsidRDefault="00825173" w:rsidP="00825173">
      <w:pPr>
        <w:pStyle w:val="Nadpis1"/>
        <w:numPr>
          <w:ilvl w:val="0"/>
          <w:numId w:val="1"/>
        </w:numPr>
        <w:spacing w:before="0" w:after="0" w:line="240" w:lineRule="auto"/>
        <w:ind w:left="709" w:hanging="709"/>
        <w:rPr>
          <w:sz w:val="24"/>
          <w:szCs w:val="24"/>
        </w:rPr>
      </w:pPr>
      <w:r w:rsidRPr="0079523B">
        <w:rPr>
          <w:sz w:val="24"/>
          <w:szCs w:val="24"/>
        </w:rPr>
        <w:t>Odběrné místo, měření</w:t>
      </w:r>
    </w:p>
    <w:p w:rsidR="00825173" w:rsidRPr="0079523B" w:rsidRDefault="00825173" w:rsidP="00825173">
      <w:pPr>
        <w:spacing w:line="240" w:lineRule="auto"/>
        <w:ind w:left="709"/>
        <w:rPr>
          <w:bCs/>
        </w:rPr>
      </w:pPr>
      <w:r w:rsidRPr="0079523B">
        <w:t>Adresa odběrného místa:</w:t>
      </w:r>
      <w:r w:rsidRPr="0079523B">
        <w:rPr>
          <w:bCs/>
        </w:rPr>
        <w:t xml:space="preserve"> </w:t>
      </w:r>
      <w:r w:rsidRPr="00C34912">
        <w:rPr>
          <w:noProof/>
          <w:color w:val="000000"/>
        </w:rPr>
        <w:t>Hraničářů</w:t>
      </w:r>
      <w:r w:rsidRPr="0079523B">
        <w:rPr>
          <w:color w:val="000000"/>
        </w:rPr>
        <w:t xml:space="preserve"> </w:t>
      </w:r>
      <w:r w:rsidRPr="00C34912">
        <w:rPr>
          <w:noProof/>
          <w:color w:val="000000"/>
        </w:rPr>
        <w:t>617</w:t>
      </w:r>
      <w:r w:rsidRPr="0079523B">
        <w:rPr>
          <w:color w:val="000000"/>
        </w:rPr>
        <w:t xml:space="preserve">, </w:t>
      </w:r>
      <w:r w:rsidRPr="00C34912">
        <w:rPr>
          <w:noProof/>
          <w:color w:val="000000"/>
        </w:rPr>
        <w:t>Mikulov</w:t>
      </w:r>
      <w:r w:rsidRPr="0079523B">
        <w:rPr>
          <w:color w:val="000000"/>
        </w:rPr>
        <w:t xml:space="preserve">, </w:t>
      </w:r>
      <w:r w:rsidRPr="00C34912">
        <w:rPr>
          <w:noProof/>
          <w:color w:val="000000"/>
        </w:rPr>
        <w:t>692 01</w:t>
      </w:r>
    </w:p>
    <w:p w:rsidR="00825173" w:rsidRPr="0079523B" w:rsidRDefault="00825173" w:rsidP="00825173">
      <w:pPr>
        <w:spacing w:line="240" w:lineRule="auto"/>
        <w:ind w:left="709"/>
      </w:pPr>
      <w:r w:rsidRPr="0079523B">
        <w:t xml:space="preserve">EIC kód: </w:t>
      </w:r>
      <w:r w:rsidRPr="00C34912">
        <w:rPr>
          <w:noProof/>
          <w:color w:val="000000"/>
        </w:rPr>
        <w:t>27ZG600Z0001490P</w:t>
      </w:r>
    </w:p>
    <w:p w:rsidR="00825173" w:rsidRPr="0079523B" w:rsidRDefault="00825173" w:rsidP="00825173">
      <w:pPr>
        <w:pStyle w:val="31"/>
        <w:ind w:left="709"/>
        <w:rPr>
          <w:b w:val="0"/>
        </w:rPr>
      </w:pPr>
      <w:r w:rsidRPr="0079523B">
        <w:rPr>
          <w:b w:val="0"/>
          <w:szCs w:val="18"/>
          <w:lang w:eastAsia="de-DE"/>
        </w:rPr>
        <w:t>T</w:t>
      </w:r>
      <w:r>
        <w:rPr>
          <w:b w:val="0"/>
          <w:szCs w:val="18"/>
          <w:lang w:eastAsia="de-DE"/>
        </w:rPr>
        <w:t>yp měření</w:t>
      </w:r>
      <w:r w:rsidRPr="0079523B">
        <w:rPr>
          <w:b w:val="0"/>
          <w:szCs w:val="18"/>
          <w:lang w:eastAsia="de-DE"/>
        </w:rPr>
        <w:t xml:space="preserve"> </w:t>
      </w:r>
      <w:r w:rsidRPr="00C4513A">
        <w:rPr>
          <w:b w:val="0"/>
          <w:noProof/>
        </w:rPr>
        <w:t>C(=stavové)</w:t>
      </w:r>
    </w:p>
    <w:p w:rsidR="00825173" w:rsidRPr="0079523B" w:rsidRDefault="00825173" w:rsidP="00825173">
      <w:pPr>
        <w:pStyle w:val="31"/>
        <w:ind w:left="709"/>
        <w:rPr>
          <w:b w:val="0"/>
        </w:rPr>
      </w:pPr>
      <w:r w:rsidRPr="0079523B">
        <w:rPr>
          <w:b w:val="0"/>
          <w:szCs w:val="18"/>
          <w:lang w:eastAsia="de-DE"/>
        </w:rPr>
        <w:t xml:space="preserve">Způsob napojení: </w:t>
      </w:r>
      <w:r w:rsidRPr="00C4513A">
        <w:rPr>
          <w:b w:val="0"/>
          <w:noProof/>
        </w:rPr>
        <w:t>2=Místnísíť</w:t>
      </w:r>
      <w:r w:rsidRPr="0079523B">
        <w:cr/>
      </w:r>
    </w:p>
    <w:p w:rsidR="00825173" w:rsidRPr="00A47675" w:rsidRDefault="00825173" w:rsidP="00825173">
      <w:pPr>
        <w:pStyle w:val="Nadpis1"/>
        <w:numPr>
          <w:ilvl w:val="0"/>
          <w:numId w:val="1"/>
        </w:numPr>
        <w:spacing w:before="0" w:after="0" w:line="240" w:lineRule="auto"/>
        <w:ind w:left="709" w:hanging="709"/>
        <w:rPr>
          <w:sz w:val="24"/>
          <w:szCs w:val="24"/>
        </w:rPr>
      </w:pPr>
      <w:r w:rsidRPr="0079523B">
        <w:rPr>
          <w:sz w:val="24"/>
          <w:szCs w:val="24"/>
        </w:rPr>
        <w:t>Produkt, cena, vyhodnocení dodávky plynu</w:t>
      </w:r>
    </w:p>
    <w:p w:rsidR="00825173" w:rsidRPr="0079523B" w:rsidRDefault="00825173" w:rsidP="00825173">
      <w:pPr>
        <w:pStyle w:val="31"/>
        <w:numPr>
          <w:ilvl w:val="1"/>
          <w:numId w:val="4"/>
        </w:numPr>
      </w:pPr>
      <w:r w:rsidRPr="0079523B">
        <w:t xml:space="preserve">Produkt na dodávku plynu: </w:t>
      </w:r>
      <w:proofErr w:type="spellStart"/>
      <w:r w:rsidRPr="0079523B">
        <w:t>SimpleGas</w:t>
      </w:r>
      <w:r>
        <w:t>Diagram</w:t>
      </w:r>
      <w:proofErr w:type="spellEnd"/>
    </w:p>
    <w:p w:rsidR="00825173" w:rsidRPr="0079523B" w:rsidRDefault="00825173" w:rsidP="00825173">
      <w:pPr>
        <w:pStyle w:val="Odstavecseseznamem"/>
        <w:ind w:left="705"/>
        <w:rPr>
          <w:b/>
        </w:rPr>
      </w:pPr>
    </w:p>
    <w:p w:rsidR="00825173" w:rsidRPr="0079523B" w:rsidRDefault="00825173" w:rsidP="00825173">
      <w:pPr>
        <w:pStyle w:val="Odstavecseseznamem"/>
        <w:numPr>
          <w:ilvl w:val="1"/>
          <w:numId w:val="4"/>
        </w:numPr>
        <w:tabs>
          <w:tab w:val="clear" w:pos="705"/>
        </w:tabs>
        <w:ind w:left="709" w:hanging="709"/>
        <w:rPr>
          <w:b/>
        </w:rPr>
      </w:pPr>
      <w:r w:rsidRPr="0079523B">
        <w:rPr>
          <w:b/>
        </w:rPr>
        <w:t>Sjednané množství dodávky plynu</w:t>
      </w:r>
    </w:p>
    <w:p w:rsidR="00825173" w:rsidRPr="0079523B" w:rsidRDefault="00825173" w:rsidP="00825173">
      <w:pPr>
        <w:numPr>
          <w:ilvl w:val="2"/>
          <w:numId w:val="4"/>
        </w:numPr>
        <w:spacing w:line="240" w:lineRule="auto"/>
        <w:ind w:left="705" w:hanging="709"/>
      </w:pPr>
      <w:r w:rsidRPr="0079523B">
        <w:rPr>
          <w:bCs/>
        </w:rPr>
        <w:t>Dodavatel se Zákazníkem sjednávají závazné množství od</w:t>
      </w:r>
      <w:r>
        <w:rPr>
          <w:bCs/>
        </w:rPr>
        <w:t xml:space="preserve">běru plynu na období od </w:t>
      </w:r>
      <w:proofErr w:type="gramStart"/>
      <w:r>
        <w:rPr>
          <w:bCs/>
        </w:rPr>
        <w:t>1.1.2017</w:t>
      </w:r>
      <w:proofErr w:type="gramEnd"/>
      <w:r w:rsidRPr="0079523B">
        <w:rPr>
          <w:bCs/>
        </w:rPr>
        <w:t xml:space="preserve"> do 31.12.201</w:t>
      </w:r>
      <w:r>
        <w:rPr>
          <w:bCs/>
        </w:rPr>
        <w:t>7</w:t>
      </w:r>
      <w:r w:rsidRPr="0079523B">
        <w:rPr>
          <w:bCs/>
        </w:rPr>
        <w:t>:</w:t>
      </w:r>
    </w:p>
    <w:p w:rsidR="00825173" w:rsidRPr="0079523B" w:rsidRDefault="00825173" w:rsidP="00825173">
      <w:pPr>
        <w:spacing w:line="240" w:lineRule="auto"/>
        <w:ind w:left="709"/>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260"/>
      </w:tblGrid>
      <w:tr w:rsidR="00825173" w:rsidRPr="0079523B" w:rsidTr="00803090">
        <w:trPr>
          <w:trHeight w:hRule="exact" w:val="397"/>
        </w:trPr>
        <w:tc>
          <w:tcPr>
            <w:tcW w:w="5245" w:type="dxa"/>
            <w:shd w:val="clear" w:color="auto" w:fill="auto"/>
          </w:tcPr>
          <w:p w:rsidR="00825173" w:rsidRPr="0079523B" w:rsidRDefault="00825173" w:rsidP="00803090">
            <w:pPr>
              <w:rPr>
                <w:rFonts w:eastAsia="Calibri"/>
                <w:szCs w:val="24"/>
              </w:rPr>
            </w:pPr>
            <w:r w:rsidRPr="0079523B">
              <w:rPr>
                <w:rFonts w:eastAsia="Calibri"/>
                <w:szCs w:val="24"/>
              </w:rPr>
              <w:t xml:space="preserve">Roční množství plynu </w:t>
            </w:r>
            <w:r>
              <w:rPr>
                <w:rFonts w:eastAsia="Calibri"/>
                <w:szCs w:val="24"/>
              </w:rPr>
              <w:t xml:space="preserve">na 2017 </w:t>
            </w:r>
            <w:r w:rsidRPr="0079523B">
              <w:rPr>
                <w:rFonts w:eastAsia="Calibri"/>
                <w:szCs w:val="24"/>
              </w:rPr>
              <w:t>[</w:t>
            </w:r>
            <w:proofErr w:type="spellStart"/>
            <w:r w:rsidRPr="0079523B">
              <w:rPr>
                <w:rFonts w:eastAsia="Calibri"/>
                <w:szCs w:val="24"/>
              </w:rPr>
              <w:t>MWh</w:t>
            </w:r>
            <w:proofErr w:type="spellEnd"/>
            <w:r w:rsidRPr="0079523B">
              <w:rPr>
                <w:rFonts w:eastAsia="Calibri"/>
                <w:szCs w:val="24"/>
              </w:rPr>
              <w:t>/rok]</w:t>
            </w:r>
          </w:p>
          <w:p w:rsidR="00825173" w:rsidRPr="0079523B" w:rsidRDefault="00825173" w:rsidP="00803090">
            <w:pPr>
              <w:rPr>
                <w:rFonts w:eastAsia="Calibri"/>
                <w:szCs w:val="24"/>
              </w:rPr>
            </w:pPr>
          </w:p>
        </w:tc>
        <w:tc>
          <w:tcPr>
            <w:tcW w:w="3260" w:type="dxa"/>
            <w:shd w:val="clear" w:color="auto" w:fill="auto"/>
          </w:tcPr>
          <w:p w:rsidR="00825173" w:rsidRPr="0079523B" w:rsidRDefault="00825173" w:rsidP="00803090">
            <w:pPr>
              <w:rPr>
                <w:rFonts w:eastAsia="Calibri"/>
                <w:szCs w:val="24"/>
              </w:rPr>
            </w:pPr>
            <w:r w:rsidRPr="00825173">
              <w:rPr>
                <w:rFonts w:eastAsia="Calibri"/>
                <w:szCs w:val="24"/>
              </w:rPr>
              <w:t>895,000</w:t>
            </w:r>
          </w:p>
        </w:tc>
      </w:tr>
    </w:tbl>
    <w:p w:rsidR="00825173" w:rsidRPr="0079523B" w:rsidRDefault="00825173" w:rsidP="00825173">
      <w:pPr>
        <w:spacing w:line="240" w:lineRule="auto"/>
      </w:pPr>
    </w:p>
    <w:tbl>
      <w:tblPr>
        <w:tblW w:w="8505" w:type="dxa"/>
        <w:tblInd w:w="779" w:type="dxa"/>
        <w:tblBorders>
          <w:top w:val="single" w:sz="4" w:space="0" w:color="auto"/>
          <w:left w:val="single" w:sz="4" w:space="0" w:color="000000"/>
          <w:bottom w:val="single" w:sz="4" w:space="0" w:color="auto"/>
          <w:right w:val="single" w:sz="4" w:space="0" w:color="000000"/>
          <w:insideH w:val="single" w:sz="4" w:space="0" w:color="auto"/>
          <w:insideV w:val="single" w:sz="4" w:space="0" w:color="000000"/>
        </w:tblBorders>
        <w:tblCellMar>
          <w:left w:w="70" w:type="dxa"/>
          <w:right w:w="70" w:type="dxa"/>
        </w:tblCellMar>
        <w:tblLook w:val="04A0" w:firstRow="1" w:lastRow="0" w:firstColumn="1" w:lastColumn="0" w:noHBand="0" w:noVBand="1"/>
      </w:tblPr>
      <w:tblGrid>
        <w:gridCol w:w="1820"/>
        <w:gridCol w:w="2007"/>
        <w:gridCol w:w="2733"/>
        <w:gridCol w:w="1945"/>
      </w:tblGrid>
      <w:tr w:rsidR="00825173" w:rsidRPr="0079523B" w:rsidTr="00803090">
        <w:trPr>
          <w:trHeight w:val="499"/>
        </w:trPr>
        <w:tc>
          <w:tcPr>
            <w:tcW w:w="8505" w:type="dxa"/>
            <w:gridSpan w:val="4"/>
            <w:shd w:val="clear" w:color="000000" w:fill="C0C0C0"/>
            <w:vAlign w:val="center"/>
            <w:hideMark/>
          </w:tcPr>
          <w:p w:rsidR="00825173" w:rsidRPr="0079523B" w:rsidRDefault="00825173" w:rsidP="00803090">
            <w:pPr>
              <w:jc w:val="center"/>
              <w:rPr>
                <w:bCs/>
                <w:szCs w:val="24"/>
              </w:rPr>
            </w:pPr>
            <w:r w:rsidRPr="0079523B">
              <w:rPr>
                <w:bCs/>
                <w:szCs w:val="24"/>
              </w:rPr>
              <w:t xml:space="preserve">Hodnoty sjednané spotřeby jednotlivých měsíců (v </w:t>
            </w:r>
            <w:proofErr w:type="spellStart"/>
            <w:r w:rsidRPr="0079523B">
              <w:rPr>
                <w:bCs/>
                <w:szCs w:val="24"/>
              </w:rPr>
              <w:t>MWh</w:t>
            </w:r>
            <w:proofErr w:type="spellEnd"/>
            <w:r w:rsidRPr="0079523B">
              <w:rPr>
                <w:bCs/>
                <w:szCs w:val="24"/>
              </w:rPr>
              <w:t>) na rok 201</w:t>
            </w:r>
            <w:r>
              <w:rPr>
                <w:bCs/>
                <w:szCs w:val="24"/>
              </w:rPr>
              <w:t>7</w:t>
            </w:r>
          </w:p>
        </w:tc>
      </w:tr>
      <w:tr w:rsidR="00825173" w:rsidRPr="0079523B" w:rsidTr="00803090">
        <w:trPr>
          <w:trHeight w:val="499"/>
        </w:trPr>
        <w:tc>
          <w:tcPr>
            <w:tcW w:w="1820" w:type="dxa"/>
            <w:shd w:val="clear" w:color="000000" w:fill="C0C0C0"/>
            <w:vAlign w:val="center"/>
            <w:hideMark/>
          </w:tcPr>
          <w:p w:rsidR="00825173" w:rsidRPr="0079523B" w:rsidRDefault="00825173" w:rsidP="00803090">
            <w:pPr>
              <w:jc w:val="center"/>
              <w:rPr>
                <w:szCs w:val="24"/>
              </w:rPr>
            </w:pPr>
            <w:r w:rsidRPr="0079523B">
              <w:rPr>
                <w:szCs w:val="24"/>
              </w:rPr>
              <w:t>Měsíc</w:t>
            </w:r>
          </w:p>
        </w:tc>
        <w:tc>
          <w:tcPr>
            <w:tcW w:w="2007" w:type="dxa"/>
            <w:shd w:val="clear" w:color="000000" w:fill="C0C0C0"/>
            <w:vAlign w:val="center"/>
            <w:hideMark/>
          </w:tcPr>
          <w:p w:rsidR="00825173" w:rsidRPr="0079523B" w:rsidRDefault="00825173" w:rsidP="00803090">
            <w:pPr>
              <w:rPr>
                <w:szCs w:val="24"/>
              </w:rPr>
            </w:pPr>
            <w:r w:rsidRPr="0079523B">
              <w:rPr>
                <w:szCs w:val="24"/>
              </w:rPr>
              <w:t>Odběr plynu [</w:t>
            </w:r>
            <w:proofErr w:type="spellStart"/>
            <w:r w:rsidRPr="0079523B">
              <w:rPr>
                <w:szCs w:val="24"/>
              </w:rPr>
              <w:t>MWh</w:t>
            </w:r>
            <w:proofErr w:type="spellEnd"/>
            <w:r w:rsidRPr="0079523B">
              <w:rPr>
                <w:szCs w:val="24"/>
              </w:rPr>
              <w:t>]</w:t>
            </w:r>
          </w:p>
        </w:tc>
        <w:tc>
          <w:tcPr>
            <w:tcW w:w="2733" w:type="dxa"/>
            <w:shd w:val="clear" w:color="000000" w:fill="C0C0C0"/>
            <w:vAlign w:val="center"/>
            <w:hideMark/>
          </w:tcPr>
          <w:p w:rsidR="00825173" w:rsidRPr="0079523B" w:rsidRDefault="00825173" w:rsidP="00803090">
            <w:pPr>
              <w:jc w:val="center"/>
              <w:rPr>
                <w:szCs w:val="24"/>
              </w:rPr>
            </w:pPr>
            <w:r w:rsidRPr="0079523B">
              <w:rPr>
                <w:szCs w:val="24"/>
              </w:rPr>
              <w:t>Měsíc</w:t>
            </w:r>
          </w:p>
        </w:tc>
        <w:tc>
          <w:tcPr>
            <w:tcW w:w="1945" w:type="dxa"/>
            <w:shd w:val="clear" w:color="000000" w:fill="C0C0C0"/>
            <w:vAlign w:val="center"/>
            <w:hideMark/>
          </w:tcPr>
          <w:p w:rsidR="00825173" w:rsidRPr="0079523B" w:rsidRDefault="00825173" w:rsidP="00803090">
            <w:pPr>
              <w:jc w:val="center"/>
              <w:rPr>
                <w:szCs w:val="24"/>
              </w:rPr>
            </w:pPr>
            <w:r>
              <w:rPr>
                <w:szCs w:val="24"/>
              </w:rPr>
              <w:t xml:space="preserve">Odběr </w:t>
            </w:r>
            <w:r w:rsidRPr="0079523B">
              <w:rPr>
                <w:szCs w:val="24"/>
              </w:rPr>
              <w:t>plynu [</w:t>
            </w:r>
            <w:proofErr w:type="spellStart"/>
            <w:r w:rsidRPr="0079523B">
              <w:rPr>
                <w:szCs w:val="24"/>
              </w:rPr>
              <w:t>MWh</w:t>
            </w:r>
            <w:proofErr w:type="spellEnd"/>
            <w:r w:rsidRPr="0079523B">
              <w:rPr>
                <w:szCs w:val="24"/>
              </w:rPr>
              <w:t>]</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Leden</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156,000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Červenec</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5,000</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Únor</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206,000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Srpen</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5,000</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Březen</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93,000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Září</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5,000</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Duben</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64,000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Říjen</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57,000</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Květen</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5,000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Listopad</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150,000</w:t>
            </w:r>
          </w:p>
        </w:tc>
      </w:tr>
      <w:tr w:rsidR="00825173" w:rsidRPr="0079523B" w:rsidTr="008F251D">
        <w:trPr>
          <w:trHeight w:val="255"/>
        </w:trPr>
        <w:tc>
          <w:tcPr>
            <w:tcW w:w="1820" w:type="dxa"/>
            <w:shd w:val="clear" w:color="auto" w:fill="auto"/>
            <w:noWrap/>
            <w:vAlign w:val="center"/>
            <w:hideMark/>
          </w:tcPr>
          <w:p w:rsidR="00825173" w:rsidRPr="0079523B" w:rsidRDefault="00825173" w:rsidP="00803090">
            <w:pPr>
              <w:jc w:val="center"/>
              <w:rPr>
                <w:szCs w:val="24"/>
              </w:rPr>
            </w:pPr>
            <w:r w:rsidRPr="0079523B">
              <w:rPr>
                <w:szCs w:val="24"/>
              </w:rPr>
              <w:t>Červen</w:t>
            </w:r>
          </w:p>
        </w:tc>
        <w:tc>
          <w:tcPr>
            <w:tcW w:w="2007" w:type="dxa"/>
            <w:shd w:val="clear" w:color="auto" w:fill="auto"/>
            <w:noWrap/>
            <w:vAlign w:val="bottom"/>
            <w:hideMark/>
          </w:tcPr>
          <w:p w:rsidR="00825173" w:rsidRPr="00825173" w:rsidRDefault="00825173" w:rsidP="00825173">
            <w:pPr>
              <w:jc w:val="center"/>
              <w:rPr>
                <w:szCs w:val="24"/>
              </w:rPr>
            </w:pPr>
            <w:r w:rsidRPr="00825173">
              <w:rPr>
                <w:szCs w:val="24"/>
              </w:rPr>
              <w:t>3,000</w:t>
            </w:r>
          </w:p>
        </w:tc>
        <w:tc>
          <w:tcPr>
            <w:tcW w:w="2733" w:type="dxa"/>
            <w:shd w:val="clear" w:color="auto" w:fill="auto"/>
            <w:noWrap/>
            <w:vAlign w:val="center"/>
            <w:hideMark/>
          </w:tcPr>
          <w:p w:rsidR="00825173" w:rsidRPr="0079523B" w:rsidRDefault="00825173" w:rsidP="00825173">
            <w:pPr>
              <w:jc w:val="center"/>
              <w:rPr>
                <w:szCs w:val="24"/>
              </w:rPr>
            </w:pPr>
            <w:r w:rsidRPr="0079523B">
              <w:rPr>
                <w:szCs w:val="24"/>
              </w:rPr>
              <w:t>Prosinec</w:t>
            </w:r>
          </w:p>
        </w:tc>
        <w:tc>
          <w:tcPr>
            <w:tcW w:w="1945" w:type="dxa"/>
            <w:shd w:val="clear" w:color="auto" w:fill="auto"/>
            <w:noWrap/>
            <w:vAlign w:val="bottom"/>
            <w:hideMark/>
          </w:tcPr>
          <w:p w:rsidR="00825173" w:rsidRPr="00825173" w:rsidRDefault="00825173" w:rsidP="00825173">
            <w:pPr>
              <w:jc w:val="center"/>
              <w:rPr>
                <w:szCs w:val="24"/>
              </w:rPr>
            </w:pPr>
            <w:r w:rsidRPr="00825173">
              <w:rPr>
                <w:szCs w:val="24"/>
              </w:rPr>
              <w:t>146,000</w:t>
            </w:r>
          </w:p>
        </w:tc>
      </w:tr>
    </w:tbl>
    <w:p w:rsidR="00825173" w:rsidRPr="0079523B" w:rsidRDefault="00825173" w:rsidP="00825173">
      <w:pPr>
        <w:pStyle w:val="Odstavecseseznamem"/>
        <w:ind w:left="705"/>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260"/>
      </w:tblGrid>
      <w:tr w:rsidR="00825173" w:rsidRPr="0079523B" w:rsidTr="00803090">
        <w:trPr>
          <w:trHeight w:val="397"/>
        </w:trPr>
        <w:tc>
          <w:tcPr>
            <w:tcW w:w="5245" w:type="dxa"/>
            <w:shd w:val="clear" w:color="auto" w:fill="auto"/>
          </w:tcPr>
          <w:p w:rsidR="00825173" w:rsidRPr="0079523B" w:rsidRDefault="00825173" w:rsidP="00803090">
            <w:pPr>
              <w:rPr>
                <w:rFonts w:eastAsia="Calibri"/>
                <w:szCs w:val="24"/>
              </w:rPr>
            </w:pPr>
            <w:r w:rsidRPr="0079523B">
              <w:rPr>
                <w:rFonts w:eastAsia="Calibri"/>
                <w:szCs w:val="24"/>
              </w:rPr>
              <w:t>Odběrová tolerance“</w:t>
            </w:r>
          </w:p>
        </w:tc>
        <w:tc>
          <w:tcPr>
            <w:tcW w:w="3260" w:type="dxa"/>
            <w:shd w:val="clear" w:color="auto" w:fill="auto"/>
          </w:tcPr>
          <w:p w:rsidR="00825173" w:rsidRPr="0079523B" w:rsidRDefault="00825173" w:rsidP="00803090">
            <w:pPr>
              <w:rPr>
                <w:rFonts w:eastAsia="Calibri"/>
                <w:szCs w:val="24"/>
              </w:rPr>
            </w:pPr>
            <w:r>
              <w:rPr>
                <w:rFonts w:eastAsia="Calibri"/>
                <w:szCs w:val="24"/>
              </w:rPr>
              <w:t>15%</w:t>
            </w:r>
          </w:p>
        </w:tc>
      </w:tr>
    </w:tbl>
    <w:p w:rsidR="00825173" w:rsidRPr="0079523B" w:rsidRDefault="00825173" w:rsidP="00825173">
      <w:pPr>
        <w:pStyle w:val="Odstavecseseznamem"/>
        <w:ind w:left="705"/>
      </w:pPr>
    </w:p>
    <w:p w:rsidR="00825173" w:rsidRPr="0079523B" w:rsidRDefault="00825173" w:rsidP="00825173">
      <w:pPr>
        <w:spacing w:line="240" w:lineRule="auto"/>
        <w:ind w:left="709"/>
      </w:pPr>
      <w:r w:rsidRPr="0079523B">
        <w:rPr>
          <w:bCs/>
        </w:rPr>
        <w:t xml:space="preserve">Množství je závazným podkladem pro </w:t>
      </w:r>
      <w:r>
        <w:rPr>
          <w:bCs/>
        </w:rPr>
        <w:t>nákup</w:t>
      </w:r>
      <w:r w:rsidRPr="0079523B">
        <w:rPr>
          <w:bCs/>
        </w:rPr>
        <w:t xml:space="preserve"> plynu. Sjednané množství plynu zakládá odběrový závazek Zákazníka. K takto stanovenému odběrovému závazku se vztahuje sjednaná odběrová tolerance a výpočet Objemové ceny za nedodržení odběrového závazku v souladu s čl. 3 odst. 3.4.2</w:t>
      </w:r>
      <w:r>
        <w:rPr>
          <w:bCs/>
        </w:rPr>
        <w:t>.</w:t>
      </w:r>
    </w:p>
    <w:p w:rsidR="00825173" w:rsidRPr="0079523B" w:rsidRDefault="00825173" w:rsidP="00825173">
      <w:pPr>
        <w:numPr>
          <w:ilvl w:val="2"/>
          <w:numId w:val="4"/>
        </w:numPr>
        <w:tabs>
          <w:tab w:val="clear" w:pos="1004"/>
        </w:tabs>
        <w:spacing w:line="240" w:lineRule="auto"/>
        <w:ind w:left="709" w:hanging="709"/>
      </w:pPr>
      <w:r w:rsidRPr="0079523B">
        <w:lastRenderedPageBreak/>
        <w:t xml:space="preserve">Dodavatel a Zákazník dále sjednávají </w:t>
      </w:r>
      <w:r w:rsidRPr="00A34034">
        <w:rPr>
          <w:bCs/>
        </w:rPr>
        <w:t xml:space="preserve">pro odběrná místa s typem měření CM </w:t>
      </w:r>
      <w:r w:rsidRPr="0079523B">
        <w:t xml:space="preserve">Denní množství </w:t>
      </w:r>
      <w:r w:rsidRPr="00A34034">
        <w:rPr>
          <w:szCs w:val="24"/>
        </w:rPr>
        <w:t>ve výši celkové spotřeby při souběžném provozu, která je uvedena ve Smlouvě o připojení. Tato hodnota celkové spotřeby při souběžném provozu zároveň bude Dodavatelem použita indikativně pro stanovení kapacitních potřeb pro Zákazníka u jednotlivých provozovatelů příslušných plynárenských zařízení. Prohlášení o výši hodnoty celkové spotřeby při souběžném provozu uvádí Zákazník v čl. VI. této Smlouvy.</w:t>
      </w:r>
    </w:p>
    <w:p w:rsidR="00825173" w:rsidRPr="0079523B" w:rsidRDefault="00825173" w:rsidP="00825173">
      <w:pPr>
        <w:spacing w:line="240" w:lineRule="auto"/>
        <w:ind w:left="720"/>
      </w:pPr>
    </w:p>
    <w:p w:rsidR="00825173" w:rsidRPr="0079523B" w:rsidRDefault="00825173" w:rsidP="00825173">
      <w:pPr>
        <w:pStyle w:val="Odstavecseseznamem"/>
        <w:numPr>
          <w:ilvl w:val="1"/>
          <w:numId w:val="4"/>
        </w:numPr>
        <w:tabs>
          <w:tab w:val="clear" w:pos="705"/>
        </w:tabs>
        <w:ind w:left="709" w:hanging="709"/>
        <w:rPr>
          <w:b/>
        </w:rPr>
      </w:pPr>
      <w:r>
        <w:rPr>
          <w:b/>
        </w:rPr>
        <w:t xml:space="preserve">Cena na období od </w:t>
      </w:r>
      <w:proofErr w:type="gramStart"/>
      <w:r>
        <w:rPr>
          <w:b/>
        </w:rPr>
        <w:t>1.1.2017</w:t>
      </w:r>
      <w:proofErr w:type="gramEnd"/>
      <w:r w:rsidRPr="0079523B">
        <w:rPr>
          <w:b/>
        </w:rPr>
        <w:t xml:space="preserve"> do 31.12.201</w:t>
      </w:r>
      <w:r>
        <w:rPr>
          <w:b/>
        </w:rPr>
        <w:t>7</w:t>
      </w:r>
    </w:p>
    <w:p w:rsidR="00825173" w:rsidRPr="0079523B" w:rsidRDefault="00825173" w:rsidP="00825173">
      <w:pPr>
        <w:numPr>
          <w:ilvl w:val="2"/>
          <w:numId w:val="4"/>
        </w:numPr>
        <w:spacing w:line="240" w:lineRule="auto"/>
        <w:ind w:left="709" w:hanging="709"/>
      </w:pPr>
      <w:r w:rsidRPr="0079523B">
        <w:t>Dodavatel a Zákazník sjednávají individuální cenu za dodá</w:t>
      </w:r>
      <w:r>
        <w:t xml:space="preserve">vku plynu na období od </w:t>
      </w:r>
      <w:proofErr w:type="gramStart"/>
      <w:r>
        <w:t>1.1.2017</w:t>
      </w:r>
      <w:proofErr w:type="gramEnd"/>
      <w:r>
        <w:t xml:space="preserve"> do 31.12.2017</w:t>
      </w:r>
      <w:r w:rsidRPr="0079523B">
        <w:t xml:space="preserve">, která činí </w:t>
      </w:r>
      <w:r>
        <w:t>525</w:t>
      </w:r>
      <w:r w:rsidRPr="0079523B">
        <w:t xml:space="preserve"> </w:t>
      </w:r>
      <w:r>
        <w:rPr>
          <w:b/>
        </w:rPr>
        <w:t>CZK</w:t>
      </w:r>
      <w:r w:rsidRPr="0079523B">
        <w:rPr>
          <w:b/>
        </w:rPr>
        <w:t xml:space="preserve"> / </w:t>
      </w:r>
      <w:proofErr w:type="spellStart"/>
      <w:r w:rsidRPr="0079523B">
        <w:rPr>
          <w:b/>
        </w:rPr>
        <w:t>MWh</w:t>
      </w:r>
      <w:proofErr w:type="spellEnd"/>
      <w:r w:rsidRPr="0079523B">
        <w:t xml:space="preserve"> bez daně plynu a bez DPH za skutečně odebraný plyn.</w:t>
      </w:r>
    </w:p>
    <w:p w:rsidR="00825173" w:rsidRPr="0079523B" w:rsidRDefault="00825173" w:rsidP="00825173">
      <w:pPr>
        <w:spacing w:line="240" w:lineRule="auto"/>
        <w:ind w:left="567"/>
      </w:pPr>
    </w:p>
    <w:p w:rsidR="00825173" w:rsidRPr="0079523B" w:rsidRDefault="00825173" w:rsidP="00825173">
      <w:pPr>
        <w:pStyle w:val="Odstavecseseznamem"/>
        <w:numPr>
          <w:ilvl w:val="1"/>
          <w:numId w:val="4"/>
        </w:numPr>
        <w:tabs>
          <w:tab w:val="clear" w:pos="705"/>
        </w:tabs>
        <w:ind w:left="709" w:hanging="709"/>
        <w:rPr>
          <w:b/>
        </w:rPr>
      </w:pPr>
      <w:r w:rsidRPr="0079523B">
        <w:rPr>
          <w:b/>
        </w:rPr>
        <w:t>Vyhodnocení dodávky plynu</w:t>
      </w:r>
    </w:p>
    <w:p w:rsidR="00825173" w:rsidRPr="0079523B" w:rsidRDefault="00825173" w:rsidP="00825173">
      <w:pPr>
        <w:pStyle w:val="Odstavecseseznamem"/>
        <w:ind w:left="709"/>
      </w:pPr>
      <w:r w:rsidRPr="0079523B">
        <w:t xml:space="preserve">Plyn dodaný Zákazníkovi bude Dodavatel vyhodnocovat pro jeho vyúčtování v produktu </w:t>
      </w:r>
      <w:proofErr w:type="spellStart"/>
      <w:r w:rsidRPr="0079523B">
        <w:t>SimpleGas</w:t>
      </w:r>
      <w:r>
        <w:t>Diagram</w:t>
      </w:r>
      <w:proofErr w:type="spellEnd"/>
      <w:r w:rsidRPr="0079523B">
        <w:t xml:space="preserve"> takto:</w:t>
      </w:r>
    </w:p>
    <w:p w:rsidR="00825173" w:rsidRPr="0079523B" w:rsidRDefault="00825173" w:rsidP="00825173">
      <w:pPr>
        <w:numPr>
          <w:ilvl w:val="2"/>
          <w:numId w:val="4"/>
        </w:numPr>
        <w:spacing w:line="240" w:lineRule="auto"/>
        <w:ind w:left="709" w:hanging="709"/>
        <w:rPr>
          <w:iCs/>
        </w:rPr>
      </w:pPr>
      <w:r w:rsidRPr="0079523B">
        <w:t xml:space="preserve">Z naměřených údajů se stanoví celkové množství skutečně odebraného plynu a vynásobí se sjednanou cenou za 1 </w:t>
      </w:r>
      <w:proofErr w:type="spellStart"/>
      <w:r w:rsidRPr="0079523B">
        <w:t>MWh</w:t>
      </w:r>
      <w:proofErr w:type="spellEnd"/>
      <w:r w:rsidRPr="0079523B">
        <w:t>.</w:t>
      </w:r>
    </w:p>
    <w:p w:rsidR="00825173" w:rsidRPr="0079523B" w:rsidRDefault="00825173" w:rsidP="00825173">
      <w:pPr>
        <w:numPr>
          <w:ilvl w:val="2"/>
          <w:numId w:val="4"/>
        </w:numPr>
        <w:autoSpaceDE w:val="0"/>
        <w:autoSpaceDN w:val="0"/>
        <w:spacing w:line="240" w:lineRule="auto"/>
        <w:ind w:left="709" w:hanging="709"/>
        <w:rPr>
          <w:szCs w:val="24"/>
        </w:rPr>
      </w:pPr>
      <w:r>
        <w:t xml:space="preserve">Dodavatel vyhodnocuje plnění ročního odběrového závazku. Při odběru větším než 115 % sjednaného množství plynu na příslušný rok trvání Smlouvy pro odběrné místo je Dodavatel oprávněn účtovat Zákazníkovi za každou </w:t>
      </w:r>
      <w:proofErr w:type="spellStart"/>
      <w:r>
        <w:t>MWh</w:t>
      </w:r>
      <w:proofErr w:type="spellEnd"/>
      <w:r>
        <w:t xml:space="preserve"> odebranou nad 115 % sjednaného množství navíc cenu 75 CZK / </w:t>
      </w:r>
      <w:proofErr w:type="spellStart"/>
      <w:r>
        <w:t>MWh</w:t>
      </w:r>
      <w:proofErr w:type="spellEnd"/>
      <w:r>
        <w:t xml:space="preserve"> bez DPH, při odběru menším než 85% sjednaného množství na příslušný rok trvání Smlouvy pro odběrné místo je Dodavatel oprávněn účtovat Zákazníkovi za každou </w:t>
      </w:r>
      <w:proofErr w:type="spellStart"/>
      <w:r>
        <w:t>MWh</w:t>
      </w:r>
      <w:proofErr w:type="spellEnd"/>
      <w:r>
        <w:t xml:space="preserve"> neodebranou do výše 85 % sjednaného množství cenu 75 CZK / </w:t>
      </w:r>
      <w:proofErr w:type="spellStart"/>
      <w:r>
        <w:t>MWh</w:t>
      </w:r>
      <w:proofErr w:type="spellEnd"/>
      <w:r>
        <w:t xml:space="preserve"> bez DPH. Dodavatelem účtovanou cenu za překročení a nedočerpání sjednaného množství plynu se Zákazník zavazuje uhradit. Vyúčtování této ceny je prováděno ve faktuře za dodávku plynu za 12. měsíc roku trvání Smlouvy</w:t>
      </w:r>
      <w:r w:rsidRPr="0079523B">
        <w:t>.</w:t>
      </w:r>
    </w:p>
    <w:p w:rsidR="00825173" w:rsidRPr="0079523B" w:rsidRDefault="00825173" w:rsidP="00825173">
      <w:pPr>
        <w:pStyle w:val="Odstavecseseznamem"/>
        <w:ind w:left="709"/>
        <w:rPr>
          <w:bCs/>
        </w:rPr>
      </w:pPr>
    </w:p>
    <w:p w:rsidR="00825173" w:rsidRPr="0079523B" w:rsidRDefault="00825173" w:rsidP="00825173">
      <w:pPr>
        <w:pStyle w:val="Odstavecseseznamem"/>
        <w:ind w:left="709"/>
      </w:pPr>
    </w:p>
    <w:p w:rsidR="00825173" w:rsidRPr="0079523B" w:rsidRDefault="00825173" w:rsidP="00825173">
      <w:pPr>
        <w:pStyle w:val="Odstavecseseznamem"/>
        <w:numPr>
          <w:ilvl w:val="1"/>
          <w:numId w:val="4"/>
        </w:numPr>
        <w:tabs>
          <w:tab w:val="clear" w:pos="705"/>
        </w:tabs>
        <w:ind w:left="709" w:hanging="709"/>
        <w:rPr>
          <w:b/>
        </w:rPr>
      </w:pPr>
      <w:r w:rsidRPr="0079523B">
        <w:rPr>
          <w:b/>
        </w:rPr>
        <w:t>Platba za související služby:</w:t>
      </w:r>
    </w:p>
    <w:p w:rsidR="00825173" w:rsidRPr="0079523B" w:rsidRDefault="00825173" w:rsidP="00825173">
      <w:pPr>
        <w:pStyle w:val="Odstavecseseznamem"/>
        <w:ind w:left="709"/>
        <w:rPr>
          <w:b/>
        </w:rPr>
      </w:pPr>
      <w:r w:rsidRPr="0079523B">
        <w:t>Cena za související služby, včetně platby za překročení denní rezervované distribuční pevné kapacity, je stanovována v souladu s obecně závazným rozhodnutím příslušného orgánu státní správy a Smlouvou o distribuci plynu, na základě které je Dodavateli pro Zákazníka třetí stranou poskytována distribuční kapacita při použití distribuční denní rezervované pevné kapacity, která je mezi smluvními stranami sjednána ve výši Denního množství. Měsíční výše ceny za související služby zahrne i případnou platbu za překročení denní rezervované distribuční pevné kapacity uvedené v předchozí větě nad stanovenou hodnotu, kterou se Zákazník zavazuje hradit při jejím překročení v daném měsíci. Pokud je v daném odběrném místě v daném měsíci překročena denní rezervovaná pevná kapacita opakovaně, je platba za překročení účtována Dodavatelem pouze jedenkrát, a to za nejvyšší překročení v daném odběrném místě v daném měsíci</w:t>
      </w:r>
      <w:r w:rsidRPr="0079523B">
        <w:rPr>
          <w:b/>
        </w:rPr>
        <w:t>.</w:t>
      </w:r>
    </w:p>
    <w:p w:rsidR="00825173" w:rsidRPr="0079523B" w:rsidRDefault="00825173" w:rsidP="00825173">
      <w:pPr>
        <w:pStyle w:val="Odstavecseseznamem"/>
        <w:ind w:left="709"/>
        <w:rPr>
          <w:b/>
        </w:rPr>
      </w:pPr>
    </w:p>
    <w:p w:rsidR="00825173" w:rsidRPr="0079523B" w:rsidRDefault="00825173" w:rsidP="00825173">
      <w:pPr>
        <w:pStyle w:val="Odstavecseseznamem"/>
        <w:numPr>
          <w:ilvl w:val="1"/>
          <w:numId w:val="4"/>
        </w:numPr>
        <w:tabs>
          <w:tab w:val="clear" w:pos="705"/>
        </w:tabs>
        <w:ind w:left="709" w:hanging="709"/>
        <w:rPr>
          <w:b/>
        </w:rPr>
      </w:pPr>
      <w:r w:rsidRPr="0079523B">
        <w:rPr>
          <w:b/>
        </w:rPr>
        <w:lastRenderedPageBreak/>
        <w:t xml:space="preserve">Celková měsíční cena (platba) </w:t>
      </w:r>
    </w:p>
    <w:p w:rsidR="00825173" w:rsidRPr="0079523B" w:rsidRDefault="00825173" w:rsidP="00825173">
      <w:pPr>
        <w:pStyle w:val="Odstavecseseznamem"/>
        <w:ind w:left="709"/>
      </w:pPr>
      <w:r w:rsidRPr="0079523B">
        <w:t>Celková měsíční cena (platba)plynu se stanoví jako součet měsíční ceny za dodávku plynu, měsíční ceny za související služby a objemové ceny.</w:t>
      </w:r>
    </w:p>
    <w:p w:rsidR="00825173" w:rsidRPr="0079523B" w:rsidRDefault="00825173" w:rsidP="00825173">
      <w:pPr>
        <w:pStyle w:val="Odstavecseseznamem"/>
        <w:ind w:left="709"/>
        <w:rPr>
          <w:b/>
        </w:rPr>
      </w:pPr>
    </w:p>
    <w:p w:rsidR="00825173" w:rsidRPr="0079523B" w:rsidRDefault="00825173" w:rsidP="00825173">
      <w:pPr>
        <w:pStyle w:val="Odstavecseseznamem"/>
        <w:numPr>
          <w:ilvl w:val="1"/>
          <w:numId w:val="4"/>
        </w:numPr>
        <w:tabs>
          <w:tab w:val="clear" w:pos="705"/>
        </w:tabs>
        <w:ind w:left="709" w:hanging="709"/>
        <w:rPr>
          <w:b/>
        </w:rPr>
      </w:pPr>
      <w:r w:rsidRPr="0079523B">
        <w:rPr>
          <w:b/>
        </w:rPr>
        <w:t>Poskytování služby Zákaznický portál</w:t>
      </w:r>
    </w:p>
    <w:p w:rsidR="00825173" w:rsidRPr="0079523B" w:rsidRDefault="00825173" w:rsidP="00825173">
      <w:pPr>
        <w:ind w:left="709"/>
      </w:pPr>
      <w:r w:rsidRPr="0079523B">
        <w:t xml:space="preserve">Dodavatel se zavazuje umožnit Zákazníkovi bezplatně využívat elektronický přístup k informacím, které souvisí s jeho odběrným místem, prostřednictvím internetové služby Zákaznický portál (dále jen „Služba“). Pravidla pro poskytování Služby jsou uvedena v Podmínkách provozování, poskytování a využívání služby Zákaznický portál, se kterými je Zákazník seznámen a zavazuje se je dodržovat. Provoz, způsob zabezpečení, rozsah a obsluha Služby  jsou popsány v Uživatelském manuálu služby Zákaznický portál (dále jen „Uživatelský manuál“), se kterým byl taktéž Zákazník seznámen. Smluvní strany se dohodly, že po dobu, kdy bude Zákazník využívat Službu, mohou být úkony resp. změny Smlouvy v rozsahu vyjmenovaném v platném Uživatelském manuálu prováděny elektronicky nebo písemně. Poskytování Služby je zahájeno dnem splnění všech podmínek pro registraci a elektronickou komunikaci Zákazníka, které jsou uvedeny na adrese </w:t>
      </w:r>
      <w:hyperlink r:id="rId8" w:history="1">
        <w:r w:rsidRPr="0079523B">
          <w:t>http://www.eon.cz</w:t>
        </w:r>
      </w:hyperlink>
      <w:r w:rsidRPr="0079523B">
        <w:t>.</w:t>
      </w:r>
    </w:p>
    <w:p w:rsidR="00825173" w:rsidRPr="0079523B" w:rsidRDefault="00825173" w:rsidP="00825173">
      <w:pPr>
        <w:spacing w:before="240"/>
        <w:ind w:left="709"/>
      </w:pPr>
      <w:r w:rsidRPr="0079523B">
        <w:t>Osoba oprávněná pro zřízení přístupu k této Službě:</w:t>
      </w:r>
    </w:p>
    <w:p w:rsidR="00825173" w:rsidRPr="0079523B" w:rsidRDefault="00825173" w:rsidP="00825173">
      <w:pPr>
        <w:ind w:left="709"/>
      </w:pPr>
      <w:r w:rsidRPr="0079523B">
        <w:t>Jméno a příjmení:</w:t>
      </w:r>
      <w:r w:rsidR="00EC60B2">
        <w:tab/>
      </w:r>
      <w:r w:rsidR="00AB0119">
        <w:t>XXXXXXXXX</w:t>
      </w:r>
    </w:p>
    <w:p w:rsidR="00825173" w:rsidRPr="0079523B" w:rsidRDefault="00825173" w:rsidP="00825173">
      <w:pPr>
        <w:ind w:left="709"/>
      </w:pPr>
      <w:r w:rsidRPr="0079523B">
        <w:t>Korespondenční adresa:</w:t>
      </w:r>
      <w:r w:rsidR="00EC60B2">
        <w:tab/>
        <w:t>Hraničářů 617E, Mikulov</w:t>
      </w:r>
    </w:p>
    <w:p w:rsidR="00825173" w:rsidRPr="0079523B" w:rsidRDefault="00825173" w:rsidP="00825173">
      <w:pPr>
        <w:ind w:left="709"/>
      </w:pPr>
      <w:r w:rsidRPr="0079523B">
        <w:t xml:space="preserve">Mob. </w:t>
      </w:r>
      <w:proofErr w:type="gramStart"/>
      <w:r w:rsidRPr="0079523B">
        <w:t>telefon</w:t>
      </w:r>
      <w:proofErr w:type="gramEnd"/>
      <w:r w:rsidRPr="0079523B">
        <w:t>:</w:t>
      </w:r>
      <w:r w:rsidR="00EC60B2">
        <w:tab/>
      </w:r>
      <w:r w:rsidR="00EC60B2">
        <w:tab/>
      </w:r>
      <w:r w:rsidR="00EC60B2">
        <w:tab/>
      </w:r>
      <w:r w:rsidR="00AB0119">
        <w:t>XXXXXXXXXX</w:t>
      </w:r>
    </w:p>
    <w:p w:rsidR="00825173" w:rsidRPr="0079523B" w:rsidRDefault="00825173" w:rsidP="00825173">
      <w:pPr>
        <w:ind w:left="709"/>
      </w:pPr>
      <w:r w:rsidRPr="0079523B">
        <w:t>E-mail:</w:t>
      </w:r>
      <w:r w:rsidR="00EC60B2">
        <w:tab/>
      </w:r>
      <w:r w:rsidR="00EC60B2">
        <w:tab/>
      </w:r>
      <w:r w:rsidR="00EC60B2">
        <w:tab/>
      </w:r>
      <w:r w:rsidR="00AB0119">
        <w:t>XXXXXXXXXX</w:t>
      </w:r>
    </w:p>
    <w:p w:rsidR="00825173" w:rsidRPr="0079523B" w:rsidRDefault="00825173" w:rsidP="00825173">
      <w:pPr>
        <w:ind w:left="709"/>
      </w:pPr>
      <w:r w:rsidRPr="0079523B">
        <w:t>Číslo Obchodního Partnera (Zákazníci Flexi):</w:t>
      </w:r>
    </w:p>
    <w:p w:rsidR="00825173" w:rsidRPr="0079523B" w:rsidRDefault="00825173" w:rsidP="00825173">
      <w:pPr>
        <w:ind w:left="709"/>
      </w:pPr>
      <w:r w:rsidRPr="0079523B">
        <w:t xml:space="preserve">Přístupová práva ke všem místům spotřeby plynu Zákazníka jsou nastavena pouze pro čtení / pro čtení a úpravy. </w:t>
      </w:r>
    </w:p>
    <w:p w:rsidR="00825173" w:rsidRPr="0079523B" w:rsidRDefault="00825173" w:rsidP="00825173">
      <w:pPr>
        <w:ind w:left="709"/>
      </w:pPr>
      <w:r w:rsidRPr="0079523B">
        <w:t>Přístupová práva k místům spotřeby plynu Zákazníka dle jednotlivých EIC kódů jsou nastavena následovně:</w:t>
      </w:r>
    </w:p>
    <w:p w:rsidR="00825173" w:rsidRPr="0079523B" w:rsidRDefault="00825173" w:rsidP="00825173">
      <w:pPr>
        <w:ind w:left="709"/>
      </w:pPr>
      <w:r w:rsidRPr="0079523B">
        <w:t xml:space="preserve">EIC </w:t>
      </w:r>
      <w:r w:rsidR="004271F5" w:rsidRPr="004271F5">
        <w:t>27ZG600Z0001490P</w:t>
      </w:r>
      <w:r w:rsidRPr="0079523B">
        <w:t xml:space="preserve"> - pouze pro čtení / pro čtení a úpravy     </w:t>
      </w:r>
    </w:p>
    <w:p w:rsidR="00825173" w:rsidRPr="0079523B" w:rsidRDefault="00825173" w:rsidP="00825173"/>
    <w:p w:rsidR="00825173" w:rsidRPr="0079523B" w:rsidRDefault="00825173" w:rsidP="00825173">
      <w:pPr>
        <w:pStyle w:val="Nadpis1"/>
        <w:numPr>
          <w:ilvl w:val="0"/>
          <w:numId w:val="1"/>
        </w:numPr>
        <w:spacing w:before="0" w:after="0" w:line="240" w:lineRule="auto"/>
        <w:ind w:left="709" w:hanging="709"/>
        <w:rPr>
          <w:sz w:val="24"/>
          <w:szCs w:val="24"/>
        </w:rPr>
      </w:pPr>
      <w:r w:rsidRPr="0079523B">
        <w:rPr>
          <w:sz w:val="24"/>
          <w:szCs w:val="24"/>
        </w:rPr>
        <w:t>Zvláštní ujednání</w:t>
      </w:r>
    </w:p>
    <w:p w:rsidR="00825173" w:rsidRDefault="00825173" w:rsidP="00825173">
      <w:pPr>
        <w:pStyle w:val="41"/>
        <w:widowControl w:val="0"/>
        <w:numPr>
          <w:ilvl w:val="1"/>
          <w:numId w:val="7"/>
        </w:numPr>
        <w:autoSpaceDE w:val="0"/>
        <w:autoSpaceDN w:val="0"/>
        <w:adjustRightInd w:val="0"/>
        <w:spacing w:line="288" w:lineRule="atLeast"/>
        <w:ind w:left="709" w:hanging="709"/>
      </w:pPr>
      <w:r>
        <w:t xml:space="preserve">Smluvní strany se dohodly, že faktury jsou splatné </w:t>
      </w:r>
      <w:r>
        <w:fldChar w:fldCharType="begin">
          <w:ffData>
            <w:name w:val=""/>
            <w:enabled/>
            <w:calcOnExit w:val="0"/>
            <w:ddList>
              <w:listEntry w:val="30"/>
              <w:listEntry w:val="90"/>
            </w:ddList>
          </w:ffData>
        </w:fldChar>
      </w:r>
      <w:r>
        <w:instrText xml:space="preserve"> FORMDROPDOWN </w:instrText>
      </w:r>
      <w:r w:rsidR="00482DD1">
        <w:fldChar w:fldCharType="separate"/>
      </w:r>
      <w:r>
        <w:fldChar w:fldCharType="end"/>
      </w:r>
      <w:r>
        <w:t xml:space="preserve"> dnů od data jejich vystavení. Zaplacením se rozumí připsání celé fakturované částky na účet Dodavatele.</w:t>
      </w:r>
    </w:p>
    <w:p w:rsidR="00825173" w:rsidRDefault="00825173" w:rsidP="00825173">
      <w:pPr>
        <w:pStyle w:val="Odstavecseseznamem"/>
        <w:ind w:left="680"/>
      </w:pPr>
      <w:r>
        <w:t>Smluvní strany se dále dohodly, že v případě opakovaného nedodržení platebních podmínek uvedených v této smlouvě (tj. minimálně 2 krát v průběhu 6 měsíců po sobě jdoucích) vstupují v platnost následující platební podmínky:</w:t>
      </w:r>
    </w:p>
    <w:p w:rsidR="00825173" w:rsidRDefault="00825173" w:rsidP="00825173">
      <w:pPr>
        <w:numPr>
          <w:ilvl w:val="1"/>
          <w:numId w:val="16"/>
        </w:numPr>
        <w:tabs>
          <w:tab w:val="clear" w:pos="1440"/>
        </w:tabs>
        <w:spacing w:line="240" w:lineRule="auto"/>
        <w:ind w:left="1701" w:hanging="283"/>
        <w:rPr>
          <w:szCs w:val="24"/>
        </w:rPr>
      </w:pPr>
      <w:r>
        <w:rPr>
          <w:szCs w:val="24"/>
        </w:rPr>
        <w:t xml:space="preserve">výše měsíční zálohy se sjednává ve výši </w:t>
      </w:r>
      <w:r>
        <w:rPr>
          <w:szCs w:val="24"/>
        </w:rPr>
        <w:fldChar w:fldCharType="begin">
          <w:ffData>
            <w:name w:val=""/>
            <w:enabled/>
            <w:calcOnExit w:val="0"/>
            <w:ddList>
              <w:listEntry w:val="100%"/>
              <w:listEntry w:val="80%"/>
              <w:listEntry w:val="50%"/>
            </w:ddList>
          </w:ffData>
        </w:fldChar>
      </w:r>
      <w:r>
        <w:rPr>
          <w:szCs w:val="24"/>
        </w:rPr>
        <w:instrText xml:space="preserve"> FORMDROPDOWN </w:instrText>
      </w:r>
      <w:r w:rsidR="00482DD1">
        <w:rPr>
          <w:szCs w:val="24"/>
        </w:rPr>
      </w:r>
      <w:r w:rsidR="00482DD1">
        <w:rPr>
          <w:szCs w:val="24"/>
        </w:rPr>
        <w:fldChar w:fldCharType="separate"/>
      </w:r>
      <w:r>
        <w:rPr>
          <w:szCs w:val="24"/>
        </w:rPr>
        <w:fldChar w:fldCharType="end"/>
      </w:r>
      <w:r>
        <w:rPr>
          <w:szCs w:val="24"/>
        </w:rPr>
        <w:t xml:space="preserve"> předpokládané měsíční fakturované částky,</w:t>
      </w:r>
    </w:p>
    <w:p w:rsidR="00825173" w:rsidRDefault="00825173" w:rsidP="00825173">
      <w:pPr>
        <w:numPr>
          <w:ilvl w:val="1"/>
          <w:numId w:val="16"/>
        </w:numPr>
        <w:tabs>
          <w:tab w:val="clear" w:pos="1440"/>
        </w:tabs>
        <w:spacing w:line="240" w:lineRule="auto"/>
        <w:ind w:left="1701" w:hanging="283"/>
        <w:rPr>
          <w:szCs w:val="24"/>
        </w:rPr>
      </w:pPr>
      <w:r>
        <w:rPr>
          <w:szCs w:val="24"/>
        </w:rPr>
        <w:t xml:space="preserve">způsob výpočtu zálohy: </w:t>
      </w:r>
      <w:r>
        <w:rPr>
          <w:szCs w:val="24"/>
        </w:rPr>
        <w:fldChar w:fldCharType="begin">
          <w:ffData>
            <w:name w:val=""/>
            <w:enabled/>
            <w:calcOnExit w:val="0"/>
            <w:ddList>
              <w:listEntry w:val="ze smluveného množství"/>
              <w:listEntry w:val="z Plánu odběru elektrické energie"/>
              <w:listEntry w:val="z Odběrového diagramu "/>
              <w:listEntry w:val="ze spotřeby posledního fakturovaného měsíce"/>
              <w:listEntry w:val="stanovením pevné zálohy"/>
              <w:listEntry w:val="ze spotřeby odpovídajícího měsíce minulého roku"/>
            </w:ddList>
          </w:ffData>
        </w:fldChar>
      </w:r>
      <w:r>
        <w:rPr>
          <w:szCs w:val="24"/>
        </w:rPr>
        <w:instrText xml:space="preserve"> FORMDROPDOWN </w:instrText>
      </w:r>
      <w:r w:rsidR="00482DD1">
        <w:rPr>
          <w:szCs w:val="24"/>
        </w:rPr>
      </w:r>
      <w:r w:rsidR="00482DD1">
        <w:rPr>
          <w:szCs w:val="24"/>
        </w:rPr>
        <w:fldChar w:fldCharType="separate"/>
      </w:r>
      <w:r>
        <w:rPr>
          <w:szCs w:val="24"/>
        </w:rPr>
        <w:fldChar w:fldCharType="end"/>
      </w:r>
      <w:r>
        <w:rPr>
          <w:szCs w:val="24"/>
        </w:rPr>
        <w:t>,</w:t>
      </w:r>
    </w:p>
    <w:p w:rsidR="00825173" w:rsidRDefault="00825173" w:rsidP="00825173">
      <w:pPr>
        <w:numPr>
          <w:ilvl w:val="1"/>
          <w:numId w:val="16"/>
        </w:numPr>
        <w:tabs>
          <w:tab w:val="clear" w:pos="1440"/>
        </w:tabs>
        <w:spacing w:line="240" w:lineRule="auto"/>
        <w:ind w:left="1701" w:hanging="283"/>
        <w:rPr>
          <w:szCs w:val="24"/>
        </w:rPr>
      </w:pPr>
      <w:r>
        <w:rPr>
          <w:szCs w:val="24"/>
        </w:rPr>
        <w:t xml:space="preserve">počet zálohových plateb v měsíci: </w:t>
      </w:r>
      <w:r>
        <w:rPr>
          <w:szCs w:val="24"/>
        </w:rPr>
        <w:fldChar w:fldCharType="begin">
          <w:ffData>
            <w:name w:val=""/>
            <w:enabled/>
            <w:calcOnExit w:val="0"/>
            <w:ddList>
              <w:listEntry w:val="tři měsíční splátky splatné k 3., 13. a 23."/>
              <w:listEntry w:val="jedna měsíční splátka splatná k 8."/>
            </w:ddList>
          </w:ffData>
        </w:fldChar>
      </w:r>
      <w:r>
        <w:rPr>
          <w:szCs w:val="24"/>
        </w:rPr>
        <w:instrText xml:space="preserve"> FORMDROPDOWN </w:instrText>
      </w:r>
      <w:r w:rsidR="00482DD1">
        <w:rPr>
          <w:szCs w:val="24"/>
        </w:rPr>
      </w:r>
      <w:r w:rsidR="00482DD1">
        <w:rPr>
          <w:szCs w:val="24"/>
        </w:rPr>
        <w:fldChar w:fldCharType="separate"/>
      </w:r>
      <w:r>
        <w:rPr>
          <w:szCs w:val="24"/>
        </w:rPr>
        <w:fldChar w:fldCharType="end"/>
      </w:r>
      <w:r>
        <w:rPr>
          <w:szCs w:val="24"/>
        </w:rPr>
        <w:t xml:space="preserve"> kalendářnímu dni měsíce, na který se záloha poskytuje,</w:t>
      </w:r>
    </w:p>
    <w:p w:rsidR="00825173" w:rsidRDefault="00825173" w:rsidP="00825173">
      <w:pPr>
        <w:numPr>
          <w:ilvl w:val="1"/>
          <w:numId w:val="16"/>
        </w:numPr>
        <w:tabs>
          <w:tab w:val="clear" w:pos="1440"/>
        </w:tabs>
        <w:spacing w:line="240" w:lineRule="auto"/>
        <w:ind w:left="1701" w:hanging="283"/>
        <w:rPr>
          <w:szCs w:val="24"/>
        </w:rPr>
      </w:pPr>
      <w:r>
        <w:rPr>
          <w:szCs w:val="24"/>
        </w:rPr>
        <w:t xml:space="preserve">rozložení výše měsíční zálohy: </w:t>
      </w:r>
      <w:r>
        <w:rPr>
          <w:szCs w:val="24"/>
        </w:rPr>
        <w:fldChar w:fldCharType="begin">
          <w:ffData>
            <w:name w:val=""/>
            <w:enabled/>
            <w:calcOnExit w:val="0"/>
            <w:ddList>
              <w:listEntry w:val="34%, 33% a 33%"/>
              <w:listEntry w:val="100%"/>
            </w:ddList>
          </w:ffData>
        </w:fldChar>
      </w:r>
      <w:r>
        <w:rPr>
          <w:szCs w:val="24"/>
        </w:rPr>
        <w:instrText xml:space="preserve"> FORMDROPDOWN </w:instrText>
      </w:r>
      <w:r w:rsidR="00482DD1">
        <w:rPr>
          <w:szCs w:val="24"/>
        </w:rPr>
      </w:r>
      <w:r w:rsidR="00482DD1">
        <w:rPr>
          <w:szCs w:val="24"/>
        </w:rPr>
        <w:fldChar w:fldCharType="separate"/>
      </w:r>
      <w:r>
        <w:rPr>
          <w:szCs w:val="24"/>
        </w:rPr>
        <w:fldChar w:fldCharType="end"/>
      </w:r>
      <w:r>
        <w:rPr>
          <w:szCs w:val="24"/>
        </w:rPr>
        <w:t>,</w:t>
      </w:r>
    </w:p>
    <w:p w:rsidR="00825173" w:rsidRDefault="00825173" w:rsidP="00825173">
      <w:pPr>
        <w:numPr>
          <w:ilvl w:val="1"/>
          <w:numId w:val="16"/>
        </w:numPr>
        <w:tabs>
          <w:tab w:val="clear" w:pos="1440"/>
        </w:tabs>
        <w:spacing w:line="240" w:lineRule="auto"/>
        <w:ind w:left="1701" w:hanging="283"/>
        <w:rPr>
          <w:szCs w:val="24"/>
        </w:rPr>
      </w:pPr>
      <w:r>
        <w:rPr>
          <w:szCs w:val="24"/>
        </w:rPr>
        <w:lastRenderedPageBreak/>
        <w:t>ruší se shora uvedená zvýhodněná splatnost faktur. Splatnost faktur se pro další období platnosti této smlouvy řídí platnými Obchodními podmínkami dodávky plynu.</w:t>
      </w:r>
    </w:p>
    <w:p w:rsidR="00825173" w:rsidRPr="009A2C41" w:rsidRDefault="00825173" w:rsidP="00825173">
      <w:pPr>
        <w:spacing w:line="240" w:lineRule="auto"/>
        <w:ind w:left="709"/>
        <w:rPr>
          <w:szCs w:val="24"/>
        </w:rPr>
      </w:pPr>
      <w:r>
        <w:t>Skutečnost, že dochází ke změně platebních podmínek v případě opakovaného nedodržení platebních podmínek uvedených v této smlouvě, bude Zákazníkovi Dodavatelem oznámena.</w:t>
      </w:r>
    </w:p>
    <w:p w:rsidR="00825173" w:rsidRPr="00295550" w:rsidRDefault="00825173" w:rsidP="00825173">
      <w:pPr>
        <w:pStyle w:val="41"/>
        <w:widowControl w:val="0"/>
        <w:numPr>
          <w:ilvl w:val="1"/>
          <w:numId w:val="7"/>
        </w:numPr>
        <w:autoSpaceDE w:val="0"/>
        <w:autoSpaceDN w:val="0"/>
        <w:adjustRightInd w:val="0"/>
        <w:spacing w:line="288" w:lineRule="atLeast"/>
        <w:ind w:left="709" w:hanging="709"/>
        <w:rPr>
          <w:iCs/>
        </w:rPr>
      </w:pPr>
      <w:r w:rsidRPr="00295550">
        <w:rPr>
          <w:iCs/>
        </w:rPr>
        <w:t>Zákazník je povinen Dodavatele bezodkladně informovat o jakékoliv skutečnosti, která ve vztahu k plnění poskytovanému Dodavatelem dle této Smlouvy zakládá nebo vylučuje uplatnění režimu přenesené daňové povinnosti dle § 92f odst. 1 zákona č. 235/2004 Sb., a to včetně okamžiku, kdy nastanou či již nastaly účinky této skutečnosti. Zákazník je povinen Dodavatele informovat zejména v případech, kdy se stane nebo naopak přestane být držitelem licence na obchod s plynem nebo distribuci plynu. Zákazník se zavazuje uhradit Dodavateli veškeré náklady, které mu vzniknou na základě nebo v souvislosti s porušením povinnosti Zákazníka dle tohoto odstavce</w:t>
      </w:r>
    </w:p>
    <w:p w:rsidR="00825173" w:rsidRPr="006E76C3" w:rsidRDefault="00825173" w:rsidP="00825173">
      <w:pPr>
        <w:pStyle w:val="41"/>
        <w:widowControl w:val="0"/>
        <w:numPr>
          <w:ilvl w:val="1"/>
          <w:numId w:val="7"/>
        </w:numPr>
        <w:autoSpaceDE w:val="0"/>
        <w:autoSpaceDN w:val="0"/>
        <w:adjustRightInd w:val="0"/>
        <w:spacing w:line="288" w:lineRule="atLeast"/>
        <w:ind w:left="709" w:hanging="709"/>
        <w:rPr>
          <w:bCs/>
          <w:szCs w:val="18"/>
        </w:rPr>
      </w:pPr>
      <w:r w:rsidRPr="00295550">
        <w:rPr>
          <w:iCs/>
        </w:rPr>
        <w:t>Zákazník, který je účastníkem trhu ve smyslu dle Nařízení Evropského parlamentu a Rady (EU) č. 1227/2011 (REMIT) nebo stane-li se takovýmto účastníkem nebo přestane být takovýmto účastníkem, je povinen Dodavatele o takovéto skutečnosti bez zbytečného odkladu informovat. Zároveň je Zákazník povinen Dodavateli sdělit identifikátor (tzv. ACER kód), který mu byl přidělen v souladu s čl. 9 odst. 2 výše uvedeného nařízení, a to bezodkladně po uzavření této Smlouvy a/nebo po přidělení/změně tohoto identifikátoru. Zákazník se zavazuje uhradit Dodavateli veškeré náklady, které mu vzniknou na základě nebo v souvislosti s porušením povinnosti Zákazníka dle tohoto odstavce.</w:t>
      </w:r>
    </w:p>
    <w:p w:rsidR="00825173" w:rsidRPr="006E76C3" w:rsidRDefault="00825173" w:rsidP="00825173">
      <w:pPr>
        <w:pStyle w:val="41"/>
        <w:widowControl w:val="0"/>
        <w:numPr>
          <w:ilvl w:val="0"/>
          <w:numId w:val="0"/>
        </w:numPr>
        <w:autoSpaceDE w:val="0"/>
        <w:autoSpaceDN w:val="0"/>
        <w:adjustRightInd w:val="0"/>
        <w:spacing w:line="288" w:lineRule="atLeast"/>
        <w:ind w:left="709"/>
        <w:rPr>
          <w:bCs/>
          <w:szCs w:val="18"/>
        </w:rPr>
      </w:pPr>
    </w:p>
    <w:p w:rsidR="00825173" w:rsidRPr="0079523B" w:rsidRDefault="00825173" w:rsidP="00825173">
      <w:pPr>
        <w:pStyle w:val="Nadpis1"/>
        <w:numPr>
          <w:ilvl w:val="0"/>
          <w:numId w:val="1"/>
        </w:numPr>
        <w:spacing w:before="0" w:after="0" w:line="240" w:lineRule="auto"/>
        <w:ind w:left="709" w:hanging="709"/>
        <w:rPr>
          <w:sz w:val="24"/>
          <w:szCs w:val="24"/>
        </w:rPr>
      </w:pPr>
      <w:r w:rsidRPr="0079523B">
        <w:rPr>
          <w:sz w:val="24"/>
          <w:szCs w:val="24"/>
        </w:rPr>
        <w:t>Podmínky sdružených služeb dodávky plynu</w:t>
      </w:r>
    </w:p>
    <w:p w:rsidR="00825173" w:rsidRDefault="00825173" w:rsidP="00825173">
      <w:pPr>
        <w:pStyle w:val="Odstavecseseznamem"/>
        <w:numPr>
          <w:ilvl w:val="1"/>
          <w:numId w:val="6"/>
        </w:numPr>
        <w:tabs>
          <w:tab w:val="num" w:pos="709"/>
        </w:tabs>
        <w:ind w:left="709" w:hanging="709"/>
      </w:pPr>
      <w:r w:rsidRPr="0079523B">
        <w:t>Práva a závazky vyplývající z této Smlouvy se dále řídí Obchodními podmínkami dodávky plynu (dále jen „O</w:t>
      </w:r>
      <w:r>
        <w:t>PD</w:t>
      </w:r>
      <w:r w:rsidRPr="0079523B">
        <w:t xml:space="preserve">P“) platnými od 1. ledna 2016, které jsou nedílnou součástí této Smlouvy a jsou po celou dobu platnosti této Smlouvy neměnné. S jejich obsahem smluvní strany souhlasí a zavazují se je dodržovat.   </w:t>
      </w:r>
    </w:p>
    <w:p w:rsidR="004271F5" w:rsidRPr="0079523B" w:rsidRDefault="004271F5" w:rsidP="004271F5">
      <w:pPr>
        <w:pStyle w:val="Odstavecseseznamem"/>
        <w:tabs>
          <w:tab w:val="num" w:pos="792"/>
        </w:tabs>
        <w:ind w:left="709"/>
      </w:pPr>
    </w:p>
    <w:p w:rsidR="00825173" w:rsidRPr="0079523B" w:rsidRDefault="00825173" w:rsidP="00825173">
      <w:pPr>
        <w:pStyle w:val="Nadpis1"/>
        <w:numPr>
          <w:ilvl w:val="0"/>
          <w:numId w:val="1"/>
        </w:numPr>
        <w:spacing w:before="0" w:after="0" w:line="240" w:lineRule="auto"/>
        <w:ind w:left="709" w:hanging="709"/>
        <w:rPr>
          <w:sz w:val="24"/>
          <w:szCs w:val="24"/>
        </w:rPr>
      </w:pPr>
      <w:r w:rsidRPr="0079523B">
        <w:rPr>
          <w:sz w:val="24"/>
          <w:szCs w:val="24"/>
        </w:rPr>
        <w:t>Technická specifikace odběrného místa</w:t>
      </w:r>
    </w:p>
    <w:p w:rsidR="00825173" w:rsidRPr="0079523B" w:rsidRDefault="00825173" w:rsidP="00825173">
      <w:pPr>
        <w:pStyle w:val="Zkladntext"/>
        <w:spacing w:line="280" w:lineRule="exact"/>
        <w:ind w:left="709"/>
        <w:jc w:val="left"/>
        <w:rPr>
          <w:b/>
        </w:rPr>
      </w:pPr>
    </w:p>
    <w:tbl>
      <w:tblPr>
        <w:tblW w:w="9214" w:type="dxa"/>
        <w:tblInd w:w="70" w:type="dxa"/>
        <w:tblBorders>
          <w:top w:val="single" w:sz="4" w:space="0" w:color="auto"/>
          <w:left w:val="single" w:sz="4" w:space="0" w:color="000000"/>
          <w:bottom w:val="single" w:sz="4" w:space="0" w:color="auto"/>
          <w:right w:val="single" w:sz="4" w:space="0" w:color="000000"/>
          <w:insideH w:val="single" w:sz="4" w:space="0" w:color="auto"/>
          <w:insideV w:val="single" w:sz="4" w:space="0" w:color="000000"/>
        </w:tblBorders>
        <w:tblCellMar>
          <w:left w:w="70" w:type="dxa"/>
          <w:right w:w="70" w:type="dxa"/>
        </w:tblCellMar>
        <w:tblLook w:val="04A0" w:firstRow="1" w:lastRow="0" w:firstColumn="1" w:lastColumn="0" w:noHBand="0" w:noVBand="1"/>
      </w:tblPr>
      <w:tblGrid>
        <w:gridCol w:w="1820"/>
        <w:gridCol w:w="1015"/>
        <w:gridCol w:w="2694"/>
        <w:gridCol w:w="1842"/>
        <w:gridCol w:w="1843"/>
      </w:tblGrid>
      <w:tr w:rsidR="00825173" w:rsidRPr="0079523B" w:rsidTr="00803090">
        <w:trPr>
          <w:trHeight w:val="499"/>
        </w:trPr>
        <w:tc>
          <w:tcPr>
            <w:tcW w:w="9214" w:type="dxa"/>
            <w:gridSpan w:val="5"/>
            <w:shd w:val="clear" w:color="000000" w:fill="C0C0C0"/>
          </w:tcPr>
          <w:p w:rsidR="00825173" w:rsidRPr="0079523B" w:rsidRDefault="00825173" w:rsidP="00803090">
            <w:pPr>
              <w:jc w:val="center"/>
              <w:rPr>
                <w:bCs/>
                <w:szCs w:val="24"/>
              </w:rPr>
            </w:pPr>
            <w:r w:rsidRPr="0079523B">
              <w:rPr>
                <w:bCs/>
                <w:szCs w:val="24"/>
              </w:rPr>
              <w:t>Hodnoty sjednané na rok 201</w:t>
            </w:r>
            <w:r>
              <w:rPr>
                <w:bCs/>
                <w:szCs w:val="24"/>
              </w:rPr>
              <w:t>7</w:t>
            </w:r>
          </w:p>
        </w:tc>
      </w:tr>
      <w:tr w:rsidR="00825173" w:rsidRPr="0079523B" w:rsidTr="00803090">
        <w:trPr>
          <w:trHeight w:val="499"/>
        </w:trPr>
        <w:tc>
          <w:tcPr>
            <w:tcW w:w="1820" w:type="dxa"/>
            <w:shd w:val="clear" w:color="000000" w:fill="C0C0C0"/>
            <w:vAlign w:val="center"/>
            <w:hideMark/>
          </w:tcPr>
          <w:p w:rsidR="00825173" w:rsidRPr="0079523B" w:rsidRDefault="00825173" w:rsidP="00803090">
            <w:pPr>
              <w:jc w:val="center"/>
              <w:rPr>
                <w:szCs w:val="24"/>
              </w:rPr>
            </w:pPr>
            <w:r>
              <w:rPr>
                <w:szCs w:val="24"/>
              </w:rPr>
              <w:t>Odběrné místo</w:t>
            </w:r>
          </w:p>
        </w:tc>
        <w:tc>
          <w:tcPr>
            <w:tcW w:w="1015" w:type="dxa"/>
            <w:shd w:val="clear" w:color="000000" w:fill="C0C0C0"/>
          </w:tcPr>
          <w:p w:rsidR="00825173" w:rsidRDefault="00825173" w:rsidP="00803090">
            <w:pPr>
              <w:jc w:val="center"/>
              <w:rPr>
                <w:szCs w:val="24"/>
              </w:rPr>
            </w:pPr>
            <w:r>
              <w:rPr>
                <w:szCs w:val="24"/>
              </w:rPr>
              <w:t>Typ</w:t>
            </w:r>
          </w:p>
          <w:p w:rsidR="00825173" w:rsidRDefault="00825173" w:rsidP="00803090">
            <w:pPr>
              <w:jc w:val="center"/>
              <w:rPr>
                <w:szCs w:val="24"/>
              </w:rPr>
            </w:pPr>
            <w:r>
              <w:rPr>
                <w:szCs w:val="24"/>
              </w:rPr>
              <w:t>měření</w:t>
            </w:r>
          </w:p>
        </w:tc>
        <w:tc>
          <w:tcPr>
            <w:tcW w:w="2694" w:type="dxa"/>
            <w:shd w:val="clear" w:color="000000" w:fill="C0C0C0"/>
            <w:vAlign w:val="center"/>
            <w:hideMark/>
          </w:tcPr>
          <w:p w:rsidR="00825173" w:rsidRPr="0079523B" w:rsidRDefault="00825173" w:rsidP="00803090">
            <w:pPr>
              <w:jc w:val="center"/>
              <w:rPr>
                <w:szCs w:val="24"/>
              </w:rPr>
            </w:pPr>
            <w:r>
              <w:rPr>
                <w:szCs w:val="24"/>
              </w:rPr>
              <w:t xml:space="preserve">EIC </w:t>
            </w:r>
            <w:proofErr w:type="spellStart"/>
            <w:r>
              <w:rPr>
                <w:szCs w:val="24"/>
              </w:rPr>
              <w:t>kod</w:t>
            </w:r>
            <w:proofErr w:type="spellEnd"/>
          </w:p>
        </w:tc>
        <w:tc>
          <w:tcPr>
            <w:tcW w:w="1842" w:type="dxa"/>
            <w:shd w:val="clear" w:color="000000" w:fill="C0C0C0"/>
            <w:vAlign w:val="center"/>
            <w:hideMark/>
          </w:tcPr>
          <w:p w:rsidR="00825173" w:rsidRPr="0072559F" w:rsidRDefault="00825173" w:rsidP="00803090">
            <w:pPr>
              <w:jc w:val="center"/>
              <w:rPr>
                <w:szCs w:val="24"/>
                <w:vertAlign w:val="superscript"/>
              </w:rPr>
            </w:pPr>
            <w:r>
              <w:rPr>
                <w:szCs w:val="24"/>
              </w:rPr>
              <w:t>Denní množství distribuce v m</w:t>
            </w:r>
            <w:r>
              <w:rPr>
                <w:szCs w:val="24"/>
                <w:vertAlign w:val="superscript"/>
              </w:rPr>
              <w:t>3</w:t>
            </w:r>
          </w:p>
        </w:tc>
        <w:tc>
          <w:tcPr>
            <w:tcW w:w="1843" w:type="dxa"/>
            <w:shd w:val="clear" w:color="000000" w:fill="C0C0C0"/>
            <w:vAlign w:val="center"/>
            <w:hideMark/>
          </w:tcPr>
          <w:p w:rsidR="00825173" w:rsidRPr="0079523B" w:rsidRDefault="00825173" w:rsidP="00803090">
            <w:pPr>
              <w:jc w:val="center"/>
              <w:rPr>
                <w:szCs w:val="24"/>
              </w:rPr>
            </w:pPr>
            <w:r>
              <w:rPr>
                <w:szCs w:val="24"/>
              </w:rPr>
              <w:t>Denní množství obchod v m</w:t>
            </w:r>
            <w:r>
              <w:rPr>
                <w:szCs w:val="24"/>
                <w:vertAlign w:val="superscript"/>
              </w:rPr>
              <w:t>3</w:t>
            </w:r>
            <w:r w:rsidRPr="0079523B">
              <w:rPr>
                <w:szCs w:val="24"/>
              </w:rPr>
              <w:t>]</w:t>
            </w:r>
          </w:p>
        </w:tc>
      </w:tr>
      <w:tr w:rsidR="00825173" w:rsidRPr="0079523B" w:rsidTr="00803090">
        <w:trPr>
          <w:trHeight w:val="255"/>
        </w:trPr>
        <w:tc>
          <w:tcPr>
            <w:tcW w:w="1820" w:type="dxa"/>
            <w:shd w:val="clear" w:color="auto" w:fill="auto"/>
            <w:noWrap/>
            <w:vAlign w:val="center"/>
          </w:tcPr>
          <w:p w:rsidR="00825173" w:rsidRPr="0079523B" w:rsidRDefault="004271F5" w:rsidP="00803090">
            <w:pPr>
              <w:jc w:val="center"/>
              <w:rPr>
                <w:szCs w:val="24"/>
              </w:rPr>
            </w:pPr>
            <w:r w:rsidRPr="004271F5">
              <w:rPr>
                <w:szCs w:val="24"/>
              </w:rPr>
              <w:t>3610216603</w:t>
            </w:r>
          </w:p>
        </w:tc>
        <w:tc>
          <w:tcPr>
            <w:tcW w:w="1015" w:type="dxa"/>
          </w:tcPr>
          <w:p w:rsidR="00825173" w:rsidRPr="0079523B" w:rsidRDefault="004271F5" w:rsidP="00803090">
            <w:pPr>
              <w:jc w:val="center"/>
              <w:rPr>
                <w:szCs w:val="24"/>
              </w:rPr>
            </w:pPr>
            <w:r>
              <w:rPr>
                <w:szCs w:val="24"/>
              </w:rPr>
              <w:t>CM</w:t>
            </w:r>
          </w:p>
        </w:tc>
        <w:tc>
          <w:tcPr>
            <w:tcW w:w="2694" w:type="dxa"/>
            <w:shd w:val="clear" w:color="auto" w:fill="auto"/>
            <w:noWrap/>
            <w:vAlign w:val="center"/>
            <w:hideMark/>
          </w:tcPr>
          <w:p w:rsidR="00825173" w:rsidRPr="0079523B" w:rsidRDefault="004271F5" w:rsidP="00803090">
            <w:pPr>
              <w:jc w:val="center"/>
              <w:rPr>
                <w:szCs w:val="24"/>
              </w:rPr>
            </w:pPr>
            <w:r w:rsidRPr="004271F5">
              <w:rPr>
                <w:szCs w:val="24"/>
              </w:rPr>
              <w:t>27ZG600Z0001490P</w:t>
            </w:r>
          </w:p>
        </w:tc>
        <w:tc>
          <w:tcPr>
            <w:tcW w:w="1842" w:type="dxa"/>
            <w:shd w:val="clear" w:color="auto" w:fill="auto"/>
            <w:noWrap/>
            <w:vAlign w:val="center"/>
          </w:tcPr>
          <w:p w:rsidR="00825173" w:rsidRPr="0079523B" w:rsidRDefault="004271F5" w:rsidP="00803090">
            <w:pPr>
              <w:jc w:val="center"/>
              <w:rPr>
                <w:szCs w:val="24"/>
              </w:rPr>
            </w:pPr>
            <w:r w:rsidRPr="004271F5">
              <w:rPr>
                <w:szCs w:val="24"/>
              </w:rPr>
              <w:t>926</w:t>
            </w:r>
          </w:p>
        </w:tc>
        <w:tc>
          <w:tcPr>
            <w:tcW w:w="1843" w:type="dxa"/>
            <w:shd w:val="clear" w:color="auto" w:fill="auto"/>
            <w:noWrap/>
            <w:vAlign w:val="center"/>
            <w:hideMark/>
          </w:tcPr>
          <w:p w:rsidR="00825173" w:rsidRPr="0079523B" w:rsidRDefault="004271F5" w:rsidP="00803090">
            <w:pPr>
              <w:jc w:val="center"/>
              <w:rPr>
                <w:szCs w:val="24"/>
              </w:rPr>
            </w:pPr>
            <w:r w:rsidRPr="004271F5">
              <w:rPr>
                <w:szCs w:val="24"/>
              </w:rPr>
              <w:t>926</w:t>
            </w:r>
          </w:p>
        </w:tc>
      </w:tr>
    </w:tbl>
    <w:p w:rsidR="00825173" w:rsidRPr="0079523B" w:rsidRDefault="00825173" w:rsidP="00825173">
      <w:pPr>
        <w:pStyle w:val="Zkladntextodsazen"/>
        <w:tabs>
          <w:tab w:val="left" w:pos="284"/>
        </w:tabs>
        <w:ind w:left="0"/>
        <w:jc w:val="left"/>
        <w:rPr>
          <w:rFonts w:ascii="Times New Roman" w:hAnsi="Times New Roman"/>
          <w:sz w:val="24"/>
          <w:szCs w:val="24"/>
          <w:lang w:eastAsia="de-DE"/>
        </w:rPr>
      </w:pPr>
    </w:p>
    <w:p w:rsidR="00825173" w:rsidRPr="0079523B" w:rsidRDefault="00825173" w:rsidP="00825173">
      <w:pPr>
        <w:pStyle w:val="Zkladntextodsazen"/>
        <w:numPr>
          <w:ilvl w:val="0"/>
          <w:numId w:val="1"/>
        </w:numPr>
        <w:spacing w:before="0"/>
        <w:ind w:left="709" w:hanging="709"/>
        <w:jc w:val="left"/>
        <w:rPr>
          <w:rFonts w:ascii="Times New Roman" w:hAnsi="Times New Roman"/>
          <w:sz w:val="24"/>
          <w:szCs w:val="24"/>
        </w:rPr>
      </w:pPr>
      <w:r w:rsidRPr="0079523B">
        <w:rPr>
          <w:rFonts w:ascii="Times New Roman" w:hAnsi="Times New Roman"/>
          <w:b/>
          <w:bCs/>
          <w:kern w:val="32"/>
          <w:sz w:val="24"/>
          <w:szCs w:val="24"/>
          <w:lang w:eastAsia="de-DE"/>
        </w:rPr>
        <w:t>Závěrečná ustanovení</w:t>
      </w:r>
    </w:p>
    <w:p w:rsidR="00825173" w:rsidRPr="0079523B"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sz w:val="24"/>
          <w:szCs w:val="24"/>
        </w:rPr>
        <w:t>Tato Smlouva je uzavřená podle zákona č. 89/2012 Sb. a zákona č. 458/2000 Sb. (energetický zákon), v platném znění a příslušných prováděcích předpisů k energetickému zákonu.</w:t>
      </w:r>
    </w:p>
    <w:p w:rsidR="00825173" w:rsidRPr="00D83DB3"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bCs/>
          <w:sz w:val="24"/>
          <w:szCs w:val="24"/>
        </w:rPr>
        <w:lastRenderedPageBreak/>
        <w:t>Smluvní strany se dohodly, že v případě ukončení smluvního vztahu odstoupením od Smlouvy z důvodu porušení  smluvních povinností jednou ze smluvních stran, se smluvní strana, která porušení způsobila, zavazuje uhradit druhé smluvní straně smluvní sankci. Výše smluvní sankce se stanoví součinem 50% sjednané ceny za dodávku plynu za 1 </w:t>
      </w:r>
      <w:proofErr w:type="spellStart"/>
      <w:r w:rsidRPr="0079523B">
        <w:rPr>
          <w:rFonts w:ascii="Times New Roman" w:hAnsi="Times New Roman"/>
          <w:bCs/>
          <w:sz w:val="24"/>
          <w:szCs w:val="24"/>
        </w:rPr>
        <w:t>MWh</w:t>
      </w:r>
      <w:proofErr w:type="spellEnd"/>
      <w:r w:rsidRPr="0079523B">
        <w:rPr>
          <w:rFonts w:ascii="Times New Roman" w:hAnsi="Times New Roman"/>
          <w:bCs/>
          <w:sz w:val="24"/>
          <w:szCs w:val="24"/>
        </w:rPr>
        <w:t xml:space="preserve"> plynu a nedodaného / neodebraného množství plynu. Nedodané / neodebrané množství plynu se stanoví jako součin průměrné denní spotřeby vypočtené z</w:t>
      </w:r>
      <w:r>
        <w:rPr>
          <w:rFonts w:ascii="Times New Roman" w:hAnsi="Times New Roman"/>
          <w:bCs/>
          <w:sz w:val="24"/>
          <w:szCs w:val="24"/>
        </w:rPr>
        <w:t xml:space="preserve"> předpokládaného </w:t>
      </w:r>
      <w:r w:rsidRPr="0079523B">
        <w:rPr>
          <w:rFonts w:ascii="Times New Roman" w:hAnsi="Times New Roman"/>
          <w:bCs/>
          <w:sz w:val="24"/>
          <w:szCs w:val="24"/>
        </w:rPr>
        <w:t>množství plynu sjednaného ve Smlouvě a počtu dní, o které se zkrátila původní doba trvání Smlouvy v důsledku odstoupení od Smlouvy.</w:t>
      </w:r>
    </w:p>
    <w:p w:rsidR="00825173" w:rsidRPr="00D83DB3" w:rsidRDefault="00825173" w:rsidP="00825173">
      <w:pPr>
        <w:pStyle w:val="Zkladntextodsazen"/>
        <w:numPr>
          <w:ilvl w:val="1"/>
          <w:numId w:val="17"/>
        </w:numPr>
        <w:spacing w:before="0"/>
        <w:ind w:left="709" w:hanging="709"/>
        <w:jc w:val="left"/>
        <w:rPr>
          <w:rFonts w:ascii="Times New Roman" w:hAnsi="Times New Roman"/>
          <w:sz w:val="24"/>
          <w:szCs w:val="24"/>
        </w:rPr>
      </w:pPr>
      <w:r w:rsidRPr="00D83DB3">
        <w:rPr>
          <w:rFonts w:ascii="Times New Roman" w:hAnsi="Times New Roman"/>
          <w:sz w:val="24"/>
          <w:szCs w:val="24"/>
        </w:rPr>
        <w:t>V případě, že při změně dodavatele dojde k situaci uvedené v § 74 odst. 2) zákona č. 458/2000 Sb., v platném znění, tj. probíhá odběr plynu v odběrném místě Zákazníka po dobu kratší než 10 pracovních dní bez smluvního subjektu zúčtování evidovaného pro odběrné místo Zákazníka, smluvní strany se dohodly, že se považuje za zahájení dodávky plynu den, od kterého nese Dodavatel odpovědnost za odchylku v odběrném místě Zákazníka, pokud právní předpisy nestanoví jinak.</w:t>
      </w:r>
    </w:p>
    <w:p w:rsidR="00825173" w:rsidRPr="0079523B"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sz w:val="24"/>
          <w:szCs w:val="24"/>
        </w:rPr>
        <w:t xml:space="preserve">Smlouva je vyhotovena ve dvou stejnopisech, z nichž každá ze smluvních stran obdrží jedno vyhotovení. </w:t>
      </w:r>
    </w:p>
    <w:p w:rsidR="00825173" w:rsidRPr="0079523B"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sz w:val="24"/>
          <w:szCs w:val="24"/>
        </w:rPr>
        <w:t xml:space="preserve">Práva a povinnosti smluvních stran vyplývající z této Smlouvy přechází na případné právní nástupce smluvních stran. </w:t>
      </w:r>
    </w:p>
    <w:p w:rsidR="00825173" w:rsidRPr="0079523B"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sz w:val="24"/>
          <w:szCs w:val="24"/>
        </w:rPr>
        <w:t>Zákazník podpisem této Smlouvy uděluje souhlas, aby Dodavatel uzavřel s příslušným provozovatelem distribuční soustavy Smlouvu o distribuci plynu do odběrného místa uvedeného ve Smlouvě.</w:t>
      </w:r>
    </w:p>
    <w:p w:rsidR="00825173" w:rsidRPr="0079523B" w:rsidRDefault="00825173" w:rsidP="00825173">
      <w:pPr>
        <w:pStyle w:val="Zkladntextodsazen"/>
        <w:numPr>
          <w:ilvl w:val="1"/>
          <w:numId w:val="17"/>
        </w:numPr>
        <w:spacing w:before="0"/>
        <w:ind w:left="709" w:hanging="709"/>
        <w:jc w:val="left"/>
        <w:rPr>
          <w:rFonts w:ascii="Times New Roman" w:hAnsi="Times New Roman"/>
          <w:sz w:val="24"/>
          <w:szCs w:val="24"/>
        </w:rPr>
      </w:pPr>
      <w:r w:rsidRPr="0079523B">
        <w:rPr>
          <w:rFonts w:ascii="Times New Roman" w:hAnsi="Times New Roman"/>
          <w:sz w:val="24"/>
          <w:szCs w:val="24"/>
        </w:rPr>
        <w:t>Smluvní strany prohlašují, že se podrobně seznámily s obsahem této Smlouvy, jejímu obsahu porozuměly a nejsou si vědomy žádných překážek, nároků třetích osob ani jiných právních vad, které by jejímu uzavření bránily či způsobovaly její neplatnost. Na důkaz toho připojují k tomu oprávnění zástupci smluvních stran své podpisy.</w:t>
      </w:r>
    </w:p>
    <w:p w:rsidR="00825173" w:rsidRPr="0079523B" w:rsidRDefault="00825173" w:rsidP="00825173">
      <w:pPr>
        <w:pStyle w:val="Zhlav"/>
        <w:tabs>
          <w:tab w:val="clear" w:pos="4536"/>
          <w:tab w:val="center" w:pos="-1985"/>
        </w:tabs>
        <w:spacing w:line="240" w:lineRule="auto"/>
        <w:ind w:left="142"/>
        <w:rPr>
          <w:b/>
          <w:bCs/>
          <w:kern w:val="32"/>
          <w:szCs w:val="24"/>
        </w:rPr>
      </w:pPr>
    </w:p>
    <w:p w:rsidR="00825173" w:rsidRPr="0079523B" w:rsidRDefault="00825173" w:rsidP="00825173">
      <w:pPr>
        <w:pStyle w:val="Odstavecseseznamem"/>
        <w:numPr>
          <w:ilvl w:val="0"/>
          <w:numId w:val="1"/>
        </w:numPr>
        <w:ind w:left="709" w:hanging="709"/>
      </w:pPr>
      <w:r w:rsidRPr="0079523B">
        <w:rPr>
          <w:b/>
          <w:bCs/>
          <w:kern w:val="32"/>
        </w:rPr>
        <w:t>Kontaktní osoby</w:t>
      </w:r>
      <w:r w:rsidRPr="0079523B">
        <w:rPr>
          <w:bCs/>
        </w:rPr>
        <w:t xml:space="preserve"> </w:t>
      </w:r>
      <w:r w:rsidRPr="0079523B">
        <w:rPr>
          <w:bCs/>
        </w:rPr>
        <w:cr/>
      </w:r>
      <w:r w:rsidRPr="0079523B">
        <w:t>Smluvní strany se dohodly, že kontaktní osoby a údaje o oprávněnosti jednotlivých osob ke konání právních úkonů v souvislosti s touto Smlouvou jsou následující:</w:t>
      </w:r>
    </w:p>
    <w:p w:rsidR="00825173" w:rsidRPr="0079523B" w:rsidRDefault="00825173" w:rsidP="00825173">
      <w:pPr>
        <w:autoSpaceDE w:val="0"/>
        <w:autoSpaceDN w:val="0"/>
        <w:adjustRightInd w:val="0"/>
        <w:spacing w:line="240" w:lineRule="auto"/>
        <w:ind w:left="709"/>
        <w:rPr>
          <w:b/>
        </w:rPr>
      </w:pPr>
    </w:p>
    <w:p w:rsidR="00825173" w:rsidRPr="0079523B" w:rsidRDefault="00825173" w:rsidP="00825173">
      <w:pPr>
        <w:autoSpaceDE w:val="0"/>
        <w:autoSpaceDN w:val="0"/>
        <w:adjustRightInd w:val="0"/>
        <w:spacing w:line="240" w:lineRule="auto"/>
        <w:ind w:left="709"/>
        <w:rPr>
          <w:b/>
        </w:rPr>
      </w:pPr>
      <w:r>
        <w:rPr>
          <w:b/>
        </w:rPr>
        <w:t>Kontaktní osoby oprávněné uzavřít a měnit tuto Smlouvu</w:t>
      </w:r>
    </w:p>
    <w:p w:rsidR="00825173" w:rsidRPr="0079523B" w:rsidRDefault="00825173" w:rsidP="00825173">
      <w:pPr>
        <w:ind w:left="709"/>
      </w:pPr>
      <w:r w:rsidRPr="0079523B">
        <w:rPr>
          <w:bCs/>
          <w:iCs/>
          <w:kern w:val="28"/>
        </w:rPr>
        <w:t>Za Zákazníka:</w:t>
      </w:r>
      <w:r w:rsidR="00982524">
        <w:rPr>
          <w:bCs/>
          <w:iCs/>
          <w:kern w:val="28"/>
        </w:rPr>
        <w:tab/>
      </w:r>
      <w:r w:rsidR="00982524">
        <w:rPr>
          <w:bCs/>
          <w:iCs/>
          <w:kern w:val="28"/>
        </w:rPr>
        <w:tab/>
      </w:r>
      <w:r w:rsidR="00982524">
        <w:rPr>
          <w:bCs/>
          <w:iCs/>
          <w:kern w:val="28"/>
        </w:rPr>
        <w:tab/>
      </w:r>
      <w:r w:rsidR="00AB0119">
        <w:rPr>
          <w:bCs/>
          <w:iCs/>
          <w:kern w:val="28"/>
        </w:rPr>
        <w:t>XXXXXXXXXXX</w:t>
      </w:r>
    </w:p>
    <w:p w:rsidR="00825173" w:rsidRPr="00F018D8"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p>
    <w:p w:rsidR="00825173" w:rsidRPr="0079523B" w:rsidRDefault="00825173" w:rsidP="00825173">
      <w:pPr>
        <w:ind w:left="709"/>
        <w:rPr>
          <w:rFonts w:ascii="Times" w:hAnsi="Times"/>
          <w:szCs w:val="15"/>
        </w:rPr>
      </w:pPr>
      <w:r w:rsidRPr="0079523B">
        <w:rPr>
          <w:rFonts w:ascii="Times" w:hAnsi="Times"/>
          <w:szCs w:val="15"/>
        </w:rPr>
        <w:t>Ulice číslo popisné/orientační: /</w:t>
      </w:r>
      <w:r w:rsidR="00EC60B2">
        <w:rPr>
          <w:rFonts w:ascii="Times" w:hAnsi="Times"/>
          <w:szCs w:val="15"/>
        </w:rPr>
        <w:t>Hraničářů 617 E</w:t>
      </w:r>
    </w:p>
    <w:p w:rsidR="00825173" w:rsidRPr="0079523B" w:rsidRDefault="00825173" w:rsidP="00825173">
      <w:pPr>
        <w:ind w:left="709"/>
        <w:rPr>
          <w:rFonts w:ascii="Times" w:hAnsi="Times"/>
          <w:szCs w:val="15"/>
        </w:rPr>
      </w:pPr>
      <w:r w:rsidRPr="0079523B">
        <w:rPr>
          <w:rFonts w:ascii="Times" w:hAnsi="Times"/>
          <w:szCs w:val="15"/>
        </w:rPr>
        <w:t>PSČ, obec:</w:t>
      </w:r>
      <w:r w:rsidR="00EC60B2">
        <w:rPr>
          <w:rFonts w:ascii="Times" w:hAnsi="Times"/>
          <w:szCs w:val="15"/>
        </w:rPr>
        <w:tab/>
      </w:r>
      <w:r w:rsidR="00EC60B2">
        <w:rPr>
          <w:rFonts w:ascii="Times" w:hAnsi="Times"/>
          <w:szCs w:val="15"/>
        </w:rPr>
        <w:tab/>
      </w:r>
      <w:r w:rsidR="00EC60B2">
        <w:rPr>
          <w:rFonts w:ascii="Times" w:hAnsi="Times"/>
          <w:szCs w:val="15"/>
        </w:rPr>
        <w:tab/>
        <w:t xml:space="preserve">   692 01, Mikulov</w:t>
      </w:r>
    </w:p>
    <w:p w:rsidR="00825173" w:rsidRPr="0079523B" w:rsidRDefault="00825173" w:rsidP="00825173">
      <w:pPr>
        <w:ind w:left="709"/>
        <w:rPr>
          <w:rFonts w:ascii="Times" w:hAnsi="Times"/>
          <w:szCs w:val="15"/>
        </w:rPr>
      </w:pPr>
      <w:r>
        <w:rPr>
          <w:rFonts w:ascii="Times" w:hAnsi="Times"/>
          <w:szCs w:val="15"/>
        </w:rPr>
        <w:t>E</w:t>
      </w:r>
      <w:r w:rsidRPr="0079523B">
        <w:rPr>
          <w:rFonts w:ascii="Times" w:hAnsi="Times"/>
          <w:szCs w:val="15"/>
        </w:rPr>
        <w:t>-mail:</w:t>
      </w:r>
      <w:r w:rsidR="00EC60B2">
        <w:rPr>
          <w:rFonts w:ascii="Times" w:hAnsi="Times"/>
          <w:szCs w:val="15"/>
        </w:rPr>
        <w:tab/>
      </w:r>
      <w:r w:rsidR="00EC60B2">
        <w:rPr>
          <w:rFonts w:ascii="Times" w:hAnsi="Times"/>
          <w:szCs w:val="15"/>
        </w:rPr>
        <w:tab/>
      </w:r>
      <w:r w:rsidR="00EC60B2">
        <w:rPr>
          <w:rFonts w:ascii="Times" w:hAnsi="Times"/>
          <w:szCs w:val="15"/>
        </w:rPr>
        <w:tab/>
        <w:t xml:space="preserve">   </w:t>
      </w:r>
      <w:r w:rsidR="00AB0119">
        <w:rPr>
          <w:rFonts w:ascii="Times" w:hAnsi="Times"/>
          <w:szCs w:val="15"/>
        </w:rPr>
        <w:t>XXXXXXXXXXXXXX</w:t>
      </w:r>
    </w:p>
    <w:p w:rsidR="00825173" w:rsidRDefault="00825173" w:rsidP="00825173">
      <w:pPr>
        <w:autoSpaceDE w:val="0"/>
        <w:autoSpaceDN w:val="0"/>
        <w:adjustRightInd w:val="0"/>
        <w:ind w:left="709"/>
        <w:rPr>
          <w:b/>
        </w:rPr>
      </w:pP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Za Dodavatele:</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p>
    <w:p w:rsidR="00825173" w:rsidRPr="0079523B" w:rsidRDefault="00825173" w:rsidP="00825173">
      <w:pPr>
        <w:pStyle w:val="Zkladntextodsazen2"/>
        <w:tabs>
          <w:tab w:val="left" w:pos="2160"/>
        </w:tabs>
        <w:spacing w:after="0" w:line="240" w:lineRule="auto"/>
        <w:ind w:left="709"/>
        <w:rPr>
          <w:bCs/>
          <w:iCs/>
          <w:kern w:val="28"/>
        </w:rPr>
      </w:pPr>
      <w:r>
        <w:rPr>
          <w:bCs/>
          <w:iCs/>
          <w:kern w:val="28"/>
        </w:rPr>
        <w:t>M</w:t>
      </w:r>
      <w:r w:rsidRPr="0079523B">
        <w:rPr>
          <w:bCs/>
          <w:iCs/>
          <w:kern w:val="28"/>
        </w:rPr>
        <w:t>ob.</w:t>
      </w:r>
      <w:r>
        <w:rPr>
          <w:bCs/>
          <w:iCs/>
          <w:kern w:val="28"/>
        </w:rPr>
        <w:t xml:space="preserve"> </w:t>
      </w:r>
      <w:proofErr w:type="gramStart"/>
      <w:r>
        <w:rPr>
          <w:bCs/>
          <w:iCs/>
          <w:kern w:val="28"/>
        </w:rPr>
        <w:t>te</w:t>
      </w:r>
      <w:r w:rsidRPr="0079523B">
        <w:rPr>
          <w:bCs/>
          <w:iCs/>
          <w:kern w:val="28"/>
        </w:rPr>
        <w:t>lefon</w:t>
      </w:r>
      <w:proofErr w:type="gramEnd"/>
      <w:r w:rsidRPr="0079523B">
        <w:rPr>
          <w:bCs/>
          <w:iCs/>
          <w:kern w:val="28"/>
        </w:rPr>
        <w:t>:</w:t>
      </w:r>
    </w:p>
    <w:p w:rsidR="00825173" w:rsidRPr="0079523B" w:rsidRDefault="00825173" w:rsidP="00825173">
      <w:pPr>
        <w:ind w:left="709"/>
        <w:rPr>
          <w:rFonts w:ascii="Times" w:hAnsi="Times"/>
          <w:szCs w:val="15"/>
        </w:rPr>
      </w:pPr>
      <w:r>
        <w:rPr>
          <w:rFonts w:ascii="Times" w:hAnsi="Times"/>
          <w:szCs w:val="15"/>
        </w:rPr>
        <w:t>E</w:t>
      </w:r>
      <w:r w:rsidRPr="0079523B">
        <w:rPr>
          <w:rFonts w:ascii="Times" w:hAnsi="Times"/>
          <w:szCs w:val="15"/>
        </w:rPr>
        <w:t>-mail:</w:t>
      </w:r>
    </w:p>
    <w:p w:rsidR="00825173" w:rsidRDefault="00825173" w:rsidP="00825173">
      <w:pPr>
        <w:autoSpaceDE w:val="0"/>
        <w:autoSpaceDN w:val="0"/>
        <w:adjustRightInd w:val="0"/>
        <w:ind w:left="709"/>
        <w:rPr>
          <w:b/>
        </w:rPr>
      </w:pPr>
    </w:p>
    <w:p w:rsidR="004271F5" w:rsidRDefault="004271F5" w:rsidP="00825173">
      <w:pPr>
        <w:autoSpaceDE w:val="0"/>
        <w:autoSpaceDN w:val="0"/>
        <w:adjustRightInd w:val="0"/>
        <w:ind w:left="709"/>
        <w:rPr>
          <w:b/>
        </w:rPr>
      </w:pPr>
    </w:p>
    <w:p w:rsidR="004271F5" w:rsidRPr="0079523B" w:rsidRDefault="004271F5" w:rsidP="00825173">
      <w:pPr>
        <w:autoSpaceDE w:val="0"/>
        <w:autoSpaceDN w:val="0"/>
        <w:adjustRightInd w:val="0"/>
        <w:ind w:left="709"/>
        <w:rPr>
          <w:b/>
        </w:rPr>
      </w:pPr>
    </w:p>
    <w:p w:rsidR="00825173" w:rsidRPr="0079523B" w:rsidRDefault="00825173" w:rsidP="00825173">
      <w:pPr>
        <w:autoSpaceDE w:val="0"/>
        <w:autoSpaceDN w:val="0"/>
        <w:adjustRightInd w:val="0"/>
        <w:ind w:left="709"/>
        <w:rPr>
          <w:b/>
        </w:rPr>
      </w:pPr>
      <w:r w:rsidRPr="0079523B">
        <w:rPr>
          <w:b/>
        </w:rPr>
        <w:t>Osoby oprávněné uzavřít dodatek k této Smlouvě s aktuali</w:t>
      </w:r>
      <w:r>
        <w:rPr>
          <w:b/>
        </w:rPr>
        <w:t xml:space="preserve">zovanými technickými hodnotami </w:t>
      </w:r>
      <w:r w:rsidRPr="0079523B">
        <w:rPr>
          <w:b/>
        </w:rPr>
        <w:t>uvedenými v čl. VI.:</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Za Zákazníka:</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r w:rsidR="00982524">
        <w:rPr>
          <w:bCs/>
          <w:iCs/>
          <w:kern w:val="28"/>
        </w:rPr>
        <w:tab/>
      </w:r>
      <w:r w:rsidR="00AB0119">
        <w:rPr>
          <w:bCs/>
          <w:iCs/>
          <w:kern w:val="28"/>
        </w:rPr>
        <w:t>XXXXXXXXXX</w:t>
      </w:r>
    </w:p>
    <w:p w:rsidR="00825173" w:rsidRPr="0079523B" w:rsidRDefault="00825173" w:rsidP="00825173">
      <w:pPr>
        <w:pStyle w:val="Zkladntextodsazen2"/>
        <w:tabs>
          <w:tab w:val="left" w:pos="2160"/>
        </w:tabs>
        <w:spacing w:after="0" w:line="240" w:lineRule="auto"/>
        <w:ind w:left="709"/>
        <w:rPr>
          <w:bCs/>
          <w:iCs/>
          <w:kern w:val="28"/>
        </w:rPr>
      </w:pPr>
      <w:r>
        <w:rPr>
          <w:bCs/>
          <w:iCs/>
          <w:kern w:val="28"/>
        </w:rPr>
        <w:t>M</w:t>
      </w:r>
      <w:r w:rsidRPr="0079523B">
        <w:rPr>
          <w:bCs/>
          <w:iCs/>
          <w:kern w:val="28"/>
        </w:rPr>
        <w:t>ob.</w:t>
      </w:r>
      <w:r>
        <w:rPr>
          <w:bCs/>
          <w:iCs/>
          <w:kern w:val="28"/>
        </w:rPr>
        <w:t xml:space="preserve"> </w:t>
      </w:r>
      <w:proofErr w:type="gramStart"/>
      <w:r>
        <w:rPr>
          <w:bCs/>
          <w:iCs/>
          <w:kern w:val="28"/>
        </w:rPr>
        <w:t>te</w:t>
      </w:r>
      <w:r w:rsidRPr="0079523B">
        <w:rPr>
          <w:bCs/>
          <w:iCs/>
          <w:kern w:val="28"/>
        </w:rPr>
        <w:t>lefon</w:t>
      </w:r>
      <w:proofErr w:type="gramEnd"/>
      <w:r w:rsidRPr="0079523B">
        <w:rPr>
          <w:bCs/>
          <w:iCs/>
          <w:kern w:val="28"/>
        </w:rPr>
        <w:t>:</w:t>
      </w:r>
      <w:r w:rsidR="00EC60B2">
        <w:rPr>
          <w:bCs/>
          <w:iCs/>
          <w:kern w:val="28"/>
        </w:rPr>
        <w:tab/>
      </w:r>
      <w:r w:rsidR="00EC60B2">
        <w:rPr>
          <w:bCs/>
          <w:iCs/>
          <w:kern w:val="28"/>
        </w:rPr>
        <w:tab/>
      </w:r>
      <w:r w:rsidR="00AB0119">
        <w:rPr>
          <w:bCs/>
          <w:iCs/>
          <w:kern w:val="28"/>
        </w:rPr>
        <w:t>XXXXXXXX</w:t>
      </w:r>
    </w:p>
    <w:p w:rsidR="00825173" w:rsidRPr="0079523B" w:rsidRDefault="00825173" w:rsidP="00825173">
      <w:pPr>
        <w:ind w:left="709"/>
        <w:rPr>
          <w:rFonts w:ascii="Times" w:hAnsi="Times"/>
          <w:szCs w:val="15"/>
        </w:rPr>
      </w:pPr>
      <w:r>
        <w:rPr>
          <w:rFonts w:ascii="Times" w:hAnsi="Times"/>
          <w:szCs w:val="15"/>
        </w:rPr>
        <w:t>E</w:t>
      </w:r>
      <w:r w:rsidRPr="0079523B">
        <w:rPr>
          <w:rFonts w:ascii="Times" w:hAnsi="Times"/>
          <w:szCs w:val="15"/>
        </w:rPr>
        <w:t>-mail:</w:t>
      </w:r>
      <w:r w:rsidR="00EC60B2">
        <w:rPr>
          <w:rFonts w:ascii="Times" w:hAnsi="Times"/>
          <w:szCs w:val="15"/>
        </w:rPr>
        <w:tab/>
      </w:r>
      <w:r w:rsidR="00EC60B2">
        <w:rPr>
          <w:rFonts w:ascii="Times" w:hAnsi="Times"/>
          <w:szCs w:val="15"/>
        </w:rPr>
        <w:tab/>
      </w:r>
      <w:r w:rsidR="00AB0119">
        <w:rPr>
          <w:rFonts w:ascii="Times" w:hAnsi="Times"/>
          <w:szCs w:val="15"/>
        </w:rPr>
        <w:t>XXXXXXXXXX</w:t>
      </w:r>
    </w:p>
    <w:p w:rsidR="00825173" w:rsidRPr="0079523B" w:rsidRDefault="00825173" w:rsidP="00825173">
      <w:pPr>
        <w:pStyle w:val="Zkladntextodsazen2"/>
        <w:tabs>
          <w:tab w:val="left" w:pos="2160"/>
        </w:tabs>
        <w:spacing w:after="0" w:line="240" w:lineRule="auto"/>
        <w:ind w:left="709"/>
        <w:rPr>
          <w:bCs/>
          <w:iCs/>
          <w:kern w:val="28"/>
        </w:rPr>
      </w:pP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Za Dodavatele:</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p>
    <w:p w:rsidR="00825173" w:rsidRPr="0079523B" w:rsidRDefault="00825173" w:rsidP="00825173">
      <w:pPr>
        <w:pStyle w:val="Zkladntextodsazen2"/>
        <w:tabs>
          <w:tab w:val="left" w:pos="2160"/>
        </w:tabs>
        <w:spacing w:after="0" w:line="240" w:lineRule="auto"/>
        <w:ind w:left="709"/>
        <w:rPr>
          <w:bCs/>
          <w:iCs/>
          <w:kern w:val="28"/>
        </w:rPr>
      </w:pPr>
      <w:r>
        <w:rPr>
          <w:bCs/>
          <w:iCs/>
          <w:kern w:val="28"/>
        </w:rPr>
        <w:t>M</w:t>
      </w:r>
      <w:r w:rsidRPr="0079523B">
        <w:rPr>
          <w:bCs/>
          <w:iCs/>
          <w:kern w:val="28"/>
        </w:rPr>
        <w:t>ob.</w:t>
      </w:r>
      <w:r>
        <w:rPr>
          <w:bCs/>
          <w:iCs/>
          <w:kern w:val="28"/>
        </w:rPr>
        <w:t xml:space="preserve"> </w:t>
      </w:r>
      <w:proofErr w:type="gramStart"/>
      <w:r>
        <w:rPr>
          <w:bCs/>
          <w:iCs/>
          <w:kern w:val="28"/>
        </w:rPr>
        <w:t>te</w:t>
      </w:r>
      <w:r w:rsidRPr="0079523B">
        <w:rPr>
          <w:bCs/>
          <w:iCs/>
          <w:kern w:val="28"/>
        </w:rPr>
        <w:t>le</w:t>
      </w:r>
      <w:r>
        <w:rPr>
          <w:bCs/>
          <w:iCs/>
          <w:kern w:val="28"/>
        </w:rPr>
        <w:t>fon</w:t>
      </w:r>
      <w:proofErr w:type="gramEnd"/>
      <w:r w:rsidRPr="0079523B">
        <w:rPr>
          <w:bCs/>
          <w:iCs/>
          <w:kern w:val="28"/>
        </w:rPr>
        <w:t>:</w:t>
      </w:r>
    </w:p>
    <w:p w:rsidR="00825173" w:rsidRPr="0079523B" w:rsidRDefault="00825173" w:rsidP="00825173">
      <w:pPr>
        <w:ind w:left="709"/>
        <w:rPr>
          <w:rFonts w:ascii="Times" w:hAnsi="Times"/>
          <w:szCs w:val="15"/>
        </w:rPr>
      </w:pPr>
      <w:r>
        <w:rPr>
          <w:rFonts w:ascii="Times" w:hAnsi="Times"/>
          <w:szCs w:val="15"/>
        </w:rPr>
        <w:t>E</w:t>
      </w:r>
      <w:r w:rsidRPr="0079523B">
        <w:rPr>
          <w:rFonts w:ascii="Times" w:hAnsi="Times"/>
          <w:szCs w:val="15"/>
        </w:rPr>
        <w:t>-mail:</w:t>
      </w:r>
    </w:p>
    <w:p w:rsidR="00825173" w:rsidRPr="0079523B" w:rsidRDefault="00825173" w:rsidP="00825173">
      <w:pPr>
        <w:pStyle w:val="Zkladntext"/>
        <w:tabs>
          <w:tab w:val="left" w:pos="284"/>
        </w:tabs>
        <w:spacing w:line="280" w:lineRule="exact"/>
        <w:ind w:left="709"/>
        <w:jc w:val="left"/>
        <w:rPr>
          <w:bCs/>
          <w:szCs w:val="24"/>
          <w:lang w:eastAsia="de-DE"/>
        </w:rPr>
      </w:pPr>
    </w:p>
    <w:p w:rsidR="00825173" w:rsidRPr="009A2C41" w:rsidRDefault="00825173" w:rsidP="00825173">
      <w:pPr>
        <w:pStyle w:val="Zkladntext"/>
        <w:tabs>
          <w:tab w:val="left" w:pos="284"/>
        </w:tabs>
        <w:spacing w:line="280" w:lineRule="exact"/>
        <w:ind w:left="709"/>
        <w:jc w:val="left"/>
        <w:rPr>
          <w:b/>
          <w:bCs/>
          <w:szCs w:val="24"/>
          <w:lang w:eastAsia="de-DE"/>
        </w:rPr>
      </w:pPr>
      <w:r w:rsidRPr="009A2C41">
        <w:rPr>
          <w:b/>
          <w:bCs/>
          <w:szCs w:val="24"/>
          <w:lang w:eastAsia="de-DE"/>
        </w:rPr>
        <w:t>Kontaktní osoby pro zasílání ostatní korespondence</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Za Zákazníka:</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r w:rsidR="00EC60B2">
        <w:rPr>
          <w:bCs/>
          <w:iCs/>
          <w:kern w:val="28"/>
        </w:rPr>
        <w:tab/>
      </w:r>
      <w:r w:rsidR="00AB0119">
        <w:rPr>
          <w:bCs/>
          <w:iCs/>
          <w:kern w:val="28"/>
        </w:rPr>
        <w:t>XXXXXXXX</w:t>
      </w:r>
    </w:p>
    <w:p w:rsidR="00825173" w:rsidRPr="0079523B" w:rsidRDefault="00825173" w:rsidP="00825173">
      <w:pPr>
        <w:pStyle w:val="Zkladntextodsazen2"/>
        <w:tabs>
          <w:tab w:val="left" w:pos="2160"/>
        </w:tabs>
        <w:spacing w:after="0" w:line="240" w:lineRule="auto"/>
        <w:ind w:left="709"/>
        <w:rPr>
          <w:bCs/>
          <w:iCs/>
          <w:kern w:val="28"/>
        </w:rPr>
      </w:pPr>
      <w:r>
        <w:rPr>
          <w:bCs/>
          <w:iCs/>
          <w:kern w:val="28"/>
        </w:rPr>
        <w:t>M</w:t>
      </w:r>
      <w:r w:rsidRPr="0079523B">
        <w:rPr>
          <w:bCs/>
          <w:iCs/>
          <w:kern w:val="28"/>
        </w:rPr>
        <w:t>ob.</w:t>
      </w:r>
      <w:r>
        <w:rPr>
          <w:bCs/>
          <w:iCs/>
          <w:kern w:val="28"/>
        </w:rPr>
        <w:t xml:space="preserve"> </w:t>
      </w:r>
      <w:proofErr w:type="gramStart"/>
      <w:r>
        <w:rPr>
          <w:bCs/>
          <w:iCs/>
          <w:kern w:val="28"/>
        </w:rPr>
        <w:t>te</w:t>
      </w:r>
      <w:r w:rsidRPr="0079523B">
        <w:rPr>
          <w:bCs/>
          <w:iCs/>
          <w:kern w:val="28"/>
        </w:rPr>
        <w:t>lefon</w:t>
      </w:r>
      <w:proofErr w:type="gramEnd"/>
      <w:r w:rsidRPr="0079523B">
        <w:rPr>
          <w:bCs/>
          <w:iCs/>
          <w:kern w:val="28"/>
        </w:rPr>
        <w:t>:</w:t>
      </w:r>
      <w:r w:rsidR="00EC60B2">
        <w:rPr>
          <w:bCs/>
          <w:iCs/>
          <w:kern w:val="28"/>
        </w:rPr>
        <w:tab/>
      </w:r>
      <w:r w:rsidR="00EC60B2">
        <w:rPr>
          <w:bCs/>
          <w:iCs/>
          <w:kern w:val="28"/>
        </w:rPr>
        <w:tab/>
      </w:r>
      <w:r w:rsidR="00AB0119">
        <w:rPr>
          <w:bCs/>
          <w:iCs/>
          <w:kern w:val="28"/>
        </w:rPr>
        <w:t>XXXXXXXX</w:t>
      </w:r>
    </w:p>
    <w:p w:rsidR="00825173" w:rsidRPr="0079523B" w:rsidRDefault="00825173" w:rsidP="00825173">
      <w:pPr>
        <w:ind w:left="709"/>
        <w:rPr>
          <w:rFonts w:ascii="Times" w:hAnsi="Times"/>
          <w:szCs w:val="15"/>
        </w:rPr>
      </w:pPr>
      <w:r>
        <w:rPr>
          <w:rFonts w:ascii="Times" w:hAnsi="Times"/>
          <w:szCs w:val="15"/>
        </w:rPr>
        <w:t>E</w:t>
      </w:r>
      <w:r w:rsidRPr="0079523B">
        <w:rPr>
          <w:rFonts w:ascii="Times" w:hAnsi="Times"/>
          <w:szCs w:val="15"/>
        </w:rPr>
        <w:t>-mail:</w:t>
      </w:r>
      <w:r w:rsidR="00EC60B2">
        <w:rPr>
          <w:rFonts w:ascii="Times" w:hAnsi="Times"/>
          <w:szCs w:val="15"/>
        </w:rPr>
        <w:tab/>
      </w:r>
      <w:r w:rsidR="00EC60B2">
        <w:rPr>
          <w:rFonts w:ascii="Times" w:hAnsi="Times"/>
          <w:szCs w:val="15"/>
        </w:rPr>
        <w:tab/>
      </w:r>
      <w:r w:rsidR="00AB0119">
        <w:rPr>
          <w:rFonts w:ascii="Times" w:hAnsi="Times"/>
          <w:szCs w:val="15"/>
        </w:rPr>
        <w:t>XXXXXXXX</w:t>
      </w:r>
    </w:p>
    <w:p w:rsidR="00825173" w:rsidRPr="0079523B" w:rsidRDefault="00825173" w:rsidP="00825173">
      <w:pPr>
        <w:pStyle w:val="Zkladntextodsazen2"/>
        <w:tabs>
          <w:tab w:val="left" w:pos="2160"/>
        </w:tabs>
        <w:spacing w:after="0" w:line="240" w:lineRule="auto"/>
        <w:ind w:left="709"/>
        <w:rPr>
          <w:bCs/>
          <w:iCs/>
          <w:kern w:val="28"/>
        </w:rPr>
      </w:pP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Za Dodavatele:</w:t>
      </w:r>
    </w:p>
    <w:p w:rsidR="00825173" w:rsidRPr="0079523B" w:rsidRDefault="00825173" w:rsidP="00825173">
      <w:pPr>
        <w:pStyle w:val="Zkladntextodsazen2"/>
        <w:tabs>
          <w:tab w:val="left" w:pos="2160"/>
        </w:tabs>
        <w:spacing w:after="0" w:line="240" w:lineRule="auto"/>
        <w:ind w:left="709"/>
        <w:rPr>
          <w:bCs/>
          <w:iCs/>
          <w:kern w:val="28"/>
        </w:rPr>
      </w:pPr>
      <w:r w:rsidRPr="0079523B">
        <w:rPr>
          <w:bCs/>
          <w:iCs/>
          <w:kern w:val="28"/>
        </w:rPr>
        <w:t>Jméno a příjmení</w:t>
      </w:r>
      <w:r>
        <w:rPr>
          <w:bCs/>
          <w:iCs/>
          <w:kern w:val="28"/>
        </w:rPr>
        <w:t>:</w:t>
      </w:r>
    </w:p>
    <w:p w:rsidR="00825173" w:rsidRPr="0079523B" w:rsidRDefault="00825173" w:rsidP="00825173">
      <w:pPr>
        <w:pStyle w:val="Zkladntextodsazen2"/>
        <w:tabs>
          <w:tab w:val="left" w:pos="2160"/>
        </w:tabs>
        <w:spacing w:after="0" w:line="240" w:lineRule="auto"/>
        <w:ind w:left="709"/>
        <w:rPr>
          <w:bCs/>
          <w:iCs/>
          <w:kern w:val="28"/>
        </w:rPr>
      </w:pPr>
      <w:r>
        <w:rPr>
          <w:bCs/>
          <w:iCs/>
          <w:kern w:val="28"/>
        </w:rPr>
        <w:t>M</w:t>
      </w:r>
      <w:r w:rsidRPr="0079523B">
        <w:rPr>
          <w:bCs/>
          <w:iCs/>
          <w:kern w:val="28"/>
        </w:rPr>
        <w:t>ob.</w:t>
      </w:r>
      <w:r>
        <w:rPr>
          <w:bCs/>
          <w:iCs/>
          <w:kern w:val="28"/>
        </w:rPr>
        <w:t xml:space="preserve"> </w:t>
      </w:r>
      <w:proofErr w:type="gramStart"/>
      <w:r>
        <w:rPr>
          <w:bCs/>
          <w:iCs/>
          <w:kern w:val="28"/>
        </w:rPr>
        <w:t>te</w:t>
      </w:r>
      <w:r w:rsidRPr="0079523B">
        <w:rPr>
          <w:bCs/>
          <w:iCs/>
          <w:kern w:val="28"/>
        </w:rPr>
        <w:t>le</w:t>
      </w:r>
      <w:r>
        <w:rPr>
          <w:bCs/>
          <w:iCs/>
          <w:kern w:val="28"/>
        </w:rPr>
        <w:t>fon</w:t>
      </w:r>
      <w:proofErr w:type="gramEnd"/>
      <w:r w:rsidRPr="0079523B">
        <w:rPr>
          <w:bCs/>
          <w:iCs/>
          <w:kern w:val="28"/>
        </w:rPr>
        <w:t>:</w:t>
      </w:r>
    </w:p>
    <w:p w:rsidR="00825173" w:rsidRPr="00CD1AAA" w:rsidRDefault="00825173" w:rsidP="00825173">
      <w:pPr>
        <w:ind w:left="709"/>
        <w:rPr>
          <w:rFonts w:ascii="Times" w:hAnsi="Times"/>
          <w:szCs w:val="15"/>
        </w:rPr>
      </w:pPr>
      <w:r>
        <w:rPr>
          <w:rFonts w:ascii="Times" w:hAnsi="Times"/>
          <w:szCs w:val="15"/>
        </w:rPr>
        <w:t>E</w:t>
      </w:r>
      <w:r w:rsidRPr="0079523B">
        <w:rPr>
          <w:rFonts w:ascii="Times" w:hAnsi="Times"/>
          <w:szCs w:val="15"/>
        </w:rPr>
        <w:t>-mail:</w:t>
      </w:r>
    </w:p>
    <w:p w:rsidR="00825173" w:rsidRPr="0079523B" w:rsidRDefault="00825173" w:rsidP="00825173">
      <w:pPr>
        <w:pStyle w:val="Zkladntext"/>
        <w:tabs>
          <w:tab w:val="left" w:pos="851"/>
        </w:tabs>
        <w:spacing w:line="280" w:lineRule="exact"/>
        <w:ind w:left="709"/>
        <w:jc w:val="left"/>
      </w:pPr>
    </w:p>
    <w:p w:rsidR="00825173" w:rsidRPr="0079523B" w:rsidRDefault="00825173" w:rsidP="00825173">
      <w:pPr>
        <w:pStyle w:val="Zkladntext"/>
        <w:tabs>
          <w:tab w:val="left" w:pos="851"/>
        </w:tabs>
        <w:spacing w:line="280" w:lineRule="exact"/>
        <w:jc w:val="left"/>
      </w:pPr>
      <w:r w:rsidRPr="0079523B">
        <w:rPr>
          <w:b/>
        </w:rPr>
        <w:t>Za Zákazníka:</w:t>
      </w:r>
      <w:r w:rsidRPr="0079523B">
        <w:rPr>
          <w:b/>
        </w:rPr>
        <w:tab/>
      </w:r>
      <w:r w:rsidRPr="0079523B">
        <w:rPr>
          <w:b/>
        </w:rPr>
        <w:tab/>
      </w:r>
      <w:r w:rsidRPr="0079523B">
        <w:rPr>
          <w:b/>
        </w:rPr>
        <w:tab/>
      </w:r>
      <w:r w:rsidRPr="0079523B">
        <w:rPr>
          <w:b/>
        </w:rPr>
        <w:tab/>
      </w:r>
      <w:r w:rsidRPr="0079523B">
        <w:rPr>
          <w:b/>
        </w:rPr>
        <w:tab/>
        <w:t>Za Dodavatele:</w:t>
      </w:r>
      <w:r w:rsidRPr="0079523B">
        <w:cr/>
      </w:r>
      <w:r w:rsidRPr="0079523B">
        <w:tab/>
      </w:r>
      <w:r w:rsidRPr="0079523B">
        <w:tab/>
      </w:r>
      <w:r w:rsidRPr="0079523B">
        <w:tab/>
      </w:r>
      <w:r w:rsidRPr="0079523B">
        <w:tab/>
      </w:r>
      <w:r w:rsidRPr="0079523B">
        <w:tab/>
      </w:r>
      <w:r w:rsidRPr="0079523B">
        <w:tab/>
      </w:r>
      <w:r w:rsidRPr="0079523B">
        <w:tab/>
      </w:r>
      <w:proofErr w:type="gramStart"/>
      <w:r w:rsidRPr="0079523B">
        <w:t>E.ON</w:t>
      </w:r>
      <w:proofErr w:type="gramEnd"/>
      <w:r w:rsidRPr="0079523B">
        <w:t xml:space="preserve"> Energie</w:t>
      </w:r>
    </w:p>
    <w:p w:rsidR="00825173" w:rsidRPr="0079523B" w:rsidRDefault="00825173" w:rsidP="00825173">
      <w:pPr>
        <w:pStyle w:val="Zkladntext"/>
        <w:tabs>
          <w:tab w:val="left" w:pos="851"/>
        </w:tabs>
        <w:spacing w:line="280" w:lineRule="exact"/>
        <w:jc w:val="left"/>
      </w:pPr>
      <w:r w:rsidRPr="0079523B">
        <w:cr/>
        <w:t>V </w:t>
      </w:r>
      <w:proofErr w:type="gramStart"/>
      <w:r w:rsidR="00C726D0">
        <w:t>Mikulově</w:t>
      </w:r>
      <w:r>
        <w:rPr>
          <w:noProof/>
          <w:szCs w:val="18"/>
        </w:rPr>
        <w:t xml:space="preserve">     </w:t>
      </w:r>
      <w:r w:rsidRPr="0079523B">
        <w:rPr>
          <w:color w:val="339966"/>
        </w:rPr>
        <w:t xml:space="preserve"> </w:t>
      </w:r>
      <w:r w:rsidRPr="0079523B">
        <w:t xml:space="preserve">     dne</w:t>
      </w:r>
      <w:proofErr w:type="gramEnd"/>
      <w:r w:rsidRPr="0079523B">
        <w:t>:</w:t>
      </w:r>
      <w:r w:rsidR="00C726D0">
        <w:t xml:space="preserve"> </w:t>
      </w:r>
      <w:proofErr w:type="gramStart"/>
      <w:r w:rsidR="00C726D0">
        <w:t>28.12.2016</w:t>
      </w:r>
      <w:proofErr w:type="gramEnd"/>
      <w:r w:rsidRPr="0079523B">
        <w:t xml:space="preserve"> </w:t>
      </w:r>
      <w:r w:rsidR="00C726D0">
        <w:rPr>
          <w:noProof/>
          <w:szCs w:val="18"/>
        </w:rPr>
        <w:t xml:space="preserve">  </w:t>
      </w:r>
      <w:r w:rsidRPr="0079523B">
        <w:tab/>
      </w:r>
      <w:r w:rsidRPr="0079523B">
        <w:tab/>
        <w:t>V </w:t>
      </w:r>
      <w:r>
        <w:t>Brně</w:t>
      </w:r>
      <w:r>
        <w:rPr>
          <w:noProof/>
          <w:szCs w:val="18"/>
        </w:rPr>
        <w:t xml:space="preserve">     </w:t>
      </w:r>
      <w:r w:rsidRPr="0079523B">
        <w:rPr>
          <w:color w:val="339966"/>
        </w:rPr>
        <w:t xml:space="preserve">   </w:t>
      </w:r>
      <w:r w:rsidRPr="0079523B">
        <w:t xml:space="preserve">            dne:</w:t>
      </w:r>
      <w:r>
        <w:t xml:space="preserve"> </w:t>
      </w:r>
      <w:proofErr w:type="gramStart"/>
      <w:r>
        <w:t>20.12.2016</w:t>
      </w:r>
      <w:proofErr w:type="gramEnd"/>
      <w:r w:rsidRPr="0079523B">
        <w:t xml:space="preserve"> </w:t>
      </w:r>
      <w:r>
        <w:rPr>
          <w:noProof/>
          <w:szCs w:val="18"/>
        </w:rPr>
        <w:t xml:space="preserve">     </w:t>
      </w:r>
    </w:p>
    <w:p w:rsidR="00825173" w:rsidRPr="0079523B" w:rsidRDefault="00825173" w:rsidP="00825173">
      <w:pPr>
        <w:tabs>
          <w:tab w:val="left" w:pos="4962"/>
        </w:tabs>
        <w:spacing w:line="280" w:lineRule="exact"/>
      </w:pPr>
      <w:r w:rsidRPr="0079523B">
        <w:t>Osoba oprávněná k podpisu</w:t>
      </w:r>
      <w:r w:rsidRPr="0079523B">
        <w:tab/>
        <w:t>Osoba oprávněná k podpisu</w:t>
      </w:r>
    </w:p>
    <w:p w:rsidR="00825173" w:rsidRPr="0079523B" w:rsidRDefault="00825173" w:rsidP="00825173">
      <w:pPr>
        <w:spacing w:line="280" w:lineRule="exact"/>
      </w:pPr>
      <w:r w:rsidRPr="0079523B">
        <w:t xml:space="preserve">Jméno: </w:t>
      </w:r>
      <w:r>
        <w:rPr>
          <w:noProof/>
          <w:szCs w:val="18"/>
        </w:rPr>
        <w:t xml:space="preserve">     </w:t>
      </w:r>
      <w:r w:rsidRPr="0079523B">
        <w:tab/>
      </w:r>
      <w:r w:rsidR="00AB0119">
        <w:t>XXXXXXXXX</w:t>
      </w:r>
      <w:r w:rsidR="00EC60B2">
        <w:tab/>
      </w:r>
      <w:r w:rsidR="00EC60B2">
        <w:tab/>
      </w:r>
      <w:r w:rsidR="00AB0119">
        <w:tab/>
      </w:r>
      <w:r w:rsidRPr="0079523B">
        <w:t>Jméno:</w:t>
      </w:r>
      <w:r>
        <w:t xml:space="preserve"> </w:t>
      </w:r>
      <w:r w:rsidR="00AB0119">
        <w:rPr>
          <w:noProof/>
          <w:color w:val="000000"/>
          <w:lang w:eastAsia="cs-CZ"/>
        </w:rPr>
        <w:t>XXXXXXXXX</w:t>
      </w:r>
      <w:bookmarkStart w:id="0" w:name="_GoBack"/>
      <w:bookmarkEnd w:id="0"/>
    </w:p>
    <w:p w:rsidR="00825173" w:rsidRPr="0079523B" w:rsidRDefault="00825173" w:rsidP="00825173">
      <w:pPr>
        <w:spacing w:line="280" w:lineRule="exact"/>
      </w:pPr>
      <w:r w:rsidRPr="0079523B">
        <w:t xml:space="preserve">Funkce: </w:t>
      </w:r>
      <w:r>
        <w:rPr>
          <w:noProof/>
          <w:szCs w:val="18"/>
        </w:rPr>
        <w:t xml:space="preserve">     </w:t>
      </w:r>
      <w:r w:rsidRPr="0079523B">
        <w:tab/>
      </w:r>
      <w:r w:rsidR="00EC60B2">
        <w:t>ředitel</w:t>
      </w:r>
      <w:r w:rsidRPr="0079523B">
        <w:tab/>
      </w:r>
      <w:r w:rsidRPr="0079523B">
        <w:tab/>
      </w:r>
      <w:r w:rsidRPr="0079523B">
        <w:tab/>
      </w:r>
      <w:r w:rsidRPr="0079523B">
        <w:tab/>
      </w:r>
      <w:r>
        <w:tab/>
      </w:r>
      <w:r w:rsidRPr="0079523B">
        <w:t xml:space="preserve">Funkce: </w:t>
      </w:r>
      <w:proofErr w:type="spellStart"/>
      <w:r>
        <w:rPr>
          <w:szCs w:val="18"/>
        </w:rPr>
        <w:t>Key</w:t>
      </w:r>
      <w:proofErr w:type="spellEnd"/>
      <w:r>
        <w:rPr>
          <w:szCs w:val="18"/>
        </w:rPr>
        <w:t xml:space="preserve"> </w:t>
      </w:r>
      <w:proofErr w:type="spellStart"/>
      <w:r>
        <w:rPr>
          <w:szCs w:val="18"/>
        </w:rPr>
        <w:t>Account</w:t>
      </w:r>
      <w:proofErr w:type="spellEnd"/>
      <w:r>
        <w:rPr>
          <w:szCs w:val="18"/>
        </w:rPr>
        <w:t xml:space="preserve"> </w:t>
      </w:r>
      <w:proofErr w:type="spellStart"/>
      <w:r>
        <w:rPr>
          <w:szCs w:val="18"/>
        </w:rPr>
        <w:t>Manager</w:t>
      </w:r>
      <w:proofErr w:type="spellEnd"/>
    </w:p>
    <w:p w:rsidR="00825173" w:rsidRPr="0079523B" w:rsidRDefault="00825173" w:rsidP="00825173">
      <w:pPr>
        <w:tabs>
          <w:tab w:val="left" w:pos="5670"/>
        </w:tabs>
        <w:spacing w:line="280" w:lineRule="exact"/>
        <w:ind w:left="180"/>
      </w:pPr>
    </w:p>
    <w:p w:rsidR="00825173" w:rsidRPr="0079523B" w:rsidRDefault="00825173" w:rsidP="00825173">
      <w:pPr>
        <w:tabs>
          <w:tab w:val="left" w:pos="5670"/>
        </w:tabs>
        <w:spacing w:line="280" w:lineRule="exact"/>
        <w:ind w:left="180"/>
      </w:pPr>
    </w:p>
    <w:p w:rsidR="00825173" w:rsidRPr="0079523B" w:rsidRDefault="00825173" w:rsidP="00825173">
      <w:pPr>
        <w:tabs>
          <w:tab w:val="left" w:pos="5670"/>
        </w:tabs>
        <w:spacing w:line="280" w:lineRule="exact"/>
        <w:ind w:left="180"/>
      </w:pPr>
    </w:p>
    <w:tbl>
      <w:tblPr>
        <w:tblW w:w="0" w:type="auto"/>
        <w:tblInd w:w="-16" w:type="dxa"/>
        <w:tblBorders>
          <w:insideH w:val="single" w:sz="4" w:space="0" w:color="auto"/>
          <w:insideV w:val="single" w:sz="4" w:space="0" w:color="auto"/>
        </w:tblBorders>
        <w:tblCellMar>
          <w:left w:w="0" w:type="dxa"/>
          <w:right w:w="0" w:type="dxa"/>
        </w:tblCellMar>
        <w:tblLook w:val="0000" w:firstRow="0" w:lastRow="0" w:firstColumn="0" w:lastColumn="0" w:noHBand="0" w:noVBand="0"/>
      </w:tblPr>
      <w:tblGrid>
        <w:gridCol w:w="3368"/>
        <w:gridCol w:w="1610"/>
        <w:gridCol w:w="4108"/>
      </w:tblGrid>
      <w:tr w:rsidR="00825173" w:rsidRPr="0079523B" w:rsidTr="00803090">
        <w:tc>
          <w:tcPr>
            <w:tcW w:w="3368" w:type="dxa"/>
            <w:tcBorders>
              <w:right w:val="nil"/>
            </w:tcBorders>
          </w:tcPr>
          <w:p w:rsidR="00825173" w:rsidRPr="0079523B" w:rsidRDefault="00825173" w:rsidP="00803090">
            <w:pPr>
              <w:tabs>
                <w:tab w:val="left" w:pos="5670"/>
              </w:tabs>
              <w:spacing w:line="280" w:lineRule="exact"/>
            </w:pPr>
          </w:p>
        </w:tc>
        <w:tc>
          <w:tcPr>
            <w:tcW w:w="1610" w:type="dxa"/>
            <w:tcBorders>
              <w:top w:val="nil"/>
              <w:left w:val="nil"/>
              <w:bottom w:val="nil"/>
              <w:right w:val="nil"/>
            </w:tcBorders>
          </w:tcPr>
          <w:p w:rsidR="00825173" w:rsidRPr="0079523B" w:rsidRDefault="00825173" w:rsidP="00803090">
            <w:pPr>
              <w:tabs>
                <w:tab w:val="left" w:pos="5670"/>
              </w:tabs>
              <w:spacing w:line="280" w:lineRule="exact"/>
            </w:pPr>
          </w:p>
        </w:tc>
        <w:tc>
          <w:tcPr>
            <w:tcW w:w="4108" w:type="dxa"/>
            <w:tcBorders>
              <w:left w:val="nil"/>
            </w:tcBorders>
          </w:tcPr>
          <w:p w:rsidR="00825173" w:rsidRPr="0079523B" w:rsidRDefault="00825173" w:rsidP="00803090">
            <w:pPr>
              <w:tabs>
                <w:tab w:val="left" w:pos="5670"/>
              </w:tabs>
              <w:spacing w:line="280" w:lineRule="exact"/>
            </w:pPr>
          </w:p>
        </w:tc>
      </w:tr>
      <w:tr w:rsidR="00825173" w:rsidRPr="0079523B" w:rsidTr="00803090">
        <w:tc>
          <w:tcPr>
            <w:tcW w:w="3368" w:type="dxa"/>
            <w:tcBorders>
              <w:right w:val="nil"/>
            </w:tcBorders>
          </w:tcPr>
          <w:p w:rsidR="00825173" w:rsidRPr="0079523B" w:rsidRDefault="00825173" w:rsidP="00803090">
            <w:pPr>
              <w:tabs>
                <w:tab w:val="left" w:pos="5670"/>
              </w:tabs>
              <w:spacing w:line="280" w:lineRule="exact"/>
            </w:pPr>
            <w:r w:rsidRPr="0079523B">
              <w:t>Podpis</w:t>
            </w:r>
          </w:p>
        </w:tc>
        <w:tc>
          <w:tcPr>
            <w:tcW w:w="1610" w:type="dxa"/>
            <w:tcBorders>
              <w:top w:val="nil"/>
              <w:left w:val="nil"/>
              <w:bottom w:val="nil"/>
              <w:right w:val="nil"/>
            </w:tcBorders>
          </w:tcPr>
          <w:p w:rsidR="00825173" w:rsidRPr="0079523B" w:rsidRDefault="00825173" w:rsidP="00803090">
            <w:pPr>
              <w:tabs>
                <w:tab w:val="left" w:pos="5670"/>
              </w:tabs>
              <w:spacing w:line="280" w:lineRule="exact"/>
            </w:pPr>
          </w:p>
        </w:tc>
        <w:tc>
          <w:tcPr>
            <w:tcW w:w="4108" w:type="dxa"/>
            <w:tcBorders>
              <w:left w:val="nil"/>
            </w:tcBorders>
          </w:tcPr>
          <w:p w:rsidR="00825173" w:rsidRPr="0079523B" w:rsidRDefault="00825173" w:rsidP="00803090">
            <w:pPr>
              <w:tabs>
                <w:tab w:val="left" w:pos="5670"/>
              </w:tabs>
              <w:spacing w:line="280" w:lineRule="exact"/>
            </w:pPr>
            <w:r w:rsidRPr="0079523B">
              <w:t>Podpis</w:t>
            </w:r>
          </w:p>
        </w:tc>
      </w:tr>
    </w:tbl>
    <w:p w:rsidR="00825173" w:rsidRPr="0079523B" w:rsidRDefault="00825173" w:rsidP="00803090">
      <w:pPr>
        <w:tabs>
          <w:tab w:val="left" w:pos="5670"/>
        </w:tabs>
        <w:spacing w:line="280" w:lineRule="exact"/>
        <w:sectPr w:rsidR="00825173" w:rsidRPr="0079523B" w:rsidSect="00C449B6">
          <w:headerReference w:type="default" r:id="rId9"/>
          <w:footerReference w:type="default" r:id="rId10"/>
          <w:footerReference w:type="first" r:id="rId11"/>
          <w:pgSz w:w="11906" w:h="16838" w:code="9"/>
          <w:pgMar w:top="3005" w:right="1418" w:bottom="1531" w:left="1418" w:header="709" w:footer="567" w:gutter="0"/>
          <w:pgNumType w:start="1"/>
          <w:cols w:space="708"/>
          <w:formProt w:val="0"/>
          <w:titlePg/>
        </w:sectPr>
      </w:pPr>
    </w:p>
    <w:sdt>
      <w:sdtPr>
        <w:rPr>
          <w:b/>
          <w:color w:val="000000" w:themeColor="text1"/>
          <w:sz w:val="28"/>
          <w:szCs w:val="28"/>
          <w:lang w:eastAsia="cs-CZ"/>
        </w:rPr>
        <w:id w:val="1506323221"/>
        <w:lock w:val="contentLocked"/>
        <w:placeholder>
          <w:docPart w:val="69E6B247C9B144E5B343FBBC7CA7B1C1"/>
        </w:placeholder>
      </w:sdtPr>
      <w:sdtEndPr>
        <w:rPr>
          <w:b w:val="0"/>
          <w:color w:val="auto"/>
          <w:sz w:val="24"/>
          <w:szCs w:val="20"/>
          <w:lang w:eastAsia="de-DE"/>
        </w:rPr>
      </w:sdtEndPr>
      <w:sdtContent>
        <w:p w:rsidR="00825173" w:rsidRPr="0079523B" w:rsidRDefault="00825173" w:rsidP="00803090">
          <w:pPr>
            <w:autoSpaceDE w:val="0"/>
            <w:autoSpaceDN w:val="0"/>
            <w:adjustRightInd w:val="0"/>
            <w:spacing w:after="463" w:line="240" w:lineRule="auto"/>
            <w:rPr>
              <w:b/>
              <w:color w:val="000000" w:themeColor="text1"/>
              <w:sz w:val="28"/>
              <w:szCs w:val="28"/>
              <w:lang w:eastAsia="cs-CZ"/>
            </w:rPr>
          </w:pPr>
          <w:r w:rsidRPr="0079523B">
            <w:rPr>
              <w:b/>
              <w:color w:val="000000" w:themeColor="text1"/>
              <w:sz w:val="28"/>
              <w:szCs w:val="28"/>
              <w:lang w:eastAsia="cs-CZ"/>
            </w:rPr>
            <w:t>Obchodní podmínky dodávky plynu (dále jen „OPDP“)</w:t>
          </w:r>
        </w:p>
        <w:p w:rsidR="00825173" w:rsidRPr="0079523B" w:rsidRDefault="00825173" w:rsidP="00803090">
          <w:pPr>
            <w:spacing w:line="240" w:lineRule="auto"/>
            <w:rPr>
              <w:b/>
              <w:color w:val="000000" w:themeColor="text1"/>
              <w:sz w:val="14"/>
              <w:szCs w:val="14"/>
            </w:rPr>
            <w:sectPr w:rsidR="00825173" w:rsidRPr="0079523B">
              <w:footerReference w:type="even" r:id="rId12"/>
              <w:pgSz w:w="11906" w:h="16838"/>
              <w:pgMar w:top="1417" w:right="1417" w:bottom="1417" w:left="1417" w:header="708" w:footer="708" w:gutter="0"/>
              <w:cols w:space="708"/>
              <w:docGrid w:linePitch="360"/>
            </w:sectPr>
          </w:pPr>
        </w:p>
        <w:p w:rsidR="00825173" w:rsidRPr="0079523B" w:rsidRDefault="00825173" w:rsidP="00803090">
          <w:pPr>
            <w:spacing w:line="240" w:lineRule="auto"/>
            <w:rPr>
              <w:color w:val="000000" w:themeColor="text1"/>
              <w:sz w:val="14"/>
              <w:szCs w:val="14"/>
            </w:rPr>
          </w:pPr>
          <w:r w:rsidRPr="0079523B">
            <w:rPr>
              <w:color w:val="000000" w:themeColor="text1"/>
              <w:sz w:val="14"/>
              <w:szCs w:val="14"/>
            </w:rPr>
            <w:lastRenderedPageBreak/>
            <w:t xml:space="preserve">1. </w:t>
          </w:r>
          <w:r w:rsidRPr="0079523B">
            <w:rPr>
              <w:b/>
              <w:color w:val="000000" w:themeColor="text1"/>
              <w:sz w:val="14"/>
              <w:szCs w:val="14"/>
            </w:rPr>
            <w:t>Obecná ustanovení</w:t>
          </w:r>
        </w:p>
        <w:p w:rsidR="00825173" w:rsidRPr="007A6ABD" w:rsidRDefault="00825173" w:rsidP="00825173">
          <w:pPr>
            <w:pStyle w:val="Zkladntext2"/>
            <w:numPr>
              <w:ilvl w:val="1"/>
              <w:numId w:val="8"/>
            </w:numPr>
            <w:tabs>
              <w:tab w:val="left" w:pos="709"/>
            </w:tabs>
            <w:spacing w:line="240" w:lineRule="auto"/>
            <w:ind w:left="284" w:hanging="284"/>
            <w:jc w:val="both"/>
            <w:rPr>
              <w:b w:val="0"/>
              <w:color w:val="000000" w:themeColor="text1"/>
              <w:sz w:val="14"/>
              <w:szCs w:val="14"/>
            </w:rPr>
          </w:pPr>
          <w:r w:rsidRPr="0079523B">
            <w:rPr>
              <w:b w:val="0"/>
              <w:color w:val="000000" w:themeColor="text1"/>
              <w:sz w:val="14"/>
              <w:szCs w:val="14"/>
            </w:rPr>
            <w:t xml:space="preserve">Tyto OPDP upravují další práva a povinnosti založené Smlouvou o dodávce plynu nebo Smlouvou o sdružených službách dodávky plynu (dále jen „Smlouva“), uzavřenou mezi společností E. ON Energie, a. s., se sídlem F. A. Gerstnera 2151/6, 370 49 České Budějovice, IČ: 26078201, zapsanou v OR vedeném u KS v Českých Budějovicích, v oddíle B, vložka 1390 (dále jen „Dodavatel“) a Zákazníkem kategorie střední odběratel nebo velkoodběratel, uvedeným ve Smlouvě. Pokud se v OPDP hovoří o Smlouvě, je vždy uvažována jako jeden celek společně s OPDP, nevylučuje-li to povaha příslušného ustanovení Smlouvy nebo OPDP. </w:t>
          </w:r>
        </w:p>
        <w:p w:rsidR="00825173" w:rsidRPr="0079523B" w:rsidRDefault="00825173" w:rsidP="00825173">
          <w:pPr>
            <w:pStyle w:val="Odstavecseseznamem"/>
            <w:numPr>
              <w:ilvl w:val="1"/>
              <w:numId w:val="8"/>
            </w:numPr>
            <w:autoSpaceDE w:val="0"/>
            <w:autoSpaceDN w:val="0"/>
            <w:adjustRightInd w:val="0"/>
            <w:ind w:left="284" w:hanging="284"/>
            <w:jc w:val="both"/>
            <w:rPr>
              <w:color w:val="000000" w:themeColor="text1"/>
              <w:sz w:val="14"/>
              <w:szCs w:val="14"/>
            </w:rPr>
          </w:pPr>
          <w:r w:rsidRPr="0079523B">
            <w:rPr>
              <w:color w:val="000000" w:themeColor="text1"/>
              <w:sz w:val="14"/>
              <w:szCs w:val="14"/>
            </w:rPr>
            <w:t>Dodavatel a Zákazník se zavazují při plnění Smlouvy postupovat v souladu s těmito OPDP a dále platným a účinným zněním Řádu provozovatele distribuční soustavy, ke které je Zákazník připojen, a Řádu provozovatele přepravní soustavy, právními předpisy a technickými normami.</w:t>
          </w:r>
        </w:p>
        <w:p w:rsidR="00825173" w:rsidRPr="0079523B" w:rsidRDefault="00825173" w:rsidP="00803090">
          <w:pPr>
            <w:tabs>
              <w:tab w:val="left" w:pos="0"/>
              <w:tab w:val="left" w:pos="426"/>
            </w:tabs>
            <w:autoSpaceDE w:val="0"/>
            <w:autoSpaceDN w:val="0"/>
            <w:adjustRightInd w:val="0"/>
            <w:spacing w:line="240" w:lineRule="auto"/>
            <w:jc w:val="both"/>
            <w:rPr>
              <w:b/>
              <w:color w:val="000000" w:themeColor="text1"/>
              <w:sz w:val="14"/>
              <w:szCs w:val="14"/>
            </w:rPr>
          </w:pPr>
        </w:p>
        <w:p w:rsidR="00825173" w:rsidRPr="0079523B" w:rsidRDefault="00825173" w:rsidP="00803090">
          <w:pPr>
            <w:spacing w:line="240" w:lineRule="auto"/>
            <w:rPr>
              <w:b/>
              <w:color w:val="000000" w:themeColor="text1"/>
              <w:sz w:val="14"/>
              <w:szCs w:val="14"/>
            </w:rPr>
          </w:pPr>
          <w:r w:rsidRPr="0079523B">
            <w:rPr>
              <w:b/>
              <w:color w:val="000000" w:themeColor="text1"/>
              <w:sz w:val="14"/>
              <w:szCs w:val="14"/>
            </w:rPr>
            <w:t>2. Práva a povinnosti smluvních stran</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lang w:eastAsia="cs-CZ"/>
            </w:rPr>
          </w:pPr>
          <w:r>
            <w:rPr>
              <w:color w:val="000000" w:themeColor="text1"/>
              <w:sz w:val="14"/>
              <w:szCs w:val="14"/>
              <w:lang w:eastAsia="cs-CZ"/>
            </w:rPr>
            <w:t>2.1</w:t>
          </w:r>
          <w:r>
            <w:rPr>
              <w:color w:val="000000" w:themeColor="text1"/>
              <w:sz w:val="14"/>
              <w:szCs w:val="14"/>
              <w:lang w:eastAsia="cs-CZ"/>
            </w:rPr>
            <w:tab/>
          </w:r>
          <w:r w:rsidRPr="0079523B">
            <w:rPr>
              <w:color w:val="000000" w:themeColor="text1"/>
              <w:sz w:val="14"/>
              <w:szCs w:val="14"/>
              <w:lang w:eastAsia="cs-CZ"/>
            </w:rPr>
            <w:t>Dodavatel se zavazuje zahájit dodávku plynu neprodleně po provedení všech úkonů nezbytných k zahájení dodávky, pokud Zákazník splnil všechny podmínky pro její zahájení.</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lang w:eastAsia="cs-CZ"/>
            </w:rPr>
          </w:pPr>
          <w:r w:rsidRPr="0079523B">
            <w:rPr>
              <w:color w:val="000000" w:themeColor="text1"/>
              <w:sz w:val="14"/>
              <w:szCs w:val="14"/>
              <w:lang w:eastAsia="cs-CZ"/>
            </w:rPr>
            <w:t>2.2</w:t>
          </w:r>
          <w:r w:rsidRPr="0079523B">
            <w:rPr>
              <w:color w:val="000000" w:themeColor="text1"/>
              <w:sz w:val="14"/>
              <w:szCs w:val="14"/>
              <w:lang w:eastAsia="cs-CZ"/>
            </w:rPr>
            <w:tab/>
            <w:t>Ke dni zahájení dodávky plynu se Dodavatel zavazuje převzít odpovědnost za odchylku. Tento závazek je Dodavatel povinen plnit pouze za předpokladu plnění závazku Zákazníka dle odst. 2.3 těchto OPDP.</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lang w:eastAsia="cs-CZ"/>
            </w:rPr>
          </w:pPr>
          <w:r w:rsidRPr="0079523B">
            <w:rPr>
              <w:color w:val="000000" w:themeColor="text1"/>
              <w:sz w:val="14"/>
              <w:szCs w:val="14"/>
              <w:lang w:eastAsia="cs-CZ"/>
            </w:rPr>
            <w:t>2.3</w:t>
          </w:r>
          <w:r w:rsidRPr="0079523B">
            <w:rPr>
              <w:color w:val="000000" w:themeColor="text1"/>
              <w:sz w:val="14"/>
              <w:szCs w:val="14"/>
              <w:lang w:eastAsia="cs-CZ"/>
            </w:rPr>
            <w:tab/>
            <w:t>Zákazník se zavazuje po celou dobu plnění Smlouvy neodebírat plyn v odběrném místě uvedeném ve Smlouvě (dále jen „OM“) od jiného účastníka trhu s plynem.</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lang w:eastAsia="cs-CZ"/>
            </w:rPr>
          </w:pPr>
          <w:r w:rsidRPr="0079523B">
            <w:rPr>
              <w:color w:val="000000" w:themeColor="text1"/>
              <w:sz w:val="14"/>
              <w:szCs w:val="14"/>
              <w:lang w:eastAsia="cs-CZ"/>
            </w:rPr>
            <w:t>2.4</w:t>
          </w:r>
          <w:r w:rsidRPr="0079523B">
            <w:rPr>
              <w:color w:val="000000" w:themeColor="text1"/>
              <w:sz w:val="14"/>
              <w:szCs w:val="14"/>
              <w:lang w:eastAsia="cs-CZ"/>
            </w:rPr>
            <w:tab/>
            <w:t>Množství a časový průběh odběru plynu pro OM sjednává Zákazník s Dodavatelem ve Smlouvě nebo v příloze Smlouvy.</w:t>
          </w:r>
        </w:p>
        <w:p w:rsidR="00825173" w:rsidRPr="007A6ABD" w:rsidRDefault="00825173" w:rsidP="00825173">
          <w:pPr>
            <w:pStyle w:val="Odstavecseseznamem"/>
            <w:numPr>
              <w:ilvl w:val="1"/>
              <w:numId w:val="13"/>
            </w:numPr>
            <w:autoSpaceDE w:val="0"/>
            <w:autoSpaceDN w:val="0"/>
            <w:adjustRightInd w:val="0"/>
            <w:ind w:left="284" w:hanging="284"/>
            <w:jc w:val="both"/>
            <w:rPr>
              <w:color w:val="000000" w:themeColor="text1"/>
              <w:sz w:val="14"/>
              <w:szCs w:val="14"/>
            </w:rPr>
          </w:pPr>
          <w:r w:rsidRPr="0079523B">
            <w:rPr>
              <w:color w:val="000000" w:themeColor="text1"/>
              <w:sz w:val="14"/>
              <w:szCs w:val="14"/>
            </w:rPr>
            <w:t>Zákazník, jehož OM je opatřeno průběhovým měřením, sjednává v případě uzavřené Smlouvy o sdružených službách dodávky plynu výši roční, případně měsíční nebo klouzavé rezervované kapacity. Zákazník má v průběhu trvání Smlouvy o sdružených službách dodávky plynu právo požádat Dodavatele o změnu rezervované kapacity roční nebo měsíční nejpozději do konce 7. pracovního dne a klouzavé do konce 2. pracovního dne před obdobím, od kterého má nová hodnota rezervované kapacity platit, a to prostřednictvím internetové služby E.ON Zákaznický portál, formou písemné žádosti, případně jiným ve Smlouvě dohodnutým způsobem. Dodavatelem schválený požadavek se stává součástí Smlouvy.</w:t>
          </w:r>
        </w:p>
        <w:p w:rsidR="00825173" w:rsidRPr="007A6ABD" w:rsidRDefault="00825173" w:rsidP="00825173">
          <w:pPr>
            <w:pStyle w:val="Odstavecseseznamem"/>
            <w:numPr>
              <w:ilvl w:val="1"/>
              <w:numId w:val="13"/>
            </w:numPr>
            <w:autoSpaceDE w:val="0"/>
            <w:autoSpaceDN w:val="0"/>
            <w:adjustRightInd w:val="0"/>
            <w:ind w:left="284" w:hanging="284"/>
            <w:jc w:val="both"/>
            <w:rPr>
              <w:color w:val="000000" w:themeColor="text1"/>
              <w:sz w:val="14"/>
              <w:szCs w:val="14"/>
            </w:rPr>
          </w:pPr>
          <w:r w:rsidRPr="0079523B">
            <w:rPr>
              <w:color w:val="000000" w:themeColor="text1"/>
              <w:sz w:val="14"/>
              <w:szCs w:val="14"/>
            </w:rPr>
            <w:t>Zákazník se zavazuje v případě neočekávané události (havárie odběrného plynového zařízení, havárie výrobního zařízení) mající vliv na jeho odběr plynu, bez zbytečného odkladu od jejího zjištění tuto skutečnost oznámit Dodavateli. V případě očekávané události (plánované opravy, celozávodní dovolené), která má vliv na jeho odběr plynu, se Zákazník zavazuje do 10 dnů před jejím počátkem tuto skutečnost oznámit Dodavateli. Pro tyto účely se vždy za událost považuje každá výrazná mezidenní změna denního odběru (více jak 1,5násobná), která není vyvolaná změnou venkovních teplot nebo začátkem a ukončením víkendů a státem uznaných svátků.</w:t>
          </w:r>
        </w:p>
        <w:p w:rsidR="00825173" w:rsidRPr="007A6ABD" w:rsidRDefault="00825173" w:rsidP="00825173">
          <w:pPr>
            <w:pStyle w:val="Odstavecseseznamem"/>
            <w:numPr>
              <w:ilvl w:val="1"/>
              <w:numId w:val="13"/>
            </w:numPr>
            <w:autoSpaceDE w:val="0"/>
            <w:autoSpaceDN w:val="0"/>
            <w:adjustRightInd w:val="0"/>
            <w:ind w:left="284" w:hanging="284"/>
            <w:jc w:val="both"/>
            <w:rPr>
              <w:color w:val="000000" w:themeColor="text1"/>
              <w:sz w:val="14"/>
              <w:szCs w:val="14"/>
            </w:rPr>
          </w:pPr>
          <w:r w:rsidRPr="0079523B">
            <w:rPr>
              <w:color w:val="000000" w:themeColor="text1"/>
              <w:sz w:val="14"/>
              <w:szCs w:val="14"/>
            </w:rPr>
            <w:t>Zákazník se zavazuje Dodavateli poskytnout na požádání aktuální účetní závěrku obsahující rozvahu a výkaz zisku a ztráty v plném rozsahu. Tato data budou sloužit Dodavateli výhradně k analýze důvěryhodnosti a kredibility Zákazníka.</w:t>
          </w:r>
        </w:p>
        <w:p w:rsidR="00825173" w:rsidRPr="0079523B" w:rsidRDefault="00825173" w:rsidP="00803090">
          <w:pPr>
            <w:tabs>
              <w:tab w:val="num" w:pos="426"/>
            </w:tabs>
            <w:autoSpaceDE w:val="0"/>
            <w:autoSpaceDN w:val="0"/>
            <w:adjustRightInd w:val="0"/>
            <w:spacing w:line="240" w:lineRule="auto"/>
            <w:ind w:left="284" w:hanging="284"/>
            <w:jc w:val="both"/>
            <w:rPr>
              <w:color w:val="000000" w:themeColor="text1"/>
              <w:sz w:val="14"/>
              <w:szCs w:val="14"/>
            </w:rPr>
          </w:pPr>
          <w:r w:rsidRPr="0079523B">
            <w:rPr>
              <w:color w:val="000000" w:themeColor="text1"/>
              <w:sz w:val="14"/>
              <w:szCs w:val="14"/>
              <w:lang w:eastAsia="cs-CZ"/>
            </w:rPr>
            <w:t>2.8</w:t>
          </w:r>
          <w:r w:rsidRPr="0079523B">
            <w:rPr>
              <w:color w:val="000000" w:themeColor="text1"/>
              <w:sz w:val="14"/>
              <w:szCs w:val="14"/>
              <w:lang w:eastAsia="cs-CZ"/>
            </w:rPr>
            <w:tab/>
          </w:r>
          <w:r w:rsidRPr="0079523B">
            <w:rPr>
              <w:color w:val="000000" w:themeColor="text1"/>
              <w:sz w:val="14"/>
              <w:szCs w:val="14"/>
            </w:rPr>
            <w:t>Při předcházení stavu nouze, ve stavu nouze a při odstraňování následků stavu nouze se Zákazník zavazuje dodržovat opatření (zejména omezení spotřeby nebo změny dodávek plynu), která pro tyto situace stanoví příslušný provozovatel distribuční soustavy (dále jen „PDS“) v souladu s příslušnými právními předpisy.</w:t>
          </w:r>
        </w:p>
        <w:p w:rsidR="00825173" w:rsidRPr="0079523B" w:rsidRDefault="00825173" w:rsidP="00825173">
          <w:pPr>
            <w:pStyle w:val="Zkladntext2"/>
            <w:numPr>
              <w:ilvl w:val="1"/>
              <w:numId w:val="15"/>
            </w:numPr>
            <w:spacing w:line="240" w:lineRule="auto"/>
            <w:ind w:left="284" w:hanging="284"/>
            <w:jc w:val="both"/>
            <w:rPr>
              <w:b w:val="0"/>
              <w:color w:val="000000" w:themeColor="text1"/>
              <w:sz w:val="14"/>
              <w:szCs w:val="14"/>
            </w:rPr>
          </w:pPr>
          <w:r w:rsidRPr="0079523B">
            <w:rPr>
              <w:b w:val="0"/>
              <w:color w:val="000000" w:themeColor="text1"/>
              <w:sz w:val="14"/>
              <w:szCs w:val="14"/>
            </w:rPr>
            <w:t>Jestliže Zákazník požaduje dodávku plynu osvobozeného od daně ze zemního plynu, je povinen splnit pro takovou dodávku veškeré podmínky požadované příslušným právním předpisem a podle potřeby toto splnění podmínek hodnověrně doložit Dodavateli. Zároveň je Zákazník povinen oznámit a doložit bez zbytečného odkladu skutečnosti, které mají nebo mohou mít vliv na změnu povinností Dodavatele v souvislosti s daní ze zemního plynu. Jestliže Zákazník hodlá nabýt plyn osvobozený od daně v případech, kdy jej lze takto nabýt pouze na základě povolení k nabytí plynu bez daně (případně jiného dokumentu), je povinen tento dokument vždy předložit Dodavateli, a to včetně jeho změn. Zákazník se zavazuje uhradit Dodavateli veškeré náklady, které mu vzniknou na základě nebo v souvislosti s porušením povinnostíZákazníka, uvedené v tomto odstavci (zejména náklady za uložené sankce).</w:t>
          </w:r>
        </w:p>
        <w:p w:rsidR="00825173" w:rsidRPr="0079523B" w:rsidRDefault="00825173" w:rsidP="00803090">
          <w:pPr>
            <w:tabs>
              <w:tab w:val="left" w:pos="0"/>
              <w:tab w:val="left" w:pos="426"/>
            </w:tabs>
            <w:autoSpaceDE w:val="0"/>
            <w:autoSpaceDN w:val="0"/>
            <w:adjustRightInd w:val="0"/>
            <w:spacing w:line="240" w:lineRule="auto"/>
            <w:jc w:val="both"/>
            <w:rPr>
              <w:b/>
              <w:color w:val="000000" w:themeColor="text1"/>
              <w:sz w:val="14"/>
              <w:szCs w:val="14"/>
            </w:rPr>
          </w:pPr>
        </w:p>
        <w:p w:rsidR="00825173" w:rsidRPr="0079523B" w:rsidRDefault="00825173" w:rsidP="00803090">
          <w:pPr>
            <w:tabs>
              <w:tab w:val="left" w:pos="0"/>
              <w:tab w:val="left" w:pos="426"/>
            </w:tabs>
            <w:autoSpaceDE w:val="0"/>
            <w:autoSpaceDN w:val="0"/>
            <w:adjustRightInd w:val="0"/>
            <w:spacing w:line="240" w:lineRule="auto"/>
            <w:jc w:val="both"/>
            <w:rPr>
              <w:b/>
              <w:color w:val="000000" w:themeColor="text1"/>
              <w:sz w:val="14"/>
              <w:szCs w:val="14"/>
            </w:rPr>
          </w:pPr>
          <w:r w:rsidRPr="0079523B">
            <w:rPr>
              <w:b/>
              <w:color w:val="000000" w:themeColor="text1"/>
              <w:sz w:val="14"/>
              <w:szCs w:val="14"/>
            </w:rPr>
            <w:t>3. Měření a provádění odečtů</w:t>
          </w:r>
        </w:p>
        <w:p w:rsidR="00825173" w:rsidRPr="007A6ABD" w:rsidRDefault="00825173" w:rsidP="00825173">
          <w:pPr>
            <w:pStyle w:val="Zkladntext2"/>
            <w:numPr>
              <w:ilvl w:val="0"/>
              <w:numId w:val="9"/>
            </w:numPr>
            <w:spacing w:line="240" w:lineRule="auto"/>
            <w:ind w:left="284" w:hanging="284"/>
            <w:jc w:val="both"/>
            <w:rPr>
              <w:b w:val="0"/>
              <w:color w:val="000000" w:themeColor="text1"/>
              <w:sz w:val="14"/>
              <w:szCs w:val="14"/>
            </w:rPr>
          </w:pPr>
          <w:r w:rsidRPr="0079523B">
            <w:rPr>
              <w:b w:val="0"/>
              <w:color w:val="000000" w:themeColor="text1"/>
              <w:sz w:val="14"/>
              <w:szCs w:val="14"/>
            </w:rPr>
            <w:t xml:space="preserve">Pro určení výše odběru plynu se použijí údaje poskytnuté PDS. V případě, že tyto údaje nejsou k dispozici, množství odebraného plynu určí Dodavatel způsobem stanoveným právními předpisy. Měření odběru plynu je prováděno měřicím zařízením ve vlastnictví PDS, který zodpovídá za správnost naměřených údajů. V případě pochybností o </w:t>
          </w:r>
          <w:r w:rsidRPr="0079523B">
            <w:rPr>
              <w:b w:val="0"/>
              <w:color w:val="000000" w:themeColor="text1"/>
              <w:sz w:val="14"/>
              <w:szCs w:val="14"/>
            </w:rPr>
            <w:lastRenderedPageBreak/>
            <w:t>správnosti měření bude vždy za správný považován ten údaj, který potvrdí PDS.</w:t>
          </w:r>
        </w:p>
        <w:p w:rsidR="00825173" w:rsidRPr="007A6ABD" w:rsidRDefault="00825173" w:rsidP="00825173">
          <w:pPr>
            <w:pStyle w:val="Zkladntext2"/>
            <w:numPr>
              <w:ilvl w:val="0"/>
              <w:numId w:val="9"/>
            </w:numPr>
            <w:spacing w:line="240" w:lineRule="auto"/>
            <w:ind w:left="284" w:hanging="284"/>
            <w:jc w:val="both"/>
            <w:rPr>
              <w:b w:val="0"/>
              <w:color w:val="000000" w:themeColor="text1"/>
              <w:sz w:val="14"/>
              <w:szCs w:val="14"/>
            </w:rPr>
          </w:pPr>
          <w:r w:rsidRPr="0079523B">
            <w:rPr>
              <w:b w:val="0"/>
              <w:color w:val="000000" w:themeColor="text1"/>
              <w:sz w:val="14"/>
              <w:szCs w:val="14"/>
            </w:rPr>
            <w:t xml:space="preserve">Zákazník je povinen v souladu s právními předpisy umožnit přístup příslušnému PDS k měřicímu zařízení (např. za účelem jeho odečtu, kontroly, montáže, výměny, demontáže nebo údržby). Zákazník se zavazuje uhradit Dodavateli veškeré náklady, které mu vzniknou na základě nebo v souvislosti s porušením povinností Zákazníka, uvedené v tomto odstavci. </w:t>
          </w:r>
        </w:p>
        <w:p w:rsidR="00825173" w:rsidRPr="0079523B" w:rsidRDefault="00825173" w:rsidP="00825173">
          <w:pPr>
            <w:pStyle w:val="Zkladntext2"/>
            <w:numPr>
              <w:ilvl w:val="1"/>
              <w:numId w:val="10"/>
            </w:numPr>
            <w:spacing w:line="240" w:lineRule="auto"/>
            <w:ind w:left="284" w:hanging="284"/>
            <w:rPr>
              <w:b w:val="0"/>
              <w:color w:val="000000" w:themeColor="text1"/>
              <w:sz w:val="14"/>
              <w:szCs w:val="14"/>
            </w:rPr>
          </w:pPr>
          <w:r w:rsidRPr="0079523B">
            <w:rPr>
              <w:b w:val="0"/>
              <w:color w:val="000000" w:themeColor="text1"/>
              <w:sz w:val="14"/>
              <w:szCs w:val="14"/>
            </w:rPr>
            <w:t>Zákazník je povinen bez zbytečného odkladu oznámit Dodavateli porušení měřicího zařízení nebo zajištění proti neoprávněné manipulaci, případně jinou událost mající vliv na řádnou funkci měřicího zařízení.</w:t>
          </w:r>
        </w:p>
        <w:p w:rsidR="00825173" w:rsidRPr="0079523B" w:rsidRDefault="00825173" w:rsidP="00803090">
          <w:pPr>
            <w:tabs>
              <w:tab w:val="left" w:pos="0"/>
              <w:tab w:val="left" w:pos="426"/>
            </w:tabs>
            <w:autoSpaceDE w:val="0"/>
            <w:autoSpaceDN w:val="0"/>
            <w:adjustRightInd w:val="0"/>
            <w:spacing w:line="240" w:lineRule="auto"/>
            <w:jc w:val="both"/>
            <w:rPr>
              <w:color w:val="000000" w:themeColor="text1"/>
              <w:sz w:val="14"/>
              <w:szCs w:val="14"/>
              <w:lang w:eastAsia="cs-CZ"/>
            </w:rPr>
          </w:pPr>
        </w:p>
        <w:p w:rsidR="00825173" w:rsidRPr="0079523B" w:rsidRDefault="00825173" w:rsidP="00803090">
          <w:pPr>
            <w:tabs>
              <w:tab w:val="left" w:pos="0"/>
              <w:tab w:val="left" w:pos="426"/>
            </w:tabs>
            <w:autoSpaceDE w:val="0"/>
            <w:autoSpaceDN w:val="0"/>
            <w:adjustRightInd w:val="0"/>
            <w:spacing w:line="240" w:lineRule="auto"/>
            <w:jc w:val="both"/>
            <w:rPr>
              <w:color w:val="000000" w:themeColor="text1"/>
              <w:sz w:val="14"/>
              <w:szCs w:val="14"/>
              <w:lang w:eastAsia="cs-CZ"/>
            </w:rPr>
          </w:pPr>
          <w:r w:rsidRPr="0079523B">
            <w:rPr>
              <w:color w:val="000000" w:themeColor="text1"/>
              <w:sz w:val="14"/>
              <w:szCs w:val="14"/>
            </w:rPr>
            <w:t>4</w:t>
          </w:r>
          <w:r w:rsidRPr="0079523B">
            <w:rPr>
              <w:b/>
              <w:color w:val="000000" w:themeColor="text1"/>
              <w:sz w:val="14"/>
              <w:szCs w:val="14"/>
            </w:rPr>
            <w:t>. Platební podmínky</w:t>
          </w:r>
        </w:p>
        <w:p w:rsidR="00825173" w:rsidRPr="007A6ABD" w:rsidRDefault="00825173" w:rsidP="00825173">
          <w:pPr>
            <w:pStyle w:val="Zkladntext2"/>
            <w:numPr>
              <w:ilvl w:val="1"/>
              <w:numId w:val="11"/>
            </w:numPr>
            <w:tabs>
              <w:tab w:val="left" w:pos="426"/>
            </w:tabs>
            <w:spacing w:after="120" w:line="240" w:lineRule="auto"/>
            <w:ind w:left="284" w:hanging="284"/>
            <w:contextualSpacing/>
            <w:jc w:val="both"/>
            <w:rPr>
              <w:b w:val="0"/>
              <w:color w:val="000000" w:themeColor="text1"/>
              <w:sz w:val="14"/>
              <w:szCs w:val="14"/>
            </w:rPr>
          </w:pPr>
          <w:r w:rsidRPr="0079523B">
            <w:rPr>
              <w:b w:val="0"/>
              <w:color w:val="000000" w:themeColor="text1"/>
              <w:sz w:val="14"/>
              <w:szCs w:val="14"/>
            </w:rPr>
            <w:t>V případě uzavřené Smlouvy o sdružených službách dodávky plynu se Zákazník zavazuje zaplatit Dodavateli za poskytovaná plnění cenu za dodávku plynu stanovenou Smlouvou a dále cenu za související služby v plynárenství, uplatňovanou v souladu s cenovou regulací, a rovněž všechny daně (daň ze zemního plynu, daň z přidané hodnoty, případně spotřební daně či jiné nepřímé daně v souladu s platnými právními předpisy) a ostatní platby stanovené příslušnými právními předpisy (dále jen „Celková cena“).  V případě uzavřené Smlouvy o dodávce plynu se Zákazník zavazuje zaplatit Dodavateli celkovou cenu vyjma ceny za související služby v plynárenství, uplatňovanou v souladu s cenovou regulací.</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Vyúčtování Celkové ceny bude provedeno příslušným platebním dokladem (dále jen „faktura“), a to vždy za každé fakturační období. </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Fakturačním obdobím je jeden kalendářní měsíc.</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Faktury jsou splatné 14 dnů od data jejich vystavení, není-li ve Smlouvě sjednáno jinak. </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Faktura bude Dodavatelem vystavena a zaslána Zákazníkovi dle Zákazníkem zvolené formy v listinné nebo elektronické podobě. Má-li Zákazník sjednáno zasílání faktur v elektronické podobě, vyhrazuje si Dodavatel v odůvodněných případech právo zasílat faktury Zákazníkovi v listinné podobě.</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Zákazník se zavazuje platit Dodavateli za poskytovaná plnění zálohy, a to způsobem uvedeným ve Smlouvě.</w:t>
          </w:r>
        </w:p>
        <w:p w:rsidR="00825173" w:rsidRPr="007A6ABD" w:rsidRDefault="00825173" w:rsidP="00825173">
          <w:pPr>
            <w:pStyle w:val="Zkladntext2"/>
            <w:numPr>
              <w:ilvl w:val="1"/>
              <w:numId w:val="11"/>
            </w:numPr>
            <w:tabs>
              <w:tab w:val="left" w:pos="426"/>
              <w:tab w:val="left" w:pos="567"/>
            </w:tabs>
            <w:autoSpaceDE w:val="0"/>
            <w:autoSpaceDN w:val="0"/>
            <w:adjustRightInd w:val="0"/>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Pokud je dodáván plyn s daní ze zemního plynu, sjednává se výše záloh s daní ze zemního plynu bez DPH, zvýšená o příslušnou DPH. Pokud je dodáván plyn osvobozený od daně ze zemního plynu, sjednává se výše záloh bez daně ze zemního plynu a bez DPH, zvýšená o příslušnou DPH. </w:t>
          </w:r>
        </w:p>
        <w:p w:rsidR="00825173" w:rsidRPr="007A6ABD" w:rsidRDefault="00825173" w:rsidP="00825173">
          <w:pPr>
            <w:pStyle w:val="Zkladntext2"/>
            <w:numPr>
              <w:ilvl w:val="1"/>
              <w:numId w:val="11"/>
            </w:numPr>
            <w:tabs>
              <w:tab w:val="left" w:pos="426"/>
              <w:tab w:val="left" w:pos="567"/>
            </w:tabs>
            <w:autoSpaceDE w:val="0"/>
            <w:autoSpaceDN w:val="0"/>
            <w:adjustRightInd w:val="0"/>
            <w:spacing w:line="240" w:lineRule="auto"/>
            <w:ind w:left="284" w:hanging="284"/>
            <w:contextualSpacing/>
            <w:jc w:val="both"/>
            <w:rPr>
              <w:b w:val="0"/>
              <w:color w:val="000000" w:themeColor="text1"/>
              <w:sz w:val="14"/>
              <w:szCs w:val="14"/>
            </w:rPr>
          </w:pPr>
          <w:r w:rsidRPr="0079523B">
            <w:rPr>
              <w:b w:val="0"/>
              <w:color w:val="000000" w:themeColor="text1"/>
              <w:sz w:val="14"/>
              <w:szCs w:val="14"/>
            </w:rPr>
            <w:t>O výši záloh je Zákazník informován ve faktuře nebo jiným dohodnutým způsobem.</w:t>
          </w:r>
        </w:p>
        <w:p w:rsidR="00825173" w:rsidRPr="007A6ABD" w:rsidRDefault="00825173" w:rsidP="00825173">
          <w:pPr>
            <w:pStyle w:val="Zkladntext2"/>
            <w:numPr>
              <w:ilvl w:val="1"/>
              <w:numId w:val="11"/>
            </w:numPr>
            <w:tabs>
              <w:tab w:val="left" w:pos="426"/>
            </w:tabs>
            <w:spacing w:after="120" w:line="240" w:lineRule="auto"/>
            <w:ind w:left="284" w:hanging="284"/>
            <w:contextualSpacing/>
            <w:jc w:val="both"/>
            <w:rPr>
              <w:b w:val="0"/>
              <w:color w:val="000000" w:themeColor="text1"/>
              <w:sz w:val="14"/>
              <w:szCs w:val="14"/>
            </w:rPr>
          </w:pPr>
          <w:r w:rsidRPr="0079523B">
            <w:rPr>
              <w:b w:val="0"/>
              <w:color w:val="000000" w:themeColor="text1"/>
              <w:sz w:val="14"/>
              <w:szCs w:val="14"/>
            </w:rPr>
            <w:t>V případě, že na základě vyúčtování Celkové ceny je zjištěn doplatek, Zákazník jej uhradí na základě faktury a ve lhůtě uvedené ve faktuře. V případě, že je na základě vyúčtování Celkové ceny zjištěn přeplatek, bude tento přeplatek vrácen Dodavatelem na základě faktury vystavené Dodavatelem, a to způsobem a ve lhůtě uvedené ve faktuře.</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Veškeré peněžité závazky Zákazníka jsou hrazeny pouze bezhotovostní formou (prostřednictvím poskytovatele platebních služeb) a jsou považovány za splněné okamžikem připsání celé dlužné částky na bankovní účet Dodavatele a pod variabilním symbolem, který je uveden v příslušném platebním dokladu (např. faktura, předpis záloh, upomínka), na jehož základě je tato</w:t>
          </w:r>
        </w:p>
        <w:p w:rsidR="00825173" w:rsidRPr="006973AA"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částka účtována. V případě, že platební doklad nebude obsahovat číslo účtu, je Zákazník povinen uhradit platbu ve prospěch čísla účtu Dodavatele, uvedeného ve Smlouvě. Konstantní symboly budou používány dle platných bankovních pravidel. V případě změny bankovního účtu bude o této změně Zákazník zároveň písemně informován.</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jiný účet, jehož číslo bylo Dodavateli oznámeno Zákazníkem v souladu s touto Smlouvou. V ostatních případech se peněžité závazky Dodavatele považují za splněné okamžikem doručení peněžní poukázky na dlužnou částku Zákazníkovi.</w:t>
          </w:r>
          <w:r w:rsidRPr="007A6ABD">
            <w:rPr>
              <w:b w:val="0"/>
              <w:color w:val="000000" w:themeColor="text1"/>
              <w:sz w:val="14"/>
              <w:szCs w:val="14"/>
            </w:rPr>
            <w:t xml:space="preserve"> </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Pokud Zákazník poukáže platbu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poukázané a označené platby.</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Na platby za poskytovaná plnění do více OM jednoho Zákazníka, která mají stejná bankovní spojení a způsob úhrady plateb, může vyhotovit Dodavatel po dohodě se Zákazníkem sloučenou fakturu.</w:t>
          </w:r>
        </w:p>
        <w:p w:rsidR="00825173" w:rsidRPr="007A6ABD" w:rsidRDefault="00825173" w:rsidP="00825173">
          <w:pPr>
            <w:pStyle w:val="Zkladntext2"/>
            <w:numPr>
              <w:ilvl w:val="1"/>
              <w:numId w:val="11"/>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V případě prodlení s plněním peněžitých závazků se smluvní strana, která je v prodlení, zavazuje uhradit druhé smluvní straně úrok z prodlení ve výši 0,05 % z nesplacené částky za každý započatý den prodlení, není-li ve Smlouvě sjednáno jinak.</w:t>
          </w:r>
        </w:p>
        <w:p w:rsidR="00825173" w:rsidRPr="007A6ABD" w:rsidRDefault="00825173" w:rsidP="00825173">
          <w:pPr>
            <w:pStyle w:val="Zkladntext2"/>
            <w:numPr>
              <w:ilvl w:val="1"/>
              <w:numId w:val="11"/>
            </w:numPr>
            <w:spacing w:line="240" w:lineRule="auto"/>
            <w:ind w:left="284" w:hanging="284"/>
            <w:contextualSpacing/>
            <w:jc w:val="both"/>
            <w:rPr>
              <w:b w:val="0"/>
              <w:color w:val="000000" w:themeColor="text1"/>
              <w:sz w:val="14"/>
              <w:szCs w:val="14"/>
            </w:rPr>
          </w:pPr>
          <w:r w:rsidRPr="0079523B">
            <w:rPr>
              <w:b w:val="0"/>
              <w:color w:val="000000" w:themeColor="text1"/>
              <w:sz w:val="14"/>
              <w:szCs w:val="14"/>
            </w:rPr>
            <w:lastRenderedPageBreak/>
            <w:t xml:space="preserve"> Termín splatnosti úroku z prodlení je 14 dnů od vystavení jeho vyúčtování.</w:t>
          </w:r>
        </w:p>
        <w:p w:rsidR="00825173" w:rsidRPr="007A6ABD" w:rsidRDefault="00825173" w:rsidP="00825173">
          <w:pPr>
            <w:pStyle w:val="Zkladntext2"/>
            <w:numPr>
              <w:ilvl w:val="1"/>
              <w:numId w:val="11"/>
            </w:numPr>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Počet dnů prodlení v případě pozdní úhrady zálohy bude počítán ode dne následujícího po splatnosti předepsané zálohy do data její úhrady, nejdéle však do data splatnosti faktury za období, kterého se záloha týkala.</w:t>
          </w:r>
        </w:p>
        <w:p w:rsidR="00825173" w:rsidRPr="0079523B" w:rsidRDefault="00825173" w:rsidP="00825173">
          <w:pPr>
            <w:pStyle w:val="Zkladntext2"/>
            <w:numPr>
              <w:ilvl w:val="1"/>
              <w:numId w:val="11"/>
            </w:numPr>
            <w:spacing w:line="240" w:lineRule="auto"/>
            <w:ind w:left="284" w:hanging="284"/>
            <w:contextualSpacing/>
            <w:jc w:val="both"/>
            <w:rPr>
              <w:b w:val="0"/>
              <w:color w:val="000000" w:themeColor="text1"/>
              <w:sz w:val="14"/>
              <w:szCs w:val="14"/>
            </w:rPr>
          </w:pPr>
          <w:r w:rsidRPr="0079523B">
            <w:rPr>
              <w:b w:val="0"/>
              <w:color w:val="000000" w:themeColor="text1"/>
              <w:sz w:val="14"/>
              <w:szCs w:val="14"/>
            </w:rPr>
            <w:t xml:space="preserve"> V případě, že je na Zákazníka zahájeno insolvenční řízení, stávají se dnem podání insolvenčního návrhu splatnými všechny stávající pohledávky Dodavatele za Zákazníkem.</w:t>
          </w:r>
        </w:p>
        <w:p w:rsidR="00825173" w:rsidRPr="0079523B" w:rsidRDefault="00825173" w:rsidP="00803090">
          <w:pPr>
            <w:pStyle w:val="Zkladntext2"/>
            <w:tabs>
              <w:tab w:val="left" w:pos="426"/>
            </w:tabs>
            <w:spacing w:line="240" w:lineRule="auto"/>
            <w:contextualSpacing/>
            <w:jc w:val="both"/>
            <w:rPr>
              <w:color w:val="000000" w:themeColor="text1"/>
              <w:sz w:val="14"/>
              <w:szCs w:val="14"/>
            </w:rPr>
          </w:pPr>
        </w:p>
        <w:p w:rsidR="00825173" w:rsidRPr="0079523B" w:rsidRDefault="00825173" w:rsidP="00803090">
          <w:pPr>
            <w:pStyle w:val="Zkladntext2"/>
            <w:tabs>
              <w:tab w:val="left" w:pos="426"/>
            </w:tabs>
            <w:spacing w:line="240" w:lineRule="auto"/>
            <w:contextualSpacing/>
            <w:jc w:val="both"/>
            <w:rPr>
              <w:color w:val="000000" w:themeColor="text1"/>
              <w:sz w:val="14"/>
              <w:szCs w:val="14"/>
            </w:rPr>
          </w:pPr>
          <w:r w:rsidRPr="0079523B">
            <w:rPr>
              <w:color w:val="000000" w:themeColor="text1"/>
              <w:sz w:val="14"/>
              <w:szCs w:val="14"/>
            </w:rPr>
            <w:t>5. Zánik smlouvy, přerušení nebo ukončení dodávky</w:t>
          </w:r>
        </w:p>
        <w:p w:rsidR="00825173" w:rsidRPr="006973AA" w:rsidRDefault="00825173" w:rsidP="00825173">
          <w:pPr>
            <w:pStyle w:val="Zkladntext2"/>
            <w:numPr>
              <w:ilvl w:val="1"/>
              <w:numId w:val="14"/>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Smlouva může být ukončena dohodou smluvních stran.</w:t>
          </w:r>
        </w:p>
        <w:p w:rsidR="00825173" w:rsidRPr="006973AA" w:rsidRDefault="00825173" w:rsidP="00825173">
          <w:pPr>
            <w:pStyle w:val="Zkladntext2"/>
            <w:numPr>
              <w:ilvl w:val="1"/>
              <w:numId w:val="14"/>
            </w:numPr>
            <w:tabs>
              <w:tab w:val="left" w:pos="426"/>
            </w:tabs>
            <w:spacing w:line="240" w:lineRule="auto"/>
            <w:ind w:left="284" w:hanging="284"/>
            <w:contextualSpacing/>
            <w:jc w:val="both"/>
            <w:rPr>
              <w:b w:val="0"/>
              <w:color w:val="000000" w:themeColor="text1"/>
              <w:sz w:val="14"/>
              <w:szCs w:val="14"/>
            </w:rPr>
          </w:pPr>
          <w:r w:rsidRPr="0079523B">
            <w:rPr>
              <w:b w:val="0"/>
              <w:color w:val="000000" w:themeColor="text1"/>
              <w:sz w:val="14"/>
              <w:szCs w:val="14"/>
            </w:rPr>
            <w:t>Dodavatel je oprávněn ukončit nebo přerušit dodávku plynu Zákazníkovi při neoprávněném odběru plynu.</w:t>
          </w:r>
        </w:p>
        <w:p w:rsidR="00825173" w:rsidRPr="006973AA" w:rsidRDefault="00825173" w:rsidP="00825173">
          <w:pPr>
            <w:pStyle w:val="Odstavecseseznamem"/>
            <w:numPr>
              <w:ilvl w:val="1"/>
              <w:numId w:val="14"/>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Každá ze smluvních stran je oprávněna odstoupit od Smlouvy v případě neplnění smluvních povinností druhé smluvní strany.</w:t>
          </w:r>
        </w:p>
        <w:p w:rsidR="00825173" w:rsidRPr="006973AA" w:rsidRDefault="00825173" w:rsidP="00825173">
          <w:pPr>
            <w:pStyle w:val="Odstavecseseznamem"/>
            <w:numPr>
              <w:ilvl w:val="1"/>
              <w:numId w:val="14"/>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Smluvní strany se dohodly, že v případě přerušení dodávky plynu z důvodu neoprávněného odběru plynu vzniká Dodavateli právo odstoupit od Smlouvy.</w:t>
          </w:r>
        </w:p>
        <w:p w:rsidR="00825173" w:rsidRPr="006973AA" w:rsidRDefault="00825173" w:rsidP="00825173">
          <w:pPr>
            <w:pStyle w:val="Odstavecseseznamem"/>
            <w:numPr>
              <w:ilvl w:val="1"/>
              <w:numId w:val="14"/>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Odstoupení od Smlouvy musí být učiněno písemně a je účinné k poslednímu dni kalendářního měsíce, ve kterém bylo doručeno druhé smluvní straně, pokud odstupující smluvní strana neuvede pozdější datum.</w:t>
          </w:r>
        </w:p>
        <w:p w:rsidR="00825173" w:rsidRPr="006973AA" w:rsidRDefault="00825173" w:rsidP="00825173">
          <w:pPr>
            <w:pStyle w:val="Odstavecseseznamem"/>
            <w:numPr>
              <w:ilvl w:val="1"/>
              <w:numId w:val="14"/>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Přerušení nebo ukončení dodávky plynu provede PDS na žádost Dodavatele. Zákazník se v této souvislosti zavazuje uhradit Dodavateli veškeré náklady, které mu vznikly buď přímo nebo v souvislosti s přerušením, ukončením dodávky plynu nebo opětovným obnovením dodávky plynu do OM.</w:t>
          </w:r>
        </w:p>
        <w:p w:rsidR="00825173" w:rsidRPr="006973AA" w:rsidRDefault="00825173" w:rsidP="00825173">
          <w:pPr>
            <w:pStyle w:val="Odstavecseseznamem"/>
            <w:numPr>
              <w:ilvl w:val="1"/>
              <w:numId w:val="14"/>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Ke dni zániku Smlouvy zanikají veškerá práva a povinnosti smluvních stran z této Smlouvy vyplývající, s výjimkou těch závazků obsažených v jejích ustanoveních, z jejichž povahy vyplývá, že mají trvat i nadále.</w:t>
          </w:r>
        </w:p>
        <w:p w:rsidR="00825173" w:rsidRPr="0079523B" w:rsidRDefault="00825173" w:rsidP="00825173">
          <w:pPr>
            <w:numPr>
              <w:ilvl w:val="1"/>
              <w:numId w:val="14"/>
            </w:numPr>
            <w:autoSpaceDE w:val="0"/>
            <w:autoSpaceDN w:val="0"/>
            <w:adjustRightInd w:val="0"/>
            <w:spacing w:line="240" w:lineRule="auto"/>
            <w:ind w:left="284" w:hanging="284"/>
            <w:rPr>
              <w:color w:val="000000" w:themeColor="text1"/>
              <w:sz w:val="14"/>
              <w:szCs w:val="14"/>
            </w:rPr>
          </w:pPr>
          <w:r w:rsidRPr="0079523B">
            <w:rPr>
              <w:color w:val="000000" w:themeColor="text1"/>
              <w:sz w:val="14"/>
              <w:szCs w:val="14"/>
            </w:rPr>
            <w:t xml:space="preserve">Práva a povinnosti smluvních stran, založené Smlouvou, přechází na případné právní nástupce smluvních stran.  </w:t>
          </w:r>
        </w:p>
        <w:p w:rsidR="00825173" w:rsidRPr="0079523B" w:rsidRDefault="00825173" w:rsidP="00803090">
          <w:pPr>
            <w:pStyle w:val="Zkladntext2"/>
            <w:tabs>
              <w:tab w:val="left" w:pos="426"/>
            </w:tabs>
            <w:spacing w:line="240" w:lineRule="auto"/>
            <w:ind w:left="360" w:hanging="360"/>
            <w:contextualSpacing/>
            <w:rPr>
              <w:rFonts w:eastAsiaTheme="minorHAnsi"/>
              <w:color w:val="000000" w:themeColor="text1"/>
              <w:sz w:val="14"/>
              <w:szCs w:val="14"/>
              <w:lang w:eastAsia="en-US"/>
            </w:rPr>
          </w:pPr>
        </w:p>
        <w:p w:rsidR="00825173" w:rsidRPr="0079523B" w:rsidRDefault="00825173" w:rsidP="00803090">
          <w:pPr>
            <w:pStyle w:val="Zkladntext2"/>
            <w:tabs>
              <w:tab w:val="left" w:pos="426"/>
            </w:tabs>
            <w:spacing w:line="240" w:lineRule="auto"/>
            <w:contextualSpacing/>
            <w:rPr>
              <w:rFonts w:eastAsiaTheme="minorHAnsi"/>
              <w:color w:val="000000" w:themeColor="text1"/>
              <w:sz w:val="14"/>
              <w:szCs w:val="14"/>
              <w:lang w:eastAsia="en-US"/>
            </w:rPr>
          </w:pPr>
          <w:r w:rsidRPr="0079523B">
            <w:rPr>
              <w:rFonts w:eastAsiaTheme="minorHAnsi"/>
              <w:color w:val="000000" w:themeColor="text1"/>
              <w:sz w:val="14"/>
              <w:szCs w:val="14"/>
              <w:lang w:eastAsia="en-US"/>
            </w:rPr>
            <w:t>6. Ustanovení přechodná a závěrečná</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rPr>
          </w:pPr>
          <w:r w:rsidRPr="0079523B">
            <w:rPr>
              <w:color w:val="000000" w:themeColor="text1"/>
              <w:sz w:val="14"/>
              <w:szCs w:val="14"/>
            </w:rPr>
            <w:t>6.1</w:t>
          </w:r>
          <w:r w:rsidRPr="0079523B">
            <w:rPr>
              <w:color w:val="000000" w:themeColor="text1"/>
              <w:sz w:val="14"/>
              <w:szCs w:val="14"/>
            </w:rPr>
            <w:tab/>
            <w:t>Smluvní strany se vzájemně zavazují, že budou chránit a utajovat před třetími osobami důvěrné informace. Žádná ze smluvních stran bez písemného souhlasu druhé smluvní strany neposkytne informace o obsahu této Smlouvy, s výjimkou veřejně publikovaných informací, a to ani v dílčím rozsahu třetí straně, s výjimkou osob ovládajících a osob ovládaných stejnou ovládající osobou ve smyslu zákona č. 90/2012 Sb., o obchodních korporacích.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 informací.</w:t>
          </w:r>
        </w:p>
        <w:p w:rsidR="00825173" w:rsidRPr="0079523B" w:rsidRDefault="00825173" w:rsidP="00803090">
          <w:pPr>
            <w:autoSpaceDE w:val="0"/>
            <w:autoSpaceDN w:val="0"/>
            <w:adjustRightInd w:val="0"/>
            <w:spacing w:line="240" w:lineRule="auto"/>
            <w:ind w:left="284" w:hanging="284"/>
            <w:jc w:val="both"/>
            <w:rPr>
              <w:color w:val="000000" w:themeColor="text1"/>
              <w:sz w:val="14"/>
              <w:szCs w:val="14"/>
            </w:rPr>
          </w:pPr>
          <w:r w:rsidRPr="0079523B">
            <w:rPr>
              <w:color w:val="000000" w:themeColor="text1"/>
              <w:sz w:val="14"/>
              <w:szCs w:val="14"/>
            </w:rPr>
            <w:t>6.2</w:t>
          </w:r>
          <w:r w:rsidRPr="0079523B">
            <w:rPr>
              <w:color w:val="000000" w:themeColor="text1"/>
              <w:sz w:val="14"/>
              <w:szCs w:val="14"/>
            </w:rPr>
            <w:tab/>
            <w:t>Právní vztahy smluvních stran se řídí českým právem.</w:t>
          </w:r>
        </w:p>
        <w:p w:rsidR="00825173" w:rsidRDefault="00825173" w:rsidP="00803090">
          <w:pPr>
            <w:autoSpaceDE w:val="0"/>
            <w:autoSpaceDN w:val="0"/>
            <w:adjustRightInd w:val="0"/>
            <w:spacing w:line="240" w:lineRule="auto"/>
            <w:ind w:left="284" w:hanging="284"/>
            <w:jc w:val="both"/>
            <w:rPr>
              <w:color w:val="000000" w:themeColor="text1"/>
              <w:sz w:val="14"/>
              <w:szCs w:val="14"/>
            </w:rPr>
          </w:pPr>
          <w:r w:rsidRPr="0079523B">
            <w:rPr>
              <w:color w:val="000000" w:themeColor="text1"/>
              <w:sz w:val="14"/>
              <w:szCs w:val="14"/>
            </w:rPr>
            <w:t>6.3</w:t>
          </w:r>
          <w:r w:rsidRPr="0079523B">
            <w:rPr>
              <w:color w:val="000000" w:themeColor="text1"/>
              <w:sz w:val="14"/>
              <w:szCs w:val="14"/>
            </w:rPr>
            <w:tab/>
            <w:t>Smlouva může být měněna nebo doplňována pouze písemnými dodatky, podepsanými k tomu oprávněnými zástupci smluvních stran, není-li ve Smlouvě sjednáno jinak. K návrhu dodatku jsou smluvní strany povinny vyjádřit se do 30 dnů od jeho obdržení. Po tutéž dobu je návrhem dodatku vázána strana, která jej odeslala, není-li v návrhu uvedeno ji</w:t>
          </w:r>
          <w:r>
            <w:rPr>
              <w:color w:val="000000" w:themeColor="text1"/>
              <w:sz w:val="14"/>
              <w:szCs w:val="14"/>
            </w:rPr>
            <w:t>nak</w:t>
          </w: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Default="00825173" w:rsidP="00803090">
          <w:pPr>
            <w:autoSpaceDE w:val="0"/>
            <w:autoSpaceDN w:val="0"/>
            <w:adjustRightInd w:val="0"/>
            <w:spacing w:line="240" w:lineRule="auto"/>
            <w:ind w:left="284" w:hanging="284"/>
            <w:jc w:val="both"/>
            <w:rPr>
              <w:color w:val="000000" w:themeColor="text1"/>
              <w:sz w:val="14"/>
              <w:szCs w:val="14"/>
            </w:rPr>
          </w:pPr>
        </w:p>
        <w:p w:rsidR="00825173" w:rsidRPr="0079523B" w:rsidRDefault="00825173" w:rsidP="00803090">
          <w:pPr>
            <w:autoSpaceDE w:val="0"/>
            <w:autoSpaceDN w:val="0"/>
            <w:adjustRightInd w:val="0"/>
            <w:spacing w:line="240" w:lineRule="auto"/>
            <w:ind w:left="284" w:hanging="284"/>
            <w:jc w:val="both"/>
            <w:rPr>
              <w:color w:val="000000" w:themeColor="text1"/>
              <w:sz w:val="14"/>
              <w:szCs w:val="14"/>
            </w:rPr>
          </w:pPr>
        </w:p>
        <w:p w:rsidR="00825173" w:rsidRPr="00797202" w:rsidRDefault="00825173" w:rsidP="00825173">
          <w:pPr>
            <w:pStyle w:val="Odstavecseseznamem"/>
            <w:numPr>
              <w:ilvl w:val="1"/>
              <w:numId w:val="12"/>
            </w:numPr>
            <w:autoSpaceDE w:val="0"/>
            <w:autoSpaceDN w:val="0"/>
            <w:adjustRightInd w:val="0"/>
            <w:ind w:left="284" w:hanging="284"/>
            <w:jc w:val="both"/>
            <w:rPr>
              <w:color w:val="000000" w:themeColor="text1"/>
              <w:sz w:val="14"/>
              <w:szCs w:val="14"/>
            </w:rPr>
          </w:pPr>
          <w:r w:rsidRPr="0079523B">
            <w:rPr>
              <w:color w:val="000000" w:themeColor="text1"/>
              <w:sz w:val="14"/>
              <w:szCs w:val="14"/>
            </w:rPr>
            <w:t>Změnu výše záloh, cyklu záloh, způsobu zasílání faktur a způsobu úhrady faktur nebo záloh lze provést dohodou smluvních stran, vedle způsobu uvedeného v odst. 6.3, také elektronicky prostým e-mailem, nahrávaným telefonním hovorem u Dodavatele nebo prostřednictvím internetové služby E.ON Zákaznický portál</w:t>
          </w:r>
        </w:p>
        <w:p w:rsidR="00825173" w:rsidRPr="0049102F" w:rsidRDefault="00825173" w:rsidP="00825173">
          <w:pPr>
            <w:pStyle w:val="Odstavecseseznamem"/>
            <w:numPr>
              <w:ilvl w:val="1"/>
              <w:numId w:val="12"/>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Smluvní údaje mohou být upraveny prostřednictvím internetové služby E.ON Zákaznický portál nebo na základě jednostranného oznámení provedeného v písemné formě, prostým e-mailem nebo nahrávaným telefonním hovorem u Dodavatele, a to v případech, kdy dochází ke změně bankovního spojení, telefonního čísla, mobilního čísla, čísla faxu nebo e-mailu, nebo adresy pro doručování Zákazníka</w:t>
          </w:r>
        </w:p>
        <w:p w:rsidR="00825173" w:rsidRPr="006973AA" w:rsidRDefault="00825173" w:rsidP="00825173">
          <w:pPr>
            <w:pStyle w:val="Odstavecseseznamem"/>
            <w:numPr>
              <w:ilvl w:val="1"/>
              <w:numId w:val="12"/>
            </w:numPr>
            <w:tabs>
              <w:tab w:val="left" w:pos="426"/>
            </w:tabs>
            <w:autoSpaceDE w:val="0"/>
            <w:autoSpaceDN w:val="0"/>
            <w:adjustRightInd w:val="0"/>
            <w:ind w:left="284" w:hanging="284"/>
            <w:jc w:val="both"/>
            <w:rPr>
              <w:color w:val="000000" w:themeColor="text1"/>
              <w:sz w:val="14"/>
              <w:szCs w:val="14"/>
            </w:rPr>
          </w:pPr>
          <w:r w:rsidRPr="0079523B">
            <w:rPr>
              <w:color w:val="000000" w:themeColor="text1"/>
              <w:sz w:val="14"/>
              <w:szCs w:val="14"/>
            </w:rPr>
            <w:t xml:space="preserve">Zákazník je povinen Dodavateli bez zbytečného odkladu oznámit změnu svých identifikačních (komunikačních) údajů.  </w:t>
          </w:r>
        </w:p>
        <w:p w:rsidR="00825173" w:rsidRPr="006973AA"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color w:val="000000" w:themeColor="text1"/>
              <w:sz w:val="14"/>
              <w:szCs w:val="14"/>
            </w:rPr>
            <w:t>V případě pochybností se za doručení písemnosti příslušné smluvní straně považuje její předání do dispoziční sféry této smluvní strany, kterým se rozumí i umístění písemnosti anebo oznámení o jejím uložení u držitele poštovní licence do náležitě označené poštovní schránky této smluvní strany. Smluvní strany zároveň výslovně sjednávají, že každá písemnost se považuje za doručenou druhé smluvní straně 15. den ode dne jejího prokazatelného odeslání smluvní stranou na zasílací adresu druhé smluvní strany, uvedenou ve Smlouvě, pokud k jejímu doručení prokazatelně nedojde dříve dle předchozí věty.</w:t>
          </w:r>
        </w:p>
        <w:p w:rsidR="00825173" w:rsidRPr="006973AA"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color w:val="000000" w:themeColor="text1"/>
              <w:sz w:val="14"/>
              <w:szCs w:val="14"/>
            </w:rPr>
            <w:t>Ve smyslu ustanovení § 89a občanského soudního řádu se obě smluvní strany dohodly, že v případě řešení sporů soudní cestou bude místně příslušným soudem Okresní soud v Českých Budějovicích, popř. Krajský soud v Českých Budějovicích.</w:t>
          </w:r>
        </w:p>
        <w:p w:rsidR="00825173" w:rsidRPr="006973AA"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color w:val="000000" w:themeColor="text1"/>
              <w:sz w:val="14"/>
              <w:szCs w:val="14"/>
            </w:rPr>
            <w:t>V případě rozporu mezi Smlouvou a těmito OPDP mají přednost ustanovení Smlouvy.</w:t>
          </w:r>
        </w:p>
        <w:p w:rsidR="00825173" w:rsidRPr="006973AA"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color w:val="000000" w:themeColor="text1"/>
              <w:sz w:val="14"/>
              <w:szCs w:val="14"/>
            </w:rPr>
            <w:t xml:space="preserve"> Je-li nebo stane-li se některé ustanovení Smlouvy neplatné či neúčinné, nedotýká se to ostatních ustanovení, která zůstávají platná a účinná. Smluvní strany se v tomto případě zavazují dohodou nahradit ustanovení neplatné / neúčinné novým ustanovením platným / účinným, které nejlépe odpovídá původně zamýšlenému ekonomickému účelu ustanovení neplatného / neúčinného. Do té doby platí odpovídající úprava obecně závazných právních předpisů České republiky.</w:t>
          </w:r>
        </w:p>
        <w:p w:rsidR="00825173" w:rsidRPr="006973AA"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sz w:val="14"/>
              <w:szCs w:val="14"/>
            </w:rPr>
            <w:t xml:space="preserve"> Tyto OPDP nenahrazují obchodní podmínky, které jsou součástí smluv uzavřených do 31. 12. 2015.</w:t>
          </w:r>
        </w:p>
        <w:p w:rsidR="00825173" w:rsidRPr="0079523B" w:rsidRDefault="00825173" w:rsidP="00825173">
          <w:pPr>
            <w:pStyle w:val="Odstavecseseznamem"/>
            <w:numPr>
              <w:ilvl w:val="1"/>
              <w:numId w:val="12"/>
            </w:numPr>
            <w:autoSpaceDE w:val="0"/>
            <w:autoSpaceDN w:val="0"/>
            <w:adjustRightInd w:val="0"/>
            <w:ind w:left="284" w:hanging="284"/>
            <w:rPr>
              <w:color w:val="000000" w:themeColor="text1"/>
              <w:sz w:val="14"/>
              <w:szCs w:val="14"/>
            </w:rPr>
          </w:pPr>
          <w:r w:rsidRPr="0079523B">
            <w:rPr>
              <w:color w:val="000000" w:themeColor="text1"/>
              <w:sz w:val="14"/>
              <w:szCs w:val="14"/>
            </w:rPr>
            <w:t xml:space="preserve"> Tyto OPDP nabývají účinnosti dnem 1. 1. 2016.</w:t>
          </w:r>
        </w:p>
        <w:p w:rsidR="00825173" w:rsidRPr="0079523B" w:rsidRDefault="00825173" w:rsidP="00803090">
          <w:pPr>
            <w:pStyle w:val="Zkladntext2"/>
            <w:tabs>
              <w:tab w:val="left" w:pos="426"/>
            </w:tabs>
            <w:spacing w:line="240" w:lineRule="auto"/>
            <w:contextualSpacing/>
            <w:rPr>
              <w:rFonts w:eastAsiaTheme="minorHAnsi"/>
              <w:b w:val="0"/>
              <w:color w:val="000000" w:themeColor="text1"/>
              <w:sz w:val="14"/>
              <w:szCs w:val="14"/>
              <w:lang w:eastAsia="en-US"/>
            </w:rPr>
          </w:pPr>
        </w:p>
        <w:p w:rsidR="00825173" w:rsidRPr="0079523B" w:rsidRDefault="00825173" w:rsidP="00803090">
          <w:pPr>
            <w:pStyle w:val="Zkladntext2"/>
            <w:tabs>
              <w:tab w:val="left" w:pos="426"/>
            </w:tabs>
            <w:spacing w:line="240" w:lineRule="auto"/>
            <w:ind w:left="360" w:hanging="360"/>
            <w:contextualSpacing/>
            <w:rPr>
              <w:rFonts w:eastAsiaTheme="minorHAnsi"/>
              <w:b w:val="0"/>
              <w:color w:val="000000" w:themeColor="text1"/>
              <w:sz w:val="14"/>
              <w:szCs w:val="14"/>
              <w:lang w:eastAsia="en-US"/>
            </w:rPr>
          </w:pPr>
          <w:r w:rsidRPr="0079523B">
            <w:rPr>
              <w:rFonts w:eastAsiaTheme="minorHAnsi"/>
              <w:b w:val="0"/>
              <w:color w:val="000000" w:themeColor="text1"/>
              <w:sz w:val="14"/>
              <w:szCs w:val="14"/>
              <w:lang w:eastAsia="en-US"/>
            </w:rPr>
            <w:t>V Českých Budějovicích dne 15. 12. 2015</w:t>
          </w:r>
        </w:p>
        <w:p w:rsidR="00825173" w:rsidRPr="0079523B" w:rsidRDefault="00825173" w:rsidP="00803090">
          <w:pPr>
            <w:pStyle w:val="Zkladntext2"/>
            <w:tabs>
              <w:tab w:val="left" w:pos="426"/>
            </w:tabs>
            <w:spacing w:line="240" w:lineRule="auto"/>
            <w:ind w:left="360" w:hanging="360"/>
            <w:contextualSpacing/>
            <w:rPr>
              <w:rFonts w:eastAsiaTheme="minorHAnsi"/>
              <w:b w:val="0"/>
              <w:color w:val="000000" w:themeColor="text1"/>
              <w:sz w:val="14"/>
              <w:szCs w:val="14"/>
              <w:lang w:eastAsia="en-US"/>
            </w:rPr>
          </w:pPr>
        </w:p>
        <w:p w:rsidR="00825173" w:rsidRPr="0079523B" w:rsidRDefault="00825173" w:rsidP="00803090">
          <w:pPr>
            <w:pStyle w:val="Zkladntext2"/>
            <w:tabs>
              <w:tab w:val="left" w:pos="426"/>
            </w:tabs>
            <w:spacing w:line="240" w:lineRule="auto"/>
            <w:ind w:left="360" w:hanging="360"/>
            <w:contextualSpacing/>
            <w:rPr>
              <w:rFonts w:eastAsiaTheme="minorHAnsi"/>
              <w:b w:val="0"/>
              <w:color w:val="000000" w:themeColor="text1"/>
              <w:sz w:val="14"/>
              <w:szCs w:val="14"/>
              <w:lang w:eastAsia="en-US"/>
            </w:rPr>
          </w:pPr>
        </w:p>
        <w:p w:rsidR="00825173" w:rsidRPr="006E3DFA" w:rsidRDefault="00825173" w:rsidP="00803090">
          <w:pPr>
            <w:pStyle w:val="Zkladntext2"/>
            <w:tabs>
              <w:tab w:val="left" w:pos="426"/>
            </w:tabs>
            <w:spacing w:line="240" w:lineRule="auto"/>
            <w:ind w:left="360" w:hanging="360"/>
            <w:contextualSpacing/>
            <w:rPr>
              <w:rFonts w:eastAsiaTheme="minorHAnsi"/>
              <w:b w:val="0"/>
              <w:color w:val="000000" w:themeColor="text1"/>
              <w:sz w:val="14"/>
              <w:szCs w:val="14"/>
              <w:lang w:eastAsia="en-US"/>
            </w:rPr>
          </w:pPr>
          <w:r w:rsidRPr="0079523B">
            <w:rPr>
              <w:rFonts w:eastAsiaTheme="minorHAnsi"/>
              <w:b w:val="0"/>
              <w:color w:val="000000" w:themeColor="text1"/>
              <w:sz w:val="14"/>
              <w:szCs w:val="14"/>
              <w:lang w:eastAsia="en-US"/>
            </w:rPr>
            <w:t>Představenstvo E.ON Energie, a.s.</w:t>
          </w:r>
        </w:p>
        <w:p w:rsidR="00825173" w:rsidRPr="006E3DFA" w:rsidRDefault="00825173" w:rsidP="00803090">
          <w:pPr>
            <w:pStyle w:val="Zkladntext2"/>
            <w:tabs>
              <w:tab w:val="left" w:pos="426"/>
            </w:tabs>
            <w:spacing w:line="240" w:lineRule="auto"/>
            <w:contextualSpacing/>
            <w:rPr>
              <w:rFonts w:eastAsiaTheme="minorHAnsi"/>
              <w:b w:val="0"/>
              <w:color w:val="000000" w:themeColor="text1"/>
              <w:sz w:val="14"/>
              <w:szCs w:val="14"/>
              <w:lang w:eastAsia="en-US"/>
            </w:rPr>
          </w:pPr>
        </w:p>
        <w:p w:rsidR="00825173" w:rsidRPr="006E3DFA" w:rsidRDefault="00825173" w:rsidP="00803090">
          <w:pPr>
            <w:pStyle w:val="Zkladntext2"/>
            <w:tabs>
              <w:tab w:val="left" w:pos="426"/>
            </w:tabs>
            <w:spacing w:line="240" w:lineRule="auto"/>
            <w:contextualSpacing/>
            <w:rPr>
              <w:rFonts w:eastAsiaTheme="minorHAnsi"/>
              <w:b w:val="0"/>
              <w:color w:val="000000" w:themeColor="text1"/>
              <w:sz w:val="14"/>
              <w:szCs w:val="14"/>
              <w:lang w:eastAsia="en-US"/>
            </w:rPr>
          </w:pPr>
        </w:p>
        <w:p w:rsidR="00825173" w:rsidRPr="006E3DFA" w:rsidRDefault="00825173" w:rsidP="00803090">
          <w:pPr>
            <w:autoSpaceDE w:val="0"/>
            <w:autoSpaceDN w:val="0"/>
            <w:adjustRightInd w:val="0"/>
            <w:spacing w:after="463" w:line="240" w:lineRule="auto"/>
          </w:pPr>
        </w:p>
        <w:p w:rsidR="00825173" w:rsidRDefault="00482DD1" w:rsidP="00803090">
          <w:pPr>
            <w:autoSpaceDE w:val="0"/>
            <w:autoSpaceDN w:val="0"/>
            <w:adjustRightInd w:val="0"/>
            <w:spacing w:after="463" w:line="240" w:lineRule="auto"/>
          </w:pPr>
        </w:p>
      </w:sdtContent>
    </w:sdt>
    <w:p w:rsidR="00825173" w:rsidRDefault="00825173" w:rsidP="00803090">
      <w:pPr>
        <w:autoSpaceDE w:val="0"/>
        <w:autoSpaceDN w:val="0"/>
        <w:adjustRightInd w:val="0"/>
        <w:spacing w:after="463" w:line="240" w:lineRule="auto"/>
        <w:sectPr w:rsidR="00825173" w:rsidSect="0049102F">
          <w:footerReference w:type="even" r:id="rId13"/>
          <w:type w:val="continuous"/>
          <w:pgSz w:w="11906" w:h="16838"/>
          <w:pgMar w:top="1701" w:right="1274" w:bottom="709" w:left="1134" w:header="709" w:footer="709" w:gutter="0"/>
          <w:cols w:num="2" w:space="708"/>
          <w:docGrid w:linePitch="360"/>
        </w:sectPr>
      </w:pPr>
    </w:p>
    <w:p w:rsidR="00825173" w:rsidRPr="006E3DFA" w:rsidRDefault="00825173" w:rsidP="00803090">
      <w:pPr>
        <w:autoSpaceDE w:val="0"/>
        <w:autoSpaceDN w:val="0"/>
        <w:adjustRightInd w:val="0"/>
        <w:spacing w:after="463" w:line="240" w:lineRule="auto"/>
      </w:pPr>
    </w:p>
    <w:p w:rsidR="006047C9" w:rsidRPr="00825173" w:rsidRDefault="006047C9" w:rsidP="00825173"/>
    <w:sectPr w:rsidR="006047C9" w:rsidRPr="00825173" w:rsidSect="00C449B6">
      <w:footerReference w:type="even" r:id="rId14"/>
      <w:type w:val="continuous"/>
      <w:pgSz w:w="11906" w:h="16838"/>
      <w:pgMar w:top="1701" w:right="1274" w:bottom="709"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DD1" w:rsidRDefault="00482DD1">
      <w:pPr>
        <w:spacing w:line="240" w:lineRule="auto"/>
      </w:pPr>
      <w:r>
        <w:separator/>
      </w:r>
    </w:p>
  </w:endnote>
  <w:endnote w:type="continuationSeparator" w:id="0">
    <w:p w:rsidR="00482DD1" w:rsidRDefault="00482D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197"/>
      <w:gridCol w:w="4536"/>
      <w:gridCol w:w="776"/>
    </w:tblGrid>
    <w:tr w:rsidR="00C449B6">
      <w:tc>
        <w:tcPr>
          <w:tcW w:w="2197" w:type="dxa"/>
        </w:tcPr>
        <w:p w:rsidR="00C449B6" w:rsidRDefault="004271F5">
          <w:r>
            <w:rPr>
              <w:noProof/>
              <w:lang w:eastAsia="cs-CZ"/>
            </w:rPr>
            <mc:AlternateContent>
              <mc:Choice Requires="wps">
                <w:drawing>
                  <wp:anchor distT="0" distB="0" distL="114300" distR="114300" simplePos="0" relativeHeight="251660288" behindDoc="0" locked="0" layoutInCell="0" allowOverlap="1" wp14:anchorId="013B92F4" wp14:editId="65815C0D">
                    <wp:simplePos x="0" y="0"/>
                    <wp:positionH relativeFrom="column">
                      <wp:posOffset>-323850</wp:posOffset>
                    </wp:positionH>
                    <wp:positionV relativeFrom="paragraph">
                      <wp:posOffset>-6239510</wp:posOffset>
                    </wp:positionV>
                    <wp:extent cx="179705" cy="503999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C449B6">
                                  <w:trPr>
                                    <w:cantSplit/>
                                    <w:trHeight w:hRule="exact" w:val="7949"/>
                                    <w:hidden/>
                                  </w:trPr>
                                  <w:tc>
                                    <w:tcPr>
                                      <w:tcW w:w="397" w:type="dxa"/>
                                      <w:textDirection w:val="btLr"/>
                                    </w:tcPr>
                                    <w:p w:rsidR="00C449B6" w:rsidRDefault="004271F5">
                                      <w:pPr>
                                        <w:ind w:left="113" w:right="113"/>
                                        <w:rPr>
                                          <w:vanish/>
                                          <w:color w:val="FF0000"/>
                                          <w:sz w:val="12"/>
                                        </w:rPr>
                                      </w:pPr>
                                      <w:r>
                                        <w:rPr>
                                          <w:noProof/>
                                          <w:vanish/>
                                          <w:color w:val="FF0000"/>
                                          <w:sz w:val="12"/>
                                        </w:rPr>
                                        <w:t>Dokument v bez názvu</w:t>
                                      </w:r>
                                    </w:p>
                                  </w:tc>
                                </w:tr>
                              </w:tbl>
                              <w:p w:rsidR="00C449B6" w:rsidRDefault="00482D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92F4" id="_x0000_t202" coordsize="21600,21600" o:spt="202" path="m,l,21600r21600,l21600,xe">
                    <v:stroke joinstyle="miter"/>
                    <v:path gradientshapeok="t" o:connecttype="rect"/>
                  </v:shapetype>
                  <v:shape id="Text Box 6" o:spid="_x0000_s1027" type="#_x0000_t202" style="position:absolute;margin-left:-25.5pt;margin-top:-491.3pt;width:14.1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zyBrgIAALA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C449B6">
                            <w:trPr>
                              <w:cantSplit/>
                              <w:trHeight w:hRule="exact" w:val="7949"/>
                              <w:hidden/>
                            </w:trPr>
                            <w:tc>
                              <w:tcPr>
                                <w:tcW w:w="397" w:type="dxa"/>
                                <w:textDirection w:val="btLr"/>
                              </w:tcPr>
                              <w:p w:rsidR="00C449B6" w:rsidRDefault="004271F5">
                                <w:pPr>
                                  <w:ind w:left="113" w:right="113"/>
                                  <w:rPr>
                                    <w:vanish/>
                                    <w:color w:val="FF0000"/>
                                    <w:sz w:val="12"/>
                                  </w:rPr>
                                </w:pPr>
                                <w:r>
                                  <w:rPr>
                                    <w:noProof/>
                                    <w:vanish/>
                                    <w:color w:val="FF0000"/>
                                    <w:sz w:val="12"/>
                                  </w:rPr>
                                  <w:t>Dokument v bez názvu</w:t>
                                </w:r>
                              </w:p>
                            </w:tc>
                          </w:tr>
                        </w:tbl>
                        <w:p w:rsidR="00C449B6" w:rsidRDefault="00C454B5"/>
                      </w:txbxContent>
                    </v:textbox>
                  </v:shape>
                </w:pict>
              </mc:Fallback>
            </mc:AlternateContent>
          </w:r>
          <w:r>
            <w:rPr>
              <w:rStyle w:val="slostrnky"/>
            </w:rPr>
            <w:fldChar w:fldCharType="begin"/>
          </w:r>
          <w:r>
            <w:rPr>
              <w:rStyle w:val="slostrnky"/>
            </w:rPr>
            <w:instrText xml:space="preserve"> PAGE </w:instrText>
          </w:r>
          <w:r>
            <w:rPr>
              <w:rStyle w:val="slostrnky"/>
            </w:rPr>
            <w:fldChar w:fldCharType="separate"/>
          </w:r>
          <w:r w:rsidR="00AB0119">
            <w:rPr>
              <w:rStyle w:val="slostrnky"/>
              <w:noProof/>
            </w:rPr>
            <w:t>2</w:t>
          </w:r>
          <w:r>
            <w:rPr>
              <w:rStyle w:val="slostrnky"/>
            </w:rPr>
            <w:fldChar w:fldCharType="end"/>
          </w:r>
          <w:r>
            <w:t xml:space="preserve"> / </w:t>
          </w:r>
          <w:r>
            <w:rPr>
              <w:rStyle w:val="slostrnky"/>
            </w:rPr>
            <w:fldChar w:fldCharType="begin"/>
          </w:r>
          <w:r>
            <w:rPr>
              <w:rStyle w:val="slostrnky"/>
            </w:rPr>
            <w:instrText xml:space="preserve"> NUMPAGES </w:instrText>
          </w:r>
          <w:r>
            <w:rPr>
              <w:rStyle w:val="slostrnky"/>
            </w:rPr>
            <w:fldChar w:fldCharType="separate"/>
          </w:r>
          <w:r w:rsidR="00AB0119">
            <w:rPr>
              <w:rStyle w:val="slostrnky"/>
              <w:noProof/>
            </w:rPr>
            <w:t>9</w:t>
          </w:r>
          <w:r>
            <w:rPr>
              <w:rStyle w:val="slostrnky"/>
            </w:rPr>
            <w:fldChar w:fldCharType="end"/>
          </w:r>
        </w:p>
      </w:tc>
      <w:tc>
        <w:tcPr>
          <w:tcW w:w="4536" w:type="dxa"/>
        </w:tcPr>
        <w:p w:rsidR="00C449B6" w:rsidRDefault="004271F5">
          <w:pPr>
            <w:pStyle w:val="EONKommentar"/>
          </w:pPr>
          <w:r>
            <w:t>Please do not add any more text to the footer</w:t>
          </w:r>
        </w:p>
      </w:tc>
      <w:tc>
        <w:tcPr>
          <w:tcW w:w="776" w:type="dxa"/>
        </w:tcPr>
        <w:p w:rsidR="00C449B6" w:rsidRDefault="00482DD1">
          <w:pPr>
            <w:pStyle w:val="EONKommentar"/>
          </w:pPr>
        </w:p>
      </w:tc>
    </w:tr>
  </w:tbl>
  <w:p w:rsidR="00C449B6" w:rsidRDefault="00482DD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622"/>
      <w:gridCol w:w="4111"/>
      <w:gridCol w:w="776"/>
    </w:tblGrid>
    <w:tr w:rsidR="00C449B6">
      <w:trPr>
        <w:cantSplit/>
      </w:trPr>
      <w:tc>
        <w:tcPr>
          <w:tcW w:w="2622" w:type="dxa"/>
        </w:tcPr>
        <w:p w:rsidR="00C449B6" w:rsidRDefault="004271F5">
          <w:r>
            <w:rPr>
              <w:rStyle w:val="slostrnky"/>
              <w:noProof/>
            </w:rPr>
            <w:t>1</w:t>
          </w:r>
          <w:r>
            <w:rPr>
              <w:noProof/>
            </w:rPr>
            <w:t xml:space="preserve"> / </w:t>
          </w:r>
          <w:r>
            <w:rPr>
              <w:rStyle w:val="slostrnky"/>
              <w:noProof/>
            </w:rPr>
            <w:t>10</w:t>
          </w:r>
          <w:r>
            <w:rPr>
              <w:noProof/>
              <w:lang w:eastAsia="cs-CZ"/>
            </w:rPr>
            <mc:AlternateContent>
              <mc:Choice Requires="wps">
                <w:drawing>
                  <wp:anchor distT="0" distB="0" distL="114300" distR="114300" simplePos="0" relativeHeight="251659264" behindDoc="0" locked="0" layoutInCell="0" allowOverlap="1" wp14:anchorId="2659EE5D" wp14:editId="631A19DC">
                    <wp:simplePos x="0" y="0"/>
                    <wp:positionH relativeFrom="column">
                      <wp:posOffset>-323850</wp:posOffset>
                    </wp:positionH>
                    <wp:positionV relativeFrom="paragraph">
                      <wp:posOffset>-6239510</wp:posOffset>
                    </wp:positionV>
                    <wp:extent cx="179705" cy="503999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5039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97"/>
                                </w:tblGrid>
                                <w:tr w:rsidR="00C449B6">
                                  <w:trPr>
                                    <w:cantSplit/>
                                    <w:trHeight w:hRule="exact" w:val="7949"/>
                                    <w:hidden/>
                                  </w:trPr>
                                  <w:tc>
                                    <w:tcPr>
                                      <w:tcW w:w="397" w:type="dxa"/>
                                      <w:textDirection w:val="btLr"/>
                                    </w:tcPr>
                                    <w:p w:rsidR="00C449B6" w:rsidRDefault="004271F5" w:rsidP="00D83DB3">
                                      <w:pPr>
                                        <w:ind w:left="113" w:right="113"/>
                                        <w:rPr>
                                          <w:vanish/>
                                          <w:color w:val="FF0000"/>
                                          <w:sz w:val="12"/>
                                        </w:rPr>
                                      </w:pPr>
                                      <w:r>
                                        <w:rPr>
                                          <w:noProof/>
                                          <w:vanish/>
                                          <w:color w:val="FF0000"/>
                                          <w:sz w:val="12"/>
                                        </w:rPr>
                                        <w:t>Dokument v bez názvu</w:t>
                                      </w:r>
                                    </w:p>
                                  </w:tc>
                                </w:tr>
                              </w:tbl>
                              <w:p w:rsidR="00C449B6" w:rsidRDefault="00482D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9EE5D" id="_x0000_t202" coordsize="21600,21600" o:spt="202" path="m,l,21600r21600,l21600,xe">
                    <v:stroke joinstyle="miter"/>
                    <v:path gradientshapeok="t" o:connecttype="rect"/>
                  </v:shapetype>
                  <v:shape id="Text Box 5" o:spid="_x0000_s1028" type="#_x0000_t202" style="position:absolute;margin-left:-25.5pt;margin-top:-491.3pt;width:14.15pt;height:3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97"/>
                          </w:tblGrid>
                          <w:tr w:rsidR="00C449B6">
                            <w:trPr>
                              <w:cantSplit/>
                              <w:trHeight w:hRule="exact" w:val="7949"/>
                              <w:hidden/>
                            </w:trPr>
                            <w:tc>
                              <w:tcPr>
                                <w:tcW w:w="397" w:type="dxa"/>
                                <w:textDirection w:val="btLr"/>
                              </w:tcPr>
                              <w:p w:rsidR="00C449B6" w:rsidRDefault="004271F5" w:rsidP="00D83DB3">
                                <w:pPr>
                                  <w:ind w:left="113" w:right="113"/>
                                  <w:rPr>
                                    <w:vanish/>
                                    <w:color w:val="FF0000"/>
                                    <w:sz w:val="12"/>
                                  </w:rPr>
                                </w:pPr>
                                <w:r>
                                  <w:rPr>
                                    <w:noProof/>
                                    <w:vanish/>
                                    <w:color w:val="FF0000"/>
                                    <w:sz w:val="12"/>
                                  </w:rPr>
                                  <w:t>Dokument v bez názvu</w:t>
                                </w:r>
                              </w:p>
                            </w:tc>
                          </w:tr>
                        </w:tbl>
                        <w:p w:rsidR="00C449B6" w:rsidRDefault="00C454B5"/>
                      </w:txbxContent>
                    </v:textbox>
                  </v:shape>
                </w:pict>
              </mc:Fallback>
            </mc:AlternateContent>
          </w:r>
        </w:p>
      </w:tc>
      <w:tc>
        <w:tcPr>
          <w:tcW w:w="4111" w:type="dxa"/>
        </w:tcPr>
        <w:p w:rsidR="00C449B6" w:rsidRDefault="004271F5">
          <w:pPr>
            <w:pStyle w:val="EONKommentar"/>
          </w:pPr>
          <w:r>
            <w:t>Please do not add any more text to the footer</w:t>
          </w:r>
        </w:p>
      </w:tc>
      <w:tc>
        <w:tcPr>
          <w:tcW w:w="776" w:type="dxa"/>
        </w:tcPr>
        <w:p w:rsidR="00C449B6" w:rsidRDefault="00482DD1">
          <w:pPr>
            <w:pStyle w:val="EONKommentar"/>
          </w:pPr>
        </w:p>
      </w:tc>
    </w:tr>
  </w:tbl>
  <w:p w:rsidR="00C449B6" w:rsidRDefault="004271F5" w:rsidP="008A664A">
    <w:pPr>
      <w:framePr w:w="292" w:h="1803" w:hSpace="181" w:wrap="around" w:vAnchor="page" w:hAnchor="page" w:x="676" w:y="12186" w:anchorLock="1"/>
      <w:shd w:val="solid" w:color="FFFFFF" w:fill="FFFFFF"/>
      <w:textDirection w:val="btLr"/>
      <w:rPr>
        <w:sz w:val="16"/>
        <w:szCs w:val="16"/>
      </w:rPr>
    </w:pPr>
    <w:r>
      <w:rPr>
        <w:rFonts w:ascii="Arial" w:hAnsi="Arial" w:cs="Arial"/>
        <w:sz w:val="14"/>
        <w:szCs w:val="14"/>
      </w:rPr>
      <w:t>1305100001-01062016-195-4</w:t>
    </w:r>
  </w:p>
  <w:p w:rsidR="00C449B6" w:rsidRDefault="00482DD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B6" w:rsidRPr="00EB4AA4" w:rsidRDefault="004271F5" w:rsidP="007A6ABD">
    <w:pPr>
      <w:pStyle w:val="Zpat"/>
      <w:rPr>
        <w:sz w:val="18"/>
        <w:szCs w:val="18"/>
      </w:rPr>
    </w:pPr>
    <w:r>
      <w:rPr>
        <w:sz w:val="18"/>
        <w:szCs w:val="18"/>
      </w:rPr>
      <w:t>2/2</w:t>
    </w:r>
  </w:p>
  <w:p w:rsidR="00C449B6" w:rsidRPr="00EB4AA4" w:rsidRDefault="00482DD1">
    <w:pPr>
      <w:pStyle w:val="Zpa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9B6" w:rsidRPr="00EB4AA4" w:rsidRDefault="004271F5" w:rsidP="007A6ABD">
    <w:pPr>
      <w:pStyle w:val="Zpat"/>
      <w:rPr>
        <w:sz w:val="18"/>
        <w:szCs w:val="18"/>
      </w:rPr>
    </w:pPr>
    <w:r>
      <w:rPr>
        <w:sz w:val="18"/>
        <w:szCs w:val="18"/>
      </w:rPr>
      <w:t>2/2</w:t>
    </w:r>
  </w:p>
  <w:p w:rsidR="00C449B6" w:rsidRPr="00EB4AA4" w:rsidRDefault="00482DD1">
    <w:pPr>
      <w:pStyle w:val="Zpa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F0D" w:rsidRPr="00EB4AA4" w:rsidRDefault="004271F5" w:rsidP="007A6ABD">
    <w:pPr>
      <w:pStyle w:val="Zpat"/>
      <w:rPr>
        <w:sz w:val="18"/>
        <w:szCs w:val="18"/>
      </w:rPr>
    </w:pPr>
    <w:r>
      <w:rPr>
        <w:sz w:val="18"/>
        <w:szCs w:val="18"/>
      </w:rPr>
      <w:t>2/2</w:t>
    </w:r>
  </w:p>
  <w:p w:rsidR="00AF7F0D" w:rsidRPr="00EB4AA4" w:rsidRDefault="00482DD1">
    <w:pPr>
      <w:pStyle w:val="Zpa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DD1" w:rsidRDefault="00482DD1">
      <w:pPr>
        <w:spacing w:line="240" w:lineRule="auto"/>
      </w:pPr>
      <w:r>
        <w:separator/>
      </w:r>
    </w:p>
  </w:footnote>
  <w:footnote w:type="continuationSeparator" w:id="0">
    <w:p w:rsidR="00482DD1" w:rsidRDefault="00482D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354"/>
      <w:gridCol w:w="5670"/>
      <w:gridCol w:w="1485"/>
    </w:tblGrid>
    <w:tr w:rsidR="00C449B6">
      <w:tc>
        <w:tcPr>
          <w:tcW w:w="354" w:type="dxa"/>
        </w:tcPr>
        <w:p w:rsidR="00C449B6" w:rsidRDefault="00482DD1">
          <w:pPr>
            <w:pStyle w:val="EONKommentar"/>
          </w:pPr>
        </w:p>
      </w:tc>
      <w:tc>
        <w:tcPr>
          <w:tcW w:w="5670" w:type="dxa"/>
        </w:tcPr>
        <w:p w:rsidR="00C449B6" w:rsidRDefault="004271F5">
          <w:pPr>
            <w:pStyle w:val="EONKommentar"/>
          </w:pPr>
          <w:r>
            <w:t>Please do not add any more text to the header</w:t>
          </w:r>
        </w:p>
      </w:tc>
      <w:tc>
        <w:tcPr>
          <w:tcW w:w="1485" w:type="dxa"/>
        </w:tcPr>
        <w:p w:rsidR="00C449B6" w:rsidRDefault="00482DD1">
          <w:pPr>
            <w:pStyle w:val="EONKommentar"/>
          </w:pPr>
        </w:p>
      </w:tc>
    </w:tr>
    <w:tr w:rsidR="00C449B6">
      <w:trPr>
        <w:trHeight w:val="794"/>
        <w:hidden w:val="0"/>
      </w:trPr>
      <w:tc>
        <w:tcPr>
          <w:tcW w:w="354" w:type="dxa"/>
        </w:tcPr>
        <w:p w:rsidR="00C449B6" w:rsidRDefault="004271F5">
          <w:pPr>
            <w:pStyle w:val="EONKommentar"/>
          </w:pPr>
          <w:r>
            <w:rPr>
              <w:noProof/>
              <w:vanish w:val="0"/>
              <w:lang w:eastAsia="cs-CZ"/>
            </w:rPr>
            <mc:AlternateContent>
              <mc:Choice Requires="wps">
                <w:drawing>
                  <wp:anchor distT="0" distB="0" distL="114300" distR="114300" simplePos="0" relativeHeight="251661312" behindDoc="0" locked="0" layoutInCell="0" allowOverlap="1" wp14:anchorId="60CF3D2D" wp14:editId="096AD56C">
                    <wp:simplePos x="0" y="0"/>
                    <wp:positionH relativeFrom="page">
                      <wp:posOffset>215900</wp:posOffset>
                    </wp:positionH>
                    <wp:positionV relativeFrom="page">
                      <wp:posOffset>828040</wp:posOffset>
                    </wp:positionV>
                    <wp:extent cx="4228465" cy="65405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846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0" w:type="dxa"/>
                                    <w:right w:w="0" w:type="dxa"/>
                                  </w:tblCellMar>
                                  <w:tblLook w:val="0000" w:firstRow="0" w:lastRow="0" w:firstColumn="0" w:lastColumn="0" w:noHBand="0" w:noVBand="0"/>
                                </w:tblPr>
                                <w:tblGrid>
                                  <w:gridCol w:w="255"/>
                                  <w:gridCol w:w="6196"/>
                                </w:tblGrid>
                                <w:tr w:rsidR="00C449B6">
                                  <w:trPr>
                                    <w:trHeight w:hRule="exact" w:val="885"/>
                                  </w:trPr>
                                  <w:tc>
                                    <w:tcPr>
                                      <w:tcW w:w="255" w:type="dxa"/>
                                    </w:tcPr>
                                    <w:p w:rsidR="00C449B6" w:rsidRDefault="00482DD1">
                                      <w:bookmarkStart w:id="1" w:name="kopf2"/>
                                      <w:bookmarkEnd w:id="1"/>
                                    </w:p>
                                  </w:tc>
                                  <w:tc>
                                    <w:tcPr>
                                      <w:tcW w:w="6196" w:type="dxa"/>
                                    </w:tcPr>
                                    <w:p w:rsidR="00C449B6" w:rsidRDefault="00482DD1">
                                      <w:pPr>
                                        <w:spacing w:before="120"/>
                                      </w:pPr>
                                    </w:p>
                                  </w:tc>
                                </w:tr>
                              </w:tbl>
                              <w:p w:rsidR="00C449B6" w:rsidRDefault="00482DD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F3D2D" id="_x0000_t202" coordsize="21600,21600" o:spt="202" path="m,l,21600r21600,l21600,xe">
                    <v:stroke joinstyle="miter"/>
                    <v:path gradientshapeok="t" o:connecttype="rect"/>
                  </v:shapetype>
                  <v:shape id="Text Box 14" o:spid="_x0000_s1026" type="#_x0000_t202" style="position:absolute;margin-left:17pt;margin-top:65.2pt;width:332.95pt;height: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" o:allowincell="f" filled="f" stroked="f">
                    <v:textbox inset="0,0,0,0">
                      <w:txbxContent>
                        <w:tbl>
                          <w:tblPr>
                            <w:tblW w:w="0" w:type="auto"/>
                            <w:tblInd w:w="70" w:type="dxa"/>
                            <w:tblLayout w:type="fixed"/>
                            <w:tblCellMar>
                              <w:left w:w="0" w:type="dxa"/>
                              <w:right w:w="0" w:type="dxa"/>
                            </w:tblCellMar>
                            <w:tblLook w:val="0000" w:firstRow="0" w:lastRow="0" w:firstColumn="0" w:lastColumn="0" w:noHBand="0" w:noVBand="0"/>
                          </w:tblPr>
                          <w:tblGrid>
                            <w:gridCol w:w="255"/>
                            <w:gridCol w:w="6196"/>
                          </w:tblGrid>
                          <w:tr w:rsidR="00C449B6">
                            <w:trPr>
                              <w:trHeight w:hRule="exact" w:val="885"/>
                            </w:trPr>
                            <w:tc>
                              <w:tcPr>
                                <w:tcW w:w="255" w:type="dxa"/>
                              </w:tcPr>
                              <w:p w:rsidR="00C449B6" w:rsidRDefault="00482DD1">
                                <w:bookmarkStart w:id="2" w:name="kopf2"/>
                                <w:bookmarkEnd w:id="2"/>
                              </w:p>
                            </w:tc>
                            <w:tc>
                              <w:tcPr>
                                <w:tcW w:w="6196" w:type="dxa"/>
                              </w:tcPr>
                              <w:p w:rsidR="00C449B6" w:rsidRDefault="00482DD1">
                                <w:pPr>
                                  <w:spacing w:before="120"/>
                                </w:pPr>
                              </w:p>
                            </w:tc>
                          </w:tr>
                        </w:tbl>
                        <w:p w:rsidR="00C449B6" w:rsidRDefault="00482DD1"/>
                      </w:txbxContent>
                    </v:textbox>
                    <w10:wrap anchorx="page" anchory="page"/>
                  </v:shape>
                </w:pict>
              </mc:Fallback>
            </mc:AlternateContent>
          </w:r>
        </w:p>
      </w:tc>
      <w:tc>
        <w:tcPr>
          <w:tcW w:w="5670" w:type="dxa"/>
        </w:tcPr>
        <w:p w:rsidR="00C449B6" w:rsidRDefault="00482DD1">
          <w:pPr>
            <w:pStyle w:val="EONKommentar"/>
          </w:pPr>
        </w:p>
      </w:tc>
      <w:tc>
        <w:tcPr>
          <w:tcW w:w="1485" w:type="dxa"/>
        </w:tcPr>
        <w:p w:rsidR="00C449B6" w:rsidRDefault="00482DD1">
          <w:pPr>
            <w:pStyle w:val="EONKommentar"/>
          </w:pPr>
        </w:p>
      </w:tc>
    </w:tr>
  </w:tbl>
  <w:p w:rsidR="00C449B6" w:rsidRDefault="00482DD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C3580"/>
    <w:multiLevelType w:val="multilevel"/>
    <w:tmpl w:val="64EE7458"/>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nsid w:val="0DAB784A"/>
    <w:multiLevelType w:val="hybridMultilevel"/>
    <w:tmpl w:val="B9EAD0A0"/>
    <w:lvl w:ilvl="0" w:tplc="BD8637D8">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2E366F"/>
    <w:multiLevelType w:val="multilevel"/>
    <w:tmpl w:val="F88E1DFE"/>
    <w:lvl w:ilvl="0">
      <w:start w:val="4"/>
      <w:numFmt w:val="decimal"/>
      <w:lvlText w:val="%1"/>
      <w:lvlJc w:val="left"/>
      <w:pPr>
        <w:ind w:left="360" w:hanging="360"/>
      </w:pPr>
      <w:rPr>
        <w:rFonts w:hint="default"/>
        <w:b/>
        <w:i w:val="0"/>
        <w:color w:val="000000"/>
      </w:rPr>
    </w:lvl>
    <w:lvl w:ilvl="1">
      <w:start w:val="1"/>
      <w:numFmt w:val="decimal"/>
      <w:lvlText w:val="7.%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334634F"/>
    <w:multiLevelType w:val="multilevel"/>
    <w:tmpl w:val="D9ECDE6C"/>
    <w:lvl w:ilvl="0">
      <w:start w:val="5"/>
      <w:numFmt w:val="decimal"/>
      <w:lvlText w:val="%1."/>
      <w:lvlJc w:val="left"/>
      <w:pPr>
        <w:tabs>
          <w:tab w:val="num" w:pos="360"/>
        </w:tabs>
        <w:ind w:left="360" w:hanging="360"/>
      </w:pPr>
      <w:rPr>
        <w:rFonts w:hint="default"/>
        <w:color w:val="FF0000"/>
      </w:rPr>
    </w:lvl>
    <w:lvl w:ilvl="1">
      <w:start w:val="1"/>
      <w:numFmt w:val="decimal"/>
      <w:lvlText w:val="5.%2."/>
      <w:lvlJc w:val="left"/>
      <w:pPr>
        <w:tabs>
          <w:tab w:val="num" w:pos="792"/>
        </w:tabs>
        <w:ind w:left="792" w:hanging="432"/>
      </w:pPr>
      <w:rPr>
        <w:rFonts w:hint="default"/>
        <w:b/>
        <w:color w:val="auto"/>
      </w:rPr>
    </w:lvl>
    <w:lvl w:ilvl="2">
      <w:start w:val="1"/>
      <w:numFmt w:val="decimal"/>
      <w:lvlText w:val="%1.%2.%3."/>
      <w:lvlJc w:val="left"/>
      <w:pPr>
        <w:tabs>
          <w:tab w:val="num" w:pos="1440"/>
        </w:tabs>
        <w:ind w:left="1224" w:hanging="504"/>
      </w:pPr>
      <w:rPr>
        <w:rFonts w:hint="default"/>
        <w:color w:val="FF0000"/>
      </w:rPr>
    </w:lvl>
    <w:lvl w:ilvl="3">
      <w:start w:val="1"/>
      <w:numFmt w:val="decimal"/>
      <w:lvlText w:val="%1.%2.%3.%4."/>
      <w:lvlJc w:val="left"/>
      <w:pPr>
        <w:tabs>
          <w:tab w:val="num" w:pos="1800"/>
        </w:tabs>
        <w:ind w:left="1728" w:hanging="648"/>
      </w:pPr>
      <w:rPr>
        <w:rFonts w:hint="default"/>
        <w:color w:val="FF0000"/>
      </w:rPr>
    </w:lvl>
    <w:lvl w:ilvl="4">
      <w:start w:val="1"/>
      <w:numFmt w:val="decimal"/>
      <w:lvlText w:val="%1.%2.%3.%4.%5."/>
      <w:lvlJc w:val="left"/>
      <w:pPr>
        <w:tabs>
          <w:tab w:val="num" w:pos="2520"/>
        </w:tabs>
        <w:ind w:left="2232" w:hanging="792"/>
      </w:pPr>
      <w:rPr>
        <w:rFonts w:hint="default"/>
        <w:color w:val="FF0000"/>
      </w:rPr>
    </w:lvl>
    <w:lvl w:ilvl="5">
      <w:start w:val="1"/>
      <w:numFmt w:val="decimal"/>
      <w:lvlText w:val="%1.%2.%3.%4.%5.%6."/>
      <w:lvlJc w:val="left"/>
      <w:pPr>
        <w:tabs>
          <w:tab w:val="num" w:pos="2880"/>
        </w:tabs>
        <w:ind w:left="2736" w:hanging="936"/>
      </w:pPr>
      <w:rPr>
        <w:rFonts w:hint="default"/>
        <w:color w:val="FF0000"/>
      </w:rPr>
    </w:lvl>
    <w:lvl w:ilvl="6">
      <w:start w:val="1"/>
      <w:numFmt w:val="decimal"/>
      <w:lvlText w:val="%1.%2.%3.%4.%5.%6.%7."/>
      <w:lvlJc w:val="left"/>
      <w:pPr>
        <w:tabs>
          <w:tab w:val="num" w:pos="3600"/>
        </w:tabs>
        <w:ind w:left="3240" w:hanging="1080"/>
      </w:pPr>
      <w:rPr>
        <w:rFonts w:hint="default"/>
        <w:color w:val="FF0000"/>
      </w:rPr>
    </w:lvl>
    <w:lvl w:ilvl="7">
      <w:start w:val="1"/>
      <w:numFmt w:val="decimal"/>
      <w:lvlText w:val="%1.%2.%3.%4.%5.%6.%7.%8."/>
      <w:lvlJc w:val="left"/>
      <w:pPr>
        <w:tabs>
          <w:tab w:val="num" w:pos="3960"/>
        </w:tabs>
        <w:ind w:left="3744" w:hanging="1224"/>
      </w:pPr>
      <w:rPr>
        <w:rFonts w:hint="default"/>
        <w:color w:val="FF0000"/>
      </w:rPr>
    </w:lvl>
    <w:lvl w:ilvl="8">
      <w:start w:val="1"/>
      <w:numFmt w:val="decimal"/>
      <w:lvlText w:val="%1.%2.%3.%4.%5.%6.%7.%8.%9."/>
      <w:lvlJc w:val="left"/>
      <w:pPr>
        <w:tabs>
          <w:tab w:val="num" w:pos="4680"/>
        </w:tabs>
        <w:ind w:left="4320" w:hanging="1440"/>
      </w:pPr>
      <w:rPr>
        <w:rFonts w:hint="default"/>
        <w:color w:val="FF0000"/>
      </w:rPr>
    </w:lvl>
  </w:abstractNum>
  <w:abstractNum w:abstractNumId="4">
    <w:nsid w:val="13393603"/>
    <w:multiLevelType w:val="multilevel"/>
    <w:tmpl w:val="4410AAF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2D0148"/>
    <w:multiLevelType w:val="multilevel"/>
    <w:tmpl w:val="19E250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C487659"/>
    <w:multiLevelType w:val="hybridMultilevel"/>
    <w:tmpl w:val="63A40F02"/>
    <w:lvl w:ilvl="0" w:tplc="8B28E048">
      <w:start w:val="1"/>
      <w:numFmt w:val="decimal"/>
      <w:lvlText w:val="%1."/>
      <w:lvlJc w:val="left"/>
      <w:pPr>
        <w:tabs>
          <w:tab w:val="num" w:pos="720"/>
        </w:tabs>
        <w:ind w:left="720" w:hanging="360"/>
      </w:pPr>
      <w:rPr>
        <w:b w:val="0"/>
      </w:rPr>
    </w:lvl>
    <w:lvl w:ilvl="1" w:tplc="5C8E507E">
      <w:start w:val="1"/>
      <w:numFmt w:val="lowerLetter"/>
      <w:lvlText w:val="%2)"/>
      <w:lvlJc w:val="left"/>
      <w:pPr>
        <w:tabs>
          <w:tab w:val="num" w:pos="1440"/>
        </w:tabs>
        <w:ind w:left="1440" w:hanging="360"/>
      </w:pPr>
      <w:rPr>
        <w:rFonts w:hint="default"/>
        <w:b w:val="0"/>
      </w:rPr>
    </w:lvl>
    <w:lvl w:ilvl="2" w:tplc="0405000F">
      <w:start w:val="1"/>
      <w:numFmt w:val="decimal"/>
      <w:lvlText w:val="%3."/>
      <w:lvlJc w:val="left"/>
      <w:pPr>
        <w:tabs>
          <w:tab w:val="num" w:pos="2340"/>
        </w:tabs>
        <w:ind w:left="2340" w:hanging="360"/>
      </w:pPr>
      <w:rPr>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4670012"/>
    <w:multiLevelType w:val="multilevel"/>
    <w:tmpl w:val="58CE4FD2"/>
    <w:lvl w:ilvl="0">
      <w:start w:val="1"/>
      <w:numFmt w:val="upperRoman"/>
      <w:lvlText w:val="%1."/>
      <w:lvlJc w:val="left"/>
      <w:pPr>
        <w:ind w:left="0" w:firstLine="0"/>
      </w:pPr>
      <w:rPr>
        <w:rFonts w:hint="default"/>
        <w:b/>
        <w:sz w:val="24"/>
        <w:szCs w:val="24"/>
      </w:rPr>
    </w:lvl>
    <w:lvl w:ilvl="1">
      <w:start w:val="1"/>
      <w:numFmt w:val="upperLetter"/>
      <w:lvlText w:val="%2."/>
      <w:lvlJc w:val="left"/>
      <w:pPr>
        <w:ind w:left="720" w:firstLine="0"/>
      </w:pPr>
      <w:rPr>
        <w:rFonts w:hint="default"/>
        <w:b/>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rPr>
        <w:rFonts w:hint="default"/>
        <w:b/>
      </w:rPr>
    </w:lvl>
    <w:lvl w:ilvl="4">
      <w:start w:val="1"/>
      <w:numFmt w:val="decimal"/>
      <w:lvlText w:val="(%5)"/>
      <w:lvlJc w:val="left"/>
      <w:pPr>
        <w:ind w:left="2880" w:firstLine="0"/>
      </w:pPr>
      <w:rPr>
        <w:rFonts w:hint="default"/>
        <w:b/>
      </w:rPr>
    </w:lvl>
    <w:lvl w:ilvl="5">
      <w:start w:val="1"/>
      <w:numFmt w:val="lowerLetter"/>
      <w:lvlText w:val="(%6)"/>
      <w:lvlJc w:val="left"/>
      <w:pPr>
        <w:ind w:left="3600" w:firstLine="0"/>
      </w:pPr>
      <w:rPr>
        <w:rFonts w:hint="default"/>
        <w:b/>
      </w:rPr>
    </w:lvl>
    <w:lvl w:ilvl="6">
      <w:start w:val="1"/>
      <w:numFmt w:val="lowerRoman"/>
      <w:lvlText w:val="(%7)"/>
      <w:lvlJc w:val="left"/>
      <w:pPr>
        <w:ind w:left="4320" w:firstLine="0"/>
      </w:pPr>
      <w:rPr>
        <w:rFonts w:hint="default"/>
        <w:b/>
      </w:rPr>
    </w:lvl>
    <w:lvl w:ilvl="7">
      <w:start w:val="1"/>
      <w:numFmt w:val="lowerLetter"/>
      <w:lvlText w:val="(%8)"/>
      <w:lvlJc w:val="left"/>
      <w:pPr>
        <w:ind w:left="5040" w:firstLine="0"/>
      </w:pPr>
      <w:rPr>
        <w:rFonts w:hint="default"/>
        <w:b/>
      </w:rPr>
    </w:lvl>
    <w:lvl w:ilvl="8">
      <w:start w:val="1"/>
      <w:numFmt w:val="lowerRoman"/>
      <w:lvlText w:val="(%9)"/>
      <w:lvlJc w:val="left"/>
      <w:pPr>
        <w:ind w:left="5760" w:firstLine="0"/>
      </w:pPr>
      <w:rPr>
        <w:rFonts w:hint="default"/>
        <w:b/>
      </w:rPr>
    </w:lvl>
  </w:abstractNum>
  <w:abstractNum w:abstractNumId="8">
    <w:nsid w:val="45453509"/>
    <w:multiLevelType w:val="multilevel"/>
    <w:tmpl w:val="8B6AFC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9">
    <w:nsid w:val="50CA0AE4"/>
    <w:multiLevelType w:val="multilevel"/>
    <w:tmpl w:val="656A10B8"/>
    <w:lvl w:ilvl="0">
      <w:start w:val="1"/>
      <w:numFmt w:val="decimal"/>
      <w:pStyle w:val="Nadpis1"/>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nsid w:val="51CD5D6C"/>
    <w:multiLevelType w:val="multilevel"/>
    <w:tmpl w:val="64BCD71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551F44A2"/>
    <w:multiLevelType w:val="multilevel"/>
    <w:tmpl w:val="B046F3EA"/>
    <w:lvl w:ilvl="0">
      <w:start w:val="4"/>
      <w:numFmt w:val="decimal"/>
      <w:lvlText w:val="%1"/>
      <w:lvlJc w:val="left"/>
      <w:pPr>
        <w:ind w:left="680" w:hanging="680"/>
      </w:pPr>
      <w:rPr>
        <w:rFonts w:hint="default"/>
        <w:b w:val="0"/>
        <w:sz w:val="24"/>
        <w:szCs w:val="24"/>
      </w:rPr>
    </w:lvl>
    <w:lvl w:ilvl="1">
      <w:start w:val="1"/>
      <w:numFmt w:val="decimal"/>
      <w:pStyle w:val="41"/>
      <w:lvlText w:val="%1.%2"/>
      <w:lvlJc w:val="left"/>
      <w:pPr>
        <w:ind w:left="567" w:hanging="567"/>
      </w:pPr>
      <w:rPr>
        <w:rFonts w:hint="default"/>
        <w:b/>
        <w:i w:val="0"/>
        <w:color w:val="000000"/>
      </w:rPr>
    </w:lvl>
    <w:lvl w:ilvl="2">
      <w:start w:val="1"/>
      <w:numFmt w:val="decimal"/>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8032F91"/>
    <w:multiLevelType w:val="multilevel"/>
    <w:tmpl w:val="EFB6D59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nsid w:val="5A1944A2"/>
    <w:multiLevelType w:val="multilevel"/>
    <w:tmpl w:val="5038F99E"/>
    <w:lvl w:ilvl="0">
      <w:start w:val="3"/>
      <w:numFmt w:val="decimal"/>
      <w:lvlText w:val="%1"/>
      <w:lvlJc w:val="left"/>
      <w:pPr>
        <w:tabs>
          <w:tab w:val="num" w:pos="705"/>
        </w:tabs>
        <w:ind w:left="705" w:hanging="705"/>
      </w:pPr>
      <w:rPr>
        <w:rFonts w:ascii="Times New Roman" w:hAnsi="Times New Roman" w:cs="Times New Roman" w:hint="default"/>
        <w:i w:val="0"/>
        <w:color w:val="231F20"/>
      </w:rPr>
    </w:lvl>
    <w:lvl w:ilvl="1">
      <w:start w:val="1"/>
      <w:numFmt w:val="decimal"/>
      <w:lvlText w:val="%1.%2."/>
      <w:lvlJc w:val="left"/>
      <w:pPr>
        <w:tabs>
          <w:tab w:val="num" w:pos="705"/>
        </w:tabs>
        <w:ind w:left="705" w:hanging="705"/>
      </w:pPr>
      <w:rPr>
        <w:rFonts w:ascii="Times New Roman" w:hAnsi="Times New Roman"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004"/>
        </w:tabs>
        <w:ind w:left="1004" w:hanging="720"/>
      </w:pPr>
      <w:rPr>
        <w:rFonts w:ascii="Times New Roman" w:hAnsi="Times New Roman" w:cs="Times New Roman" w:hint="default"/>
        <w:b/>
        <w:i w:val="0"/>
        <w:color w:val="231F20"/>
      </w:rPr>
    </w:lvl>
    <w:lvl w:ilvl="3">
      <w:start w:val="1"/>
      <w:numFmt w:val="decimal"/>
      <w:lvlText w:val="%1.%2.%3.%4"/>
      <w:lvlJc w:val="left"/>
      <w:pPr>
        <w:tabs>
          <w:tab w:val="num" w:pos="720"/>
        </w:tabs>
        <w:ind w:left="720" w:hanging="720"/>
      </w:pPr>
      <w:rPr>
        <w:rFonts w:ascii="Times New Roman" w:hAnsi="Times New Roman" w:cs="Times New Roman" w:hint="default"/>
        <w:i w:val="0"/>
        <w:color w:val="231F20"/>
      </w:rPr>
    </w:lvl>
    <w:lvl w:ilvl="4">
      <w:start w:val="1"/>
      <w:numFmt w:val="decimal"/>
      <w:lvlText w:val="%1.%2.%3.%4.%5"/>
      <w:lvlJc w:val="left"/>
      <w:pPr>
        <w:tabs>
          <w:tab w:val="num" w:pos="1080"/>
        </w:tabs>
        <w:ind w:left="1080" w:hanging="1080"/>
      </w:pPr>
      <w:rPr>
        <w:rFonts w:ascii="Times New Roman" w:hAnsi="Times New Roman" w:cs="Times New Roman" w:hint="default"/>
        <w:i w:val="0"/>
        <w:color w:val="231F20"/>
      </w:rPr>
    </w:lvl>
    <w:lvl w:ilvl="5">
      <w:start w:val="1"/>
      <w:numFmt w:val="decimal"/>
      <w:lvlText w:val="%1.%2.%3.%4.%5.%6"/>
      <w:lvlJc w:val="left"/>
      <w:pPr>
        <w:tabs>
          <w:tab w:val="num" w:pos="1080"/>
        </w:tabs>
        <w:ind w:left="1080" w:hanging="1080"/>
      </w:pPr>
      <w:rPr>
        <w:rFonts w:ascii="Times New Roman" w:hAnsi="Times New Roman" w:cs="Times New Roman" w:hint="default"/>
        <w:i w:val="0"/>
        <w:color w:val="231F20"/>
      </w:rPr>
    </w:lvl>
    <w:lvl w:ilvl="6">
      <w:start w:val="1"/>
      <w:numFmt w:val="decimal"/>
      <w:lvlText w:val="%1.%2.%3.%4.%5.%6.%7"/>
      <w:lvlJc w:val="left"/>
      <w:pPr>
        <w:tabs>
          <w:tab w:val="num" w:pos="1440"/>
        </w:tabs>
        <w:ind w:left="1440" w:hanging="1440"/>
      </w:pPr>
      <w:rPr>
        <w:rFonts w:ascii="Times New Roman" w:hAnsi="Times New Roman" w:cs="Times New Roman" w:hint="default"/>
        <w:i w:val="0"/>
        <w:color w:val="231F20"/>
      </w:rPr>
    </w:lvl>
    <w:lvl w:ilvl="7">
      <w:start w:val="1"/>
      <w:numFmt w:val="decimal"/>
      <w:lvlText w:val="%1.%2.%3.%4.%5.%6.%7.%8"/>
      <w:lvlJc w:val="left"/>
      <w:pPr>
        <w:tabs>
          <w:tab w:val="num" w:pos="1440"/>
        </w:tabs>
        <w:ind w:left="1440" w:hanging="1440"/>
      </w:pPr>
      <w:rPr>
        <w:rFonts w:ascii="Times New Roman" w:hAnsi="Times New Roman" w:cs="Times New Roman" w:hint="default"/>
        <w:i w:val="0"/>
        <w:color w:val="231F20"/>
      </w:rPr>
    </w:lvl>
    <w:lvl w:ilvl="8">
      <w:start w:val="1"/>
      <w:numFmt w:val="decimal"/>
      <w:lvlText w:val="%1.%2.%3.%4.%5.%6.%7.%8.%9"/>
      <w:lvlJc w:val="left"/>
      <w:pPr>
        <w:tabs>
          <w:tab w:val="num" w:pos="1800"/>
        </w:tabs>
        <w:ind w:left="1800" w:hanging="1800"/>
      </w:pPr>
      <w:rPr>
        <w:rFonts w:ascii="Times New Roman" w:hAnsi="Times New Roman" w:cs="Times New Roman" w:hint="default"/>
        <w:i w:val="0"/>
        <w:color w:val="231F20"/>
      </w:rPr>
    </w:lvl>
  </w:abstractNum>
  <w:abstractNum w:abstractNumId="14">
    <w:nsid w:val="5D4E536F"/>
    <w:multiLevelType w:val="multilevel"/>
    <w:tmpl w:val="F0105BB2"/>
    <w:lvl w:ilvl="0">
      <w:start w:val="1"/>
      <w:numFmt w:val="decimal"/>
      <w:lvlText w:val="%1"/>
      <w:lvlJc w:val="left"/>
      <w:pPr>
        <w:ind w:left="680" w:hanging="680"/>
      </w:pPr>
      <w:rPr>
        <w:rFonts w:hint="default"/>
        <w:b w:val="0"/>
        <w:i w:val="0"/>
      </w:rPr>
    </w:lvl>
    <w:lvl w:ilvl="1">
      <w:start w:val="1"/>
      <w:numFmt w:val="decimal"/>
      <w:pStyle w:val="11"/>
      <w:lvlText w:val="%1.%2"/>
      <w:lvlJc w:val="left"/>
      <w:pPr>
        <w:ind w:left="822" w:hanging="68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6621AC3"/>
    <w:multiLevelType w:val="multilevel"/>
    <w:tmpl w:val="D742987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C373943"/>
    <w:multiLevelType w:val="multilevel"/>
    <w:tmpl w:val="19E2509C"/>
    <w:lvl w:ilvl="0">
      <w:start w:val="4"/>
      <w:numFmt w:val="decimal"/>
      <w:lvlText w:val="%1"/>
      <w:lvlJc w:val="left"/>
      <w:pPr>
        <w:ind w:left="360" w:hanging="360"/>
      </w:pPr>
      <w:rPr>
        <w:rFonts w:hint="default"/>
        <w:b/>
        <w:i w:val="0"/>
        <w:color w:val="00000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4"/>
  </w:num>
  <w:num w:numId="3">
    <w:abstractNumId w:val="9"/>
  </w:num>
  <w:num w:numId="4">
    <w:abstractNumId w:val="13"/>
  </w:num>
  <w:num w:numId="5">
    <w:abstractNumId w:val="11"/>
  </w:num>
  <w:num w:numId="6">
    <w:abstractNumId w:val="3"/>
  </w:num>
  <w:num w:numId="7">
    <w:abstractNumId w:val="16"/>
  </w:num>
  <w:num w:numId="8">
    <w:abstractNumId w:val="12"/>
  </w:num>
  <w:num w:numId="9">
    <w:abstractNumId w:val="1"/>
  </w:num>
  <w:num w:numId="10">
    <w:abstractNumId w:val="4"/>
  </w:num>
  <w:num w:numId="11">
    <w:abstractNumId w:val="5"/>
  </w:num>
  <w:num w:numId="12">
    <w:abstractNumId w:val="15"/>
  </w:num>
  <w:num w:numId="13">
    <w:abstractNumId w:val="10"/>
  </w:num>
  <w:num w:numId="14">
    <w:abstractNumId w:val="8"/>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73"/>
    <w:rsid w:val="00362B40"/>
    <w:rsid w:val="004271F5"/>
    <w:rsid w:val="00482DD1"/>
    <w:rsid w:val="006047C9"/>
    <w:rsid w:val="00825173"/>
    <w:rsid w:val="008516BA"/>
    <w:rsid w:val="00857DF6"/>
    <w:rsid w:val="00886FF2"/>
    <w:rsid w:val="00982524"/>
    <w:rsid w:val="00AB0119"/>
    <w:rsid w:val="00C454B5"/>
    <w:rsid w:val="00C726D0"/>
    <w:rsid w:val="00C86488"/>
    <w:rsid w:val="00EC6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FB7BBE-2134-4843-A3A0-87537A2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5173"/>
    <w:pPr>
      <w:spacing w:after="0" w:line="280" w:lineRule="atLeast"/>
    </w:pPr>
    <w:rPr>
      <w:rFonts w:ascii="Times New Roman" w:eastAsia="Times New Roman" w:hAnsi="Times New Roman" w:cs="Times New Roman"/>
      <w:sz w:val="24"/>
      <w:szCs w:val="20"/>
      <w:lang w:eastAsia="de-DE"/>
    </w:rPr>
  </w:style>
  <w:style w:type="paragraph" w:styleId="Nadpis1">
    <w:name w:val="heading 1"/>
    <w:basedOn w:val="Normln"/>
    <w:next w:val="Normln"/>
    <w:link w:val="Nadpis1Char"/>
    <w:qFormat/>
    <w:rsid w:val="00825173"/>
    <w:pPr>
      <w:keepNext/>
      <w:numPr>
        <w:numId w:val="3"/>
      </w:numPr>
      <w:spacing w:before="240" w:after="60"/>
      <w:outlineLvl w:val="0"/>
    </w:pPr>
    <w:rPr>
      <w:rFonts w:cs="Arial"/>
      <w:b/>
      <w:bCs/>
      <w:kern w:val="32"/>
      <w:sz w:val="32"/>
      <w:szCs w:val="32"/>
    </w:rPr>
  </w:style>
  <w:style w:type="paragraph" w:styleId="Nadpis3">
    <w:name w:val="heading 3"/>
    <w:basedOn w:val="Normln"/>
    <w:next w:val="Normln"/>
    <w:link w:val="Nadpis3Char"/>
    <w:qFormat/>
    <w:rsid w:val="00825173"/>
    <w:pPr>
      <w:keepNext/>
      <w:numPr>
        <w:ilvl w:val="2"/>
        <w:numId w:val="3"/>
      </w:numPr>
      <w:spacing w:before="240" w:after="60"/>
      <w:outlineLvl w:val="2"/>
    </w:pPr>
    <w:rPr>
      <w:rFonts w:cs="Arial"/>
      <w:b/>
      <w:bCs/>
      <w:sz w:val="26"/>
      <w:szCs w:val="26"/>
    </w:rPr>
  </w:style>
  <w:style w:type="paragraph" w:styleId="Nadpis4">
    <w:name w:val="heading 4"/>
    <w:basedOn w:val="Normln"/>
    <w:next w:val="Normln"/>
    <w:link w:val="Nadpis4Char"/>
    <w:qFormat/>
    <w:rsid w:val="00825173"/>
    <w:pPr>
      <w:keepNext/>
      <w:numPr>
        <w:ilvl w:val="3"/>
        <w:numId w:val="3"/>
      </w:numPr>
      <w:spacing w:before="240" w:after="60"/>
      <w:outlineLvl w:val="3"/>
    </w:pPr>
    <w:rPr>
      <w:b/>
      <w:bCs/>
      <w:sz w:val="28"/>
      <w:szCs w:val="28"/>
    </w:rPr>
  </w:style>
  <w:style w:type="paragraph" w:styleId="Nadpis5">
    <w:name w:val="heading 5"/>
    <w:basedOn w:val="Normln"/>
    <w:next w:val="Normln"/>
    <w:link w:val="Nadpis5Char"/>
    <w:qFormat/>
    <w:rsid w:val="00825173"/>
    <w:pPr>
      <w:numPr>
        <w:ilvl w:val="4"/>
        <w:numId w:val="3"/>
      </w:numPr>
      <w:spacing w:before="240" w:after="60"/>
      <w:outlineLvl w:val="4"/>
    </w:pPr>
    <w:rPr>
      <w:b/>
      <w:bCs/>
      <w:i/>
      <w:iCs/>
      <w:sz w:val="26"/>
      <w:szCs w:val="26"/>
    </w:rPr>
  </w:style>
  <w:style w:type="paragraph" w:styleId="Nadpis6">
    <w:name w:val="heading 6"/>
    <w:basedOn w:val="Normln"/>
    <w:next w:val="Normln"/>
    <w:link w:val="Nadpis6Char"/>
    <w:qFormat/>
    <w:rsid w:val="00825173"/>
    <w:pPr>
      <w:numPr>
        <w:ilvl w:val="5"/>
        <w:numId w:val="3"/>
      </w:numPr>
      <w:spacing w:before="240" w:after="60"/>
      <w:outlineLvl w:val="5"/>
    </w:pPr>
    <w:rPr>
      <w:b/>
      <w:bCs/>
      <w:sz w:val="22"/>
      <w:szCs w:val="22"/>
    </w:rPr>
  </w:style>
  <w:style w:type="paragraph" w:styleId="Nadpis7">
    <w:name w:val="heading 7"/>
    <w:basedOn w:val="Normln"/>
    <w:next w:val="Normln"/>
    <w:link w:val="Nadpis7Char"/>
    <w:qFormat/>
    <w:rsid w:val="00825173"/>
    <w:pPr>
      <w:numPr>
        <w:ilvl w:val="6"/>
        <w:numId w:val="3"/>
      </w:numPr>
      <w:spacing w:before="240" w:after="60"/>
      <w:outlineLvl w:val="6"/>
    </w:pPr>
    <w:rPr>
      <w:szCs w:val="24"/>
    </w:rPr>
  </w:style>
  <w:style w:type="paragraph" w:styleId="Nadpis8">
    <w:name w:val="heading 8"/>
    <w:basedOn w:val="Normln"/>
    <w:next w:val="Normln"/>
    <w:link w:val="Nadpis8Char"/>
    <w:qFormat/>
    <w:rsid w:val="00825173"/>
    <w:pPr>
      <w:numPr>
        <w:ilvl w:val="7"/>
        <w:numId w:val="3"/>
      </w:numPr>
      <w:spacing w:before="240" w:after="60"/>
      <w:outlineLvl w:val="7"/>
    </w:pPr>
    <w:rPr>
      <w:i/>
      <w:iCs/>
      <w:szCs w:val="24"/>
    </w:rPr>
  </w:style>
  <w:style w:type="paragraph" w:styleId="Nadpis9">
    <w:name w:val="heading 9"/>
    <w:basedOn w:val="Normln"/>
    <w:next w:val="Normln"/>
    <w:link w:val="Nadpis9Char"/>
    <w:qFormat/>
    <w:rsid w:val="00825173"/>
    <w:pPr>
      <w:numPr>
        <w:ilvl w:val="8"/>
        <w:numId w:val="3"/>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25173"/>
    <w:rPr>
      <w:rFonts w:ascii="Times New Roman" w:eastAsia="Times New Roman" w:hAnsi="Times New Roman" w:cs="Arial"/>
      <w:b/>
      <w:bCs/>
      <w:kern w:val="32"/>
      <w:sz w:val="32"/>
      <w:szCs w:val="32"/>
      <w:lang w:eastAsia="de-DE"/>
    </w:rPr>
  </w:style>
  <w:style w:type="character" w:customStyle="1" w:styleId="Nadpis3Char">
    <w:name w:val="Nadpis 3 Char"/>
    <w:basedOn w:val="Standardnpsmoodstavce"/>
    <w:link w:val="Nadpis3"/>
    <w:rsid w:val="00825173"/>
    <w:rPr>
      <w:rFonts w:ascii="Times New Roman" w:eastAsia="Times New Roman" w:hAnsi="Times New Roman" w:cs="Arial"/>
      <w:b/>
      <w:bCs/>
      <w:sz w:val="26"/>
      <w:szCs w:val="26"/>
      <w:lang w:eastAsia="de-DE"/>
    </w:rPr>
  </w:style>
  <w:style w:type="character" w:customStyle="1" w:styleId="Nadpis4Char">
    <w:name w:val="Nadpis 4 Char"/>
    <w:basedOn w:val="Standardnpsmoodstavce"/>
    <w:link w:val="Nadpis4"/>
    <w:rsid w:val="00825173"/>
    <w:rPr>
      <w:rFonts w:ascii="Times New Roman" w:eastAsia="Times New Roman" w:hAnsi="Times New Roman" w:cs="Times New Roman"/>
      <w:b/>
      <w:bCs/>
      <w:sz w:val="28"/>
      <w:szCs w:val="28"/>
      <w:lang w:eastAsia="de-DE"/>
    </w:rPr>
  </w:style>
  <w:style w:type="character" w:customStyle="1" w:styleId="Nadpis5Char">
    <w:name w:val="Nadpis 5 Char"/>
    <w:basedOn w:val="Standardnpsmoodstavce"/>
    <w:link w:val="Nadpis5"/>
    <w:rsid w:val="00825173"/>
    <w:rPr>
      <w:rFonts w:ascii="Times New Roman" w:eastAsia="Times New Roman" w:hAnsi="Times New Roman" w:cs="Times New Roman"/>
      <w:b/>
      <w:bCs/>
      <w:i/>
      <w:iCs/>
      <w:sz w:val="26"/>
      <w:szCs w:val="26"/>
      <w:lang w:eastAsia="de-DE"/>
    </w:rPr>
  </w:style>
  <w:style w:type="character" w:customStyle="1" w:styleId="Nadpis6Char">
    <w:name w:val="Nadpis 6 Char"/>
    <w:basedOn w:val="Standardnpsmoodstavce"/>
    <w:link w:val="Nadpis6"/>
    <w:rsid w:val="00825173"/>
    <w:rPr>
      <w:rFonts w:ascii="Times New Roman" w:eastAsia="Times New Roman" w:hAnsi="Times New Roman" w:cs="Times New Roman"/>
      <w:b/>
      <w:bCs/>
      <w:lang w:eastAsia="de-DE"/>
    </w:rPr>
  </w:style>
  <w:style w:type="character" w:customStyle="1" w:styleId="Nadpis7Char">
    <w:name w:val="Nadpis 7 Char"/>
    <w:basedOn w:val="Standardnpsmoodstavce"/>
    <w:link w:val="Nadpis7"/>
    <w:rsid w:val="00825173"/>
    <w:rPr>
      <w:rFonts w:ascii="Times New Roman" w:eastAsia="Times New Roman" w:hAnsi="Times New Roman" w:cs="Times New Roman"/>
      <w:sz w:val="24"/>
      <w:szCs w:val="24"/>
      <w:lang w:eastAsia="de-DE"/>
    </w:rPr>
  </w:style>
  <w:style w:type="character" w:customStyle="1" w:styleId="Nadpis8Char">
    <w:name w:val="Nadpis 8 Char"/>
    <w:basedOn w:val="Standardnpsmoodstavce"/>
    <w:link w:val="Nadpis8"/>
    <w:rsid w:val="00825173"/>
    <w:rPr>
      <w:rFonts w:ascii="Times New Roman" w:eastAsia="Times New Roman" w:hAnsi="Times New Roman" w:cs="Times New Roman"/>
      <w:i/>
      <w:iCs/>
      <w:sz w:val="24"/>
      <w:szCs w:val="24"/>
      <w:lang w:eastAsia="de-DE"/>
    </w:rPr>
  </w:style>
  <w:style w:type="character" w:customStyle="1" w:styleId="Nadpis9Char">
    <w:name w:val="Nadpis 9 Char"/>
    <w:basedOn w:val="Standardnpsmoodstavce"/>
    <w:link w:val="Nadpis9"/>
    <w:rsid w:val="00825173"/>
    <w:rPr>
      <w:rFonts w:ascii="Times New Roman" w:eastAsia="Times New Roman" w:hAnsi="Times New Roman" w:cs="Arial"/>
      <w:lang w:eastAsia="de-DE"/>
    </w:rPr>
  </w:style>
  <w:style w:type="paragraph" w:styleId="Zhlav">
    <w:name w:val="header"/>
    <w:basedOn w:val="Normln"/>
    <w:link w:val="ZhlavChar"/>
    <w:uiPriority w:val="99"/>
    <w:rsid w:val="00825173"/>
    <w:pPr>
      <w:tabs>
        <w:tab w:val="center" w:pos="4536"/>
        <w:tab w:val="right" w:pos="9072"/>
      </w:tabs>
    </w:pPr>
  </w:style>
  <w:style w:type="character" w:customStyle="1" w:styleId="ZhlavChar">
    <w:name w:val="Záhlaví Char"/>
    <w:basedOn w:val="Standardnpsmoodstavce"/>
    <w:link w:val="Zhlav"/>
    <w:uiPriority w:val="99"/>
    <w:rsid w:val="00825173"/>
    <w:rPr>
      <w:rFonts w:ascii="Times New Roman" w:eastAsia="Times New Roman" w:hAnsi="Times New Roman" w:cs="Times New Roman"/>
      <w:sz w:val="24"/>
      <w:szCs w:val="20"/>
      <w:lang w:eastAsia="de-DE"/>
    </w:rPr>
  </w:style>
  <w:style w:type="paragraph" w:styleId="Zpat">
    <w:name w:val="footer"/>
    <w:basedOn w:val="Normln"/>
    <w:link w:val="ZpatChar"/>
    <w:uiPriority w:val="99"/>
    <w:rsid w:val="00825173"/>
    <w:pPr>
      <w:tabs>
        <w:tab w:val="center" w:pos="4536"/>
        <w:tab w:val="right" w:pos="9072"/>
      </w:tabs>
    </w:pPr>
  </w:style>
  <w:style w:type="character" w:customStyle="1" w:styleId="ZpatChar">
    <w:name w:val="Zápatí Char"/>
    <w:basedOn w:val="Standardnpsmoodstavce"/>
    <w:link w:val="Zpat"/>
    <w:uiPriority w:val="99"/>
    <w:rsid w:val="00825173"/>
    <w:rPr>
      <w:rFonts w:ascii="Times New Roman" w:eastAsia="Times New Roman" w:hAnsi="Times New Roman" w:cs="Times New Roman"/>
      <w:sz w:val="24"/>
      <w:szCs w:val="20"/>
      <w:lang w:eastAsia="de-DE"/>
    </w:rPr>
  </w:style>
  <w:style w:type="paragraph" w:customStyle="1" w:styleId="EONKommentar">
    <w:name w:val="EONKommentar"/>
    <w:basedOn w:val="Normln"/>
    <w:rsid w:val="00825173"/>
    <w:pPr>
      <w:spacing w:line="240" w:lineRule="auto"/>
    </w:pPr>
    <w:rPr>
      <w:vanish/>
      <w:color w:val="FF0000"/>
      <w:sz w:val="18"/>
    </w:rPr>
  </w:style>
  <w:style w:type="character" w:styleId="slostrnky">
    <w:name w:val="page number"/>
    <w:basedOn w:val="Standardnpsmoodstavce"/>
    <w:rsid w:val="00825173"/>
  </w:style>
  <w:style w:type="paragraph" w:styleId="Zkladntext">
    <w:name w:val="Body Text"/>
    <w:basedOn w:val="Normln"/>
    <w:link w:val="ZkladntextChar"/>
    <w:rsid w:val="00825173"/>
    <w:pPr>
      <w:spacing w:line="240" w:lineRule="auto"/>
      <w:jc w:val="both"/>
    </w:pPr>
    <w:rPr>
      <w:lang w:eastAsia="cs-CZ"/>
    </w:rPr>
  </w:style>
  <w:style w:type="character" w:customStyle="1" w:styleId="ZkladntextChar">
    <w:name w:val="Základní text Char"/>
    <w:basedOn w:val="Standardnpsmoodstavce"/>
    <w:link w:val="Zkladntext"/>
    <w:rsid w:val="00825173"/>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825173"/>
    <w:pPr>
      <w:spacing w:line="280" w:lineRule="exact"/>
    </w:pPr>
    <w:rPr>
      <w:b/>
      <w:bCs/>
    </w:rPr>
  </w:style>
  <w:style w:type="character" w:customStyle="1" w:styleId="Zkladntext2Char">
    <w:name w:val="Základní text 2 Char"/>
    <w:basedOn w:val="Standardnpsmoodstavce"/>
    <w:link w:val="Zkladntext2"/>
    <w:rsid w:val="00825173"/>
    <w:rPr>
      <w:rFonts w:ascii="Times New Roman" w:eastAsia="Times New Roman" w:hAnsi="Times New Roman" w:cs="Times New Roman"/>
      <w:b/>
      <w:bCs/>
      <w:sz w:val="24"/>
      <w:szCs w:val="20"/>
      <w:lang w:eastAsia="de-DE"/>
    </w:rPr>
  </w:style>
  <w:style w:type="character" w:styleId="Odkaznakoment">
    <w:name w:val="annotation reference"/>
    <w:aliases w:val="Značka poznámky"/>
    <w:basedOn w:val="Standardnpsmoodstavce"/>
    <w:uiPriority w:val="99"/>
    <w:rsid w:val="00825173"/>
    <w:rPr>
      <w:sz w:val="16"/>
      <w:szCs w:val="16"/>
    </w:rPr>
  </w:style>
  <w:style w:type="paragraph" w:styleId="Zkladntextodsazen">
    <w:name w:val="Body Text Indent"/>
    <w:basedOn w:val="Normln"/>
    <w:link w:val="ZkladntextodsazenChar"/>
    <w:rsid w:val="00825173"/>
    <w:pPr>
      <w:spacing w:before="60" w:line="240" w:lineRule="auto"/>
      <w:ind w:left="180"/>
      <w:jc w:val="both"/>
    </w:pPr>
    <w:rPr>
      <w:rFonts w:ascii="Arial" w:hAnsi="Arial"/>
      <w:sz w:val="18"/>
      <w:lang w:eastAsia="cs-CZ"/>
    </w:rPr>
  </w:style>
  <w:style w:type="character" w:customStyle="1" w:styleId="ZkladntextodsazenChar">
    <w:name w:val="Základní text odsazený Char"/>
    <w:basedOn w:val="Standardnpsmoodstavce"/>
    <w:link w:val="Zkladntextodsazen"/>
    <w:rsid w:val="00825173"/>
    <w:rPr>
      <w:rFonts w:ascii="Arial" w:eastAsia="Times New Roman" w:hAnsi="Arial" w:cs="Times New Roman"/>
      <w:sz w:val="18"/>
      <w:szCs w:val="20"/>
      <w:lang w:eastAsia="cs-CZ"/>
    </w:rPr>
  </w:style>
  <w:style w:type="paragraph" w:styleId="Textkomente">
    <w:name w:val="annotation text"/>
    <w:aliases w:val="Text poznámky"/>
    <w:basedOn w:val="Normln"/>
    <w:link w:val="TextkomenteChar"/>
    <w:uiPriority w:val="99"/>
    <w:rsid w:val="00825173"/>
    <w:pPr>
      <w:spacing w:before="60" w:line="240" w:lineRule="auto"/>
      <w:ind w:firstLine="142"/>
      <w:jc w:val="both"/>
    </w:pPr>
    <w:rPr>
      <w:rFonts w:ascii="Arial" w:hAnsi="Arial"/>
      <w:sz w:val="20"/>
      <w:lang w:val="en-US" w:eastAsia="cs-CZ"/>
    </w:rPr>
  </w:style>
  <w:style w:type="character" w:customStyle="1" w:styleId="TextkomenteChar">
    <w:name w:val="Text komentáře Char"/>
    <w:aliases w:val="Text poznámky Char"/>
    <w:basedOn w:val="Standardnpsmoodstavce"/>
    <w:link w:val="Textkomente"/>
    <w:uiPriority w:val="99"/>
    <w:rsid w:val="00825173"/>
    <w:rPr>
      <w:rFonts w:ascii="Arial" w:eastAsia="Times New Roman" w:hAnsi="Arial" w:cs="Times New Roman"/>
      <w:sz w:val="20"/>
      <w:szCs w:val="20"/>
      <w:lang w:val="en-US" w:eastAsia="cs-CZ"/>
    </w:rPr>
  </w:style>
  <w:style w:type="character" w:styleId="Hypertextovodkaz">
    <w:name w:val="Hyperlink"/>
    <w:basedOn w:val="Standardnpsmoodstavce"/>
    <w:rsid w:val="00825173"/>
    <w:rPr>
      <w:color w:val="0000FF"/>
      <w:u w:val="single"/>
    </w:rPr>
  </w:style>
  <w:style w:type="paragraph" w:styleId="Odstavecseseznamem">
    <w:name w:val="List Paragraph"/>
    <w:basedOn w:val="Normln"/>
    <w:uiPriority w:val="34"/>
    <w:qFormat/>
    <w:rsid w:val="00825173"/>
    <w:pPr>
      <w:spacing w:line="240" w:lineRule="auto"/>
      <w:ind w:left="720"/>
      <w:contextualSpacing/>
    </w:pPr>
    <w:rPr>
      <w:szCs w:val="24"/>
      <w:lang w:eastAsia="cs-CZ"/>
    </w:rPr>
  </w:style>
  <w:style w:type="paragraph" w:customStyle="1" w:styleId="textsmlouvy">
    <w:name w:val="text smlouvy"/>
    <w:basedOn w:val="Normln"/>
    <w:rsid w:val="00825173"/>
    <w:pPr>
      <w:spacing w:line="240" w:lineRule="auto"/>
      <w:ind w:firstLine="540"/>
    </w:pPr>
    <w:rPr>
      <w:rFonts w:ascii="Times" w:hAnsi="Times"/>
      <w:color w:val="000000"/>
      <w:kern w:val="28"/>
      <w:szCs w:val="15"/>
      <w:lang w:eastAsia="cs-CZ"/>
    </w:rPr>
  </w:style>
  <w:style w:type="paragraph" w:styleId="Zkladntextodsazen2">
    <w:name w:val="Body Text Indent 2"/>
    <w:basedOn w:val="Normln"/>
    <w:link w:val="Zkladntextodsazen2Char"/>
    <w:rsid w:val="00825173"/>
    <w:pPr>
      <w:spacing w:after="120" w:line="480" w:lineRule="auto"/>
      <w:ind w:left="283"/>
    </w:pPr>
  </w:style>
  <w:style w:type="character" w:customStyle="1" w:styleId="Zkladntextodsazen2Char">
    <w:name w:val="Základní text odsazený 2 Char"/>
    <w:basedOn w:val="Standardnpsmoodstavce"/>
    <w:link w:val="Zkladntextodsazen2"/>
    <w:rsid w:val="00825173"/>
    <w:rPr>
      <w:rFonts w:ascii="Times New Roman" w:eastAsia="Times New Roman" w:hAnsi="Times New Roman" w:cs="Times New Roman"/>
      <w:sz w:val="24"/>
      <w:szCs w:val="20"/>
      <w:lang w:eastAsia="de-DE"/>
    </w:rPr>
  </w:style>
  <w:style w:type="paragraph" w:customStyle="1" w:styleId="11">
    <w:name w:val="1.1"/>
    <w:basedOn w:val="Normln"/>
    <w:link w:val="11Char"/>
    <w:autoRedefine/>
    <w:qFormat/>
    <w:rsid w:val="00825173"/>
    <w:pPr>
      <w:numPr>
        <w:ilvl w:val="1"/>
        <w:numId w:val="2"/>
      </w:numPr>
      <w:spacing w:line="240" w:lineRule="auto"/>
      <w:ind w:left="709" w:hanging="709"/>
    </w:pPr>
    <w:rPr>
      <w:szCs w:val="24"/>
      <w:lang w:eastAsia="cs-CZ"/>
    </w:rPr>
  </w:style>
  <w:style w:type="character" w:customStyle="1" w:styleId="11Char">
    <w:name w:val="1.1 Char"/>
    <w:basedOn w:val="Standardnpsmoodstavce"/>
    <w:link w:val="11"/>
    <w:rsid w:val="00825173"/>
    <w:rPr>
      <w:rFonts w:ascii="Times New Roman" w:eastAsia="Times New Roman" w:hAnsi="Times New Roman" w:cs="Times New Roman"/>
      <w:sz w:val="24"/>
      <w:szCs w:val="24"/>
      <w:lang w:eastAsia="cs-CZ"/>
    </w:rPr>
  </w:style>
  <w:style w:type="paragraph" w:customStyle="1" w:styleId="31">
    <w:name w:val="3.1"/>
    <w:basedOn w:val="Normln"/>
    <w:link w:val="31Char"/>
    <w:autoRedefine/>
    <w:qFormat/>
    <w:rsid w:val="00825173"/>
    <w:pPr>
      <w:spacing w:line="240" w:lineRule="auto"/>
    </w:pPr>
    <w:rPr>
      <w:b/>
      <w:bCs/>
      <w:color w:val="000000"/>
      <w:szCs w:val="24"/>
      <w:lang w:eastAsia="cs-CZ"/>
    </w:rPr>
  </w:style>
  <w:style w:type="character" w:customStyle="1" w:styleId="31Char">
    <w:name w:val="3.1 Char"/>
    <w:basedOn w:val="Standardnpsmoodstavce"/>
    <w:link w:val="31"/>
    <w:rsid w:val="00825173"/>
    <w:rPr>
      <w:rFonts w:ascii="Times New Roman" w:eastAsia="Times New Roman" w:hAnsi="Times New Roman" w:cs="Times New Roman"/>
      <w:b/>
      <w:bCs/>
      <w:color w:val="000000"/>
      <w:sz w:val="24"/>
      <w:szCs w:val="24"/>
      <w:lang w:eastAsia="cs-CZ"/>
    </w:rPr>
  </w:style>
  <w:style w:type="paragraph" w:customStyle="1" w:styleId="41">
    <w:name w:val="4.1"/>
    <w:basedOn w:val="Normln"/>
    <w:link w:val="41Char"/>
    <w:qFormat/>
    <w:rsid w:val="00825173"/>
    <w:pPr>
      <w:numPr>
        <w:ilvl w:val="1"/>
        <w:numId w:val="5"/>
      </w:numPr>
    </w:pPr>
  </w:style>
  <w:style w:type="character" w:customStyle="1" w:styleId="41Char">
    <w:name w:val="4.1 Char"/>
    <w:basedOn w:val="Standardnpsmoodstavce"/>
    <w:link w:val="41"/>
    <w:locked/>
    <w:rsid w:val="00825173"/>
    <w:rPr>
      <w:rFonts w:ascii="Times New Roman" w:eastAsia="Times New Roman" w:hAnsi="Times New Roman" w:cs="Times New Roman"/>
      <w:sz w:val="24"/>
      <w:szCs w:val="20"/>
      <w:lang w:eastAsia="de-DE"/>
    </w:rPr>
  </w:style>
  <w:style w:type="paragraph" w:styleId="Textbubliny">
    <w:name w:val="Balloon Text"/>
    <w:basedOn w:val="Normln"/>
    <w:link w:val="TextbublinyChar"/>
    <w:uiPriority w:val="99"/>
    <w:semiHidden/>
    <w:unhideWhenUsed/>
    <w:rsid w:val="0082517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5173"/>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E6B247C9B144E5B343FBBC7CA7B1C1"/>
        <w:category>
          <w:name w:val="Obecné"/>
          <w:gallery w:val="placeholder"/>
        </w:category>
        <w:types>
          <w:type w:val="bbPlcHdr"/>
        </w:types>
        <w:behaviors>
          <w:behavior w:val="content"/>
        </w:behaviors>
        <w:guid w:val="{E56A0B2F-5661-4F8F-B5E7-512E2650C5C5}"/>
      </w:docPartPr>
      <w:docPartBody>
        <w:p w:rsidR="00731ABF" w:rsidRDefault="002D466E" w:rsidP="002D466E">
          <w:pPr>
            <w:pStyle w:val="69E6B247C9B144E5B343FBBC7CA7B1C1"/>
          </w:pPr>
          <w:r w:rsidRPr="00FB1C5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6E"/>
    <w:rsid w:val="001B21C2"/>
    <w:rsid w:val="002D466E"/>
    <w:rsid w:val="00731ABF"/>
    <w:rsid w:val="00734B51"/>
    <w:rsid w:val="00835358"/>
    <w:rsid w:val="008C4021"/>
    <w:rsid w:val="00FC23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466E"/>
    <w:rPr>
      <w:color w:val="808080"/>
    </w:rPr>
  </w:style>
  <w:style w:type="paragraph" w:customStyle="1" w:styleId="69E6B247C9B144E5B343FBBC7CA7B1C1">
    <w:name w:val="69E6B247C9B144E5B343FBBC7CA7B1C1"/>
    <w:rsid w:val="002D4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C193B-8C56-4FB8-8E8C-E453C269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4075</Words>
  <Characters>24049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P19373</dc:creator>
  <cp:lastModifiedBy>Pokorný Miroslav</cp:lastModifiedBy>
  <cp:revision>5</cp:revision>
  <cp:lastPrinted>2016-12-28T17:24:00Z</cp:lastPrinted>
  <dcterms:created xsi:type="dcterms:W3CDTF">2016-12-28T17:19:00Z</dcterms:created>
  <dcterms:modified xsi:type="dcterms:W3CDTF">2017-01-18T11:46:00Z</dcterms:modified>
</cp:coreProperties>
</file>