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1919CCC4" w:rsidR="00923483" w:rsidRDefault="00B009E9"/>
    <w:p w14:paraId="166B1127" w14:textId="77777777" w:rsidR="00604890" w:rsidRPr="00B009E9" w:rsidRDefault="00604890" w:rsidP="00A75721">
      <w:pPr>
        <w:spacing w:after="0"/>
        <w:jc w:val="center"/>
        <w:rPr>
          <w:b/>
          <w:sz w:val="40"/>
          <w:szCs w:val="40"/>
        </w:rPr>
      </w:pPr>
      <w:r w:rsidRPr="00B009E9">
        <w:rPr>
          <w:b/>
          <w:sz w:val="40"/>
          <w:szCs w:val="40"/>
        </w:rPr>
        <w:t>O B J E D N Á V K</w:t>
      </w:r>
      <w:r w:rsidR="00A75721" w:rsidRPr="00B009E9">
        <w:rPr>
          <w:b/>
          <w:sz w:val="40"/>
          <w:szCs w:val="40"/>
        </w:rPr>
        <w:t> </w:t>
      </w:r>
      <w:r w:rsidRPr="00B009E9">
        <w:rPr>
          <w:b/>
          <w:sz w:val="40"/>
          <w:szCs w:val="40"/>
        </w:rPr>
        <w:t>A</w:t>
      </w:r>
    </w:p>
    <w:p w14:paraId="41D44F15" w14:textId="6D020B22" w:rsidR="009D35A1" w:rsidRPr="00B009E9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B009E9">
        <w:rPr>
          <w:sz w:val="24"/>
          <w:szCs w:val="24"/>
        </w:rPr>
        <w:t>Číslo objednávky:</w:t>
      </w:r>
      <w:r w:rsidR="008E3E46" w:rsidRPr="00B009E9">
        <w:rPr>
          <w:sz w:val="24"/>
          <w:szCs w:val="24"/>
        </w:rPr>
        <w:t xml:space="preserve"> </w:t>
      </w:r>
      <w:r w:rsidR="003C5FC6" w:rsidRPr="00B009E9">
        <w:rPr>
          <w:b/>
          <w:sz w:val="24"/>
          <w:szCs w:val="24"/>
        </w:rPr>
        <w:t>06EU-004672</w:t>
      </w:r>
      <w:r w:rsidR="003C5FC6" w:rsidRPr="00B009E9">
        <w:rPr>
          <w:sz w:val="24"/>
          <w:szCs w:val="24"/>
        </w:rPr>
        <w:t xml:space="preserve"> </w:t>
      </w:r>
      <w:r w:rsidR="008E3E46" w:rsidRPr="00B009E9">
        <w:rPr>
          <w:sz w:val="20"/>
          <w:szCs w:val="20"/>
        </w:rPr>
        <w:t>(uvádějte při fakturaci)</w:t>
      </w:r>
    </w:p>
    <w:p w14:paraId="211824E7" w14:textId="5A50F18C" w:rsidR="008E3E46" w:rsidRPr="00B009E9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B009E9">
        <w:rPr>
          <w:bCs/>
          <w:sz w:val="24"/>
          <w:szCs w:val="24"/>
        </w:rPr>
        <w:t xml:space="preserve">Číslo dodavatele: </w:t>
      </w:r>
      <w:proofErr w:type="spellStart"/>
      <w:r w:rsidR="00B009E9" w:rsidRPr="00B009E9">
        <w:rPr>
          <w:bCs/>
          <w:sz w:val="24"/>
          <w:szCs w:val="24"/>
          <w:highlight w:val="black"/>
        </w:rPr>
        <w:t>xxxxx</w:t>
      </w:r>
      <w:proofErr w:type="spellEnd"/>
    </w:p>
    <w:p w14:paraId="364C7595" w14:textId="76370280" w:rsidR="008E3E46" w:rsidRPr="00B009E9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B009E9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009E9">
        <w:rPr>
          <w:bCs/>
          <w:sz w:val="24"/>
          <w:szCs w:val="24"/>
        </w:rPr>
        <w:t xml:space="preserve">ISPROFIN/ISPROFOND: </w:t>
      </w:r>
      <w:r w:rsidR="003C5FC6" w:rsidRPr="00B009E9">
        <w:rPr>
          <w:sz w:val="24"/>
          <w:szCs w:val="24"/>
          <w:highlight w:val="black"/>
        </w:rPr>
        <w:t>5001210002.16978.2020</w:t>
      </w:r>
      <w:r w:rsidR="001F2A64" w:rsidRPr="00B009E9">
        <w:rPr>
          <w:sz w:val="24"/>
          <w:szCs w:val="24"/>
        </w:rPr>
        <w:t xml:space="preserve"> </w:t>
      </w:r>
      <w:r w:rsidRPr="00B009E9">
        <w:rPr>
          <w:sz w:val="20"/>
          <w:szCs w:val="20"/>
        </w:rPr>
        <w:t>(uvádějte při fakturaci)</w:t>
      </w:r>
    </w:p>
    <w:p w14:paraId="2E47A06F" w14:textId="77777777" w:rsidR="008E3E46" w:rsidRPr="00B009E9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0CE28ADC" w14:textId="3B3B87FF" w:rsidR="008E3E46" w:rsidRPr="00B009E9" w:rsidRDefault="001F2A64" w:rsidP="008E3E46">
      <w:pPr>
        <w:tabs>
          <w:tab w:val="left" w:pos="2268"/>
        </w:tabs>
        <w:spacing w:after="0"/>
        <w:jc w:val="center"/>
        <w:rPr>
          <w:b/>
          <w:bCs/>
          <w:szCs w:val="28"/>
          <w:u w:val="single"/>
        </w:rPr>
      </w:pPr>
      <w:r w:rsidRPr="00B009E9">
        <w:rPr>
          <w:b/>
          <w:bCs/>
          <w:szCs w:val="28"/>
          <w:u w:val="single"/>
        </w:rPr>
        <w:t>I/26 Horš</w:t>
      </w:r>
      <w:r w:rsidR="003C5FC6" w:rsidRPr="00B009E9">
        <w:rPr>
          <w:b/>
          <w:bCs/>
          <w:szCs w:val="28"/>
          <w:u w:val="single"/>
        </w:rPr>
        <w:t>ovský Týn, okružní křižovatka – Technická studie (TST)</w:t>
      </w:r>
    </w:p>
    <w:p w14:paraId="4463750E" w14:textId="5E07D30D" w:rsidR="00CB3AB0" w:rsidRPr="00B009E9" w:rsidRDefault="00CB3AB0" w:rsidP="002E029E">
      <w:pPr>
        <w:spacing w:after="0"/>
        <w:rPr>
          <w:b/>
        </w:rPr>
      </w:pPr>
    </w:p>
    <w:p w14:paraId="6D38822C" w14:textId="77777777" w:rsidR="008E3E46" w:rsidRPr="00B009E9" w:rsidRDefault="008E3E46" w:rsidP="002E029E">
      <w:pPr>
        <w:spacing w:after="0"/>
        <w:rPr>
          <w:b/>
        </w:rPr>
        <w:sectPr w:rsidR="008E3E46" w:rsidRPr="00B009E9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B009E9" w:rsidRDefault="00604890">
      <w:pPr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>Objednatel:</w:t>
      </w:r>
    </w:p>
    <w:p w14:paraId="2D91457E" w14:textId="060960B4" w:rsidR="00604890" w:rsidRPr="00B009E9" w:rsidRDefault="00604890" w:rsidP="00153D94">
      <w:pPr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>Ředitelství silnic a dálnic ČR</w:t>
      </w:r>
    </w:p>
    <w:p w14:paraId="30CF88F9" w14:textId="3FB27FFF" w:rsidR="008E3E46" w:rsidRPr="00B009E9" w:rsidRDefault="008E3E46" w:rsidP="00153D94">
      <w:pPr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>Správa Plzeň, Hřímalého 37, 301 00 Plzeň</w:t>
      </w:r>
    </w:p>
    <w:p w14:paraId="2C4E01A4" w14:textId="77777777" w:rsidR="00604890" w:rsidRPr="00B009E9" w:rsidRDefault="00604890" w:rsidP="00153D94">
      <w:pPr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 xml:space="preserve">Bankovní spojení: </w:t>
      </w:r>
      <w:r w:rsidRPr="00B009E9">
        <w:rPr>
          <w:sz w:val="24"/>
          <w:szCs w:val="24"/>
          <w:highlight w:val="black"/>
        </w:rPr>
        <w:t>ČNB</w:t>
      </w:r>
    </w:p>
    <w:p w14:paraId="47A1C014" w14:textId="77777777" w:rsidR="00604890" w:rsidRPr="00B009E9" w:rsidRDefault="00604890" w:rsidP="00153D94">
      <w:pPr>
        <w:spacing w:after="0"/>
        <w:rPr>
          <w:sz w:val="24"/>
          <w:szCs w:val="24"/>
          <w:highlight w:val="black"/>
        </w:rPr>
      </w:pPr>
      <w:r w:rsidRPr="00B009E9">
        <w:rPr>
          <w:sz w:val="24"/>
          <w:szCs w:val="24"/>
        </w:rPr>
        <w:t xml:space="preserve">Číslo účtu: </w:t>
      </w:r>
      <w:r w:rsidRPr="00B009E9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B009E9" w:rsidRDefault="00604890" w:rsidP="00153D94">
      <w:pPr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>IČO: 65993390</w:t>
      </w:r>
    </w:p>
    <w:p w14:paraId="312D64FA" w14:textId="7F98D14B" w:rsidR="00604890" w:rsidRPr="00B009E9" w:rsidRDefault="00604890" w:rsidP="00153D94">
      <w:pPr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 xml:space="preserve">DIČ: </w:t>
      </w:r>
      <w:r w:rsidR="00105E6A" w:rsidRPr="00B009E9">
        <w:rPr>
          <w:sz w:val="24"/>
          <w:szCs w:val="24"/>
        </w:rPr>
        <w:t>CZ65993390</w:t>
      </w:r>
    </w:p>
    <w:p w14:paraId="696270D3" w14:textId="377C799F" w:rsidR="00FD16D6" w:rsidRPr="00B009E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B009E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B009E9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5431CA20" w14:textId="77777777" w:rsidR="00B009E9" w:rsidRDefault="00B009E9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1263F540" w14:textId="77777777" w:rsidR="00B009E9" w:rsidRDefault="00B009E9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0C8A3AAC" w14:textId="7BAEB9F5" w:rsidR="00B009E9" w:rsidRPr="00B009E9" w:rsidRDefault="00B009E9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7648917B" w14:textId="018954E3" w:rsidR="00FD16D6" w:rsidRPr="00B009E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B009E9">
        <w:rPr>
          <w:sz w:val="24"/>
          <w:szCs w:val="24"/>
        </w:rPr>
        <w:t xml:space="preserve">Obchodní jméno: </w:t>
      </w:r>
      <w:r w:rsidR="00B009E9">
        <w:rPr>
          <w:sz w:val="24"/>
          <w:szCs w:val="24"/>
        </w:rPr>
        <w:t>Ing. Daniela Škubalová – Projekční kancelář</w:t>
      </w:r>
    </w:p>
    <w:p w14:paraId="5902184A" w14:textId="3D696A56" w:rsidR="00FD16D6" w:rsidRPr="00B009E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B009E9">
        <w:rPr>
          <w:sz w:val="24"/>
          <w:szCs w:val="24"/>
        </w:rPr>
        <w:t xml:space="preserve">Adresa: </w:t>
      </w:r>
      <w:r w:rsidR="00B009E9">
        <w:rPr>
          <w:sz w:val="24"/>
          <w:szCs w:val="24"/>
        </w:rPr>
        <w:t>U Bachmače 29, 326 00 Plzeň</w:t>
      </w:r>
    </w:p>
    <w:p w14:paraId="406AAB6B" w14:textId="069BE7A7" w:rsidR="00FD16D6" w:rsidRPr="00B009E9" w:rsidRDefault="00FD16D6" w:rsidP="00B009E9">
      <w:pPr>
        <w:tabs>
          <w:tab w:val="left" w:pos="2268"/>
        </w:tabs>
        <w:spacing w:after="0"/>
        <w:ind w:right="-213"/>
        <w:rPr>
          <w:sz w:val="24"/>
          <w:szCs w:val="24"/>
        </w:rPr>
      </w:pPr>
      <w:r w:rsidRPr="00B009E9">
        <w:rPr>
          <w:sz w:val="24"/>
          <w:szCs w:val="24"/>
        </w:rPr>
        <w:t xml:space="preserve">Bankovní spojení: </w:t>
      </w:r>
      <w:r w:rsidRPr="00B009E9">
        <w:rPr>
          <w:sz w:val="24"/>
          <w:szCs w:val="24"/>
          <w:highlight w:val="black"/>
        </w:rPr>
        <w:t>[bude doplněno]</w:t>
      </w:r>
      <w:proofErr w:type="spellStart"/>
      <w:r w:rsidR="00B009E9" w:rsidRPr="00B009E9">
        <w:rPr>
          <w:sz w:val="24"/>
          <w:szCs w:val="24"/>
          <w:highlight w:val="black"/>
        </w:rPr>
        <w:t>xxx</w:t>
      </w:r>
      <w:proofErr w:type="spellEnd"/>
      <w:r w:rsidRPr="00B009E9">
        <w:rPr>
          <w:sz w:val="24"/>
          <w:szCs w:val="24"/>
        </w:rPr>
        <w:tab/>
      </w:r>
    </w:p>
    <w:p w14:paraId="573F0E39" w14:textId="77777777" w:rsidR="00FD16D6" w:rsidRPr="00B009E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 xml:space="preserve">Číslo účtu: </w:t>
      </w:r>
      <w:r w:rsidRPr="00B009E9">
        <w:rPr>
          <w:sz w:val="24"/>
          <w:szCs w:val="24"/>
          <w:highlight w:val="black"/>
        </w:rPr>
        <w:t>[bude doplněno]</w:t>
      </w:r>
    </w:p>
    <w:p w14:paraId="29117F31" w14:textId="17A63A04" w:rsidR="00FD16D6" w:rsidRPr="00B009E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 xml:space="preserve">IČO: </w:t>
      </w:r>
      <w:r w:rsidR="00B009E9">
        <w:rPr>
          <w:sz w:val="24"/>
          <w:szCs w:val="24"/>
        </w:rPr>
        <w:t>13890450</w:t>
      </w:r>
    </w:p>
    <w:p w14:paraId="1F495684" w14:textId="301D9B73" w:rsidR="00FD16D6" w:rsidRPr="00B009E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 xml:space="preserve">DIČ: </w:t>
      </w:r>
      <w:proofErr w:type="spellStart"/>
      <w:r w:rsidR="00B009E9" w:rsidRPr="00B009E9">
        <w:rPr>
          <w:sz w:val="24"/>
          <w:szCs w:val="24"/>
          <w:highlight w:val="black"/>
        </w:rPr>
        <w:t>xxxxxxxxxxxxx</w:t>
      </w:r>
      <w:proofErr w:type="spellEnd"/>
    </w:p>
    <w:p w14:paraId="5B88C604" w14:textId="29277929" w:rsidR="00FD16D6" w:rsidRPr="00B009E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09E9">
        <w:rPr>
          <w:sz w:val="24"/>
          <w:szCs w:val="24"/>
        </w:rPr>
        <w:t xml:space="preserve">Kontaktní osoba: </w:t>
      </w:r>
      <w:r w:rsidRPr="00B009E9">
        <w:rPr>
          <w:sz w:val="24"/>
          <w:szCs w:val="24"/>
          <w:highlight w:val="black"/>
        </w:rPr>
        <w:t>[bude doplněno]</w:t>
      </w:r>
      <w:proofErr w:type="spellStart"/>
      <w:r w:rsidR="00B009E9" w:rsidRPr="00B009E9">
        <w:rPr>
          <w:sz w:val="24"/>
          <w:szCs w:val="24"/>
          <w:highlight w:val="black"/>
        </w:rPr>
        <w:t>xxx</w:t>
      </w:r>
      <w:proofErr w:type="spellEnd"/>
      <w:r w:rsidRPr="00B009E9">
        <w:rPr>
          <w:sz w:val="24"/>
          <w:szCs w:val="24"/>
        </w:rPr>
        <w:tab/>
      </w:r>
    </w:p>
    <w:p w14:paraId="29216CE8" w14:textId="77777777" w:rsidR="00FD16D6" w:rsidRPr="00B009E9" w:rsidRDefault="00FD16D6" w:rsidP="00FD16D6">
      <w:pPr>
        <w:rPr>
          <w:sz w:val="24"/>
          <w:szCs w:val="24"/>
        </w:rPr>
      </w:pPr>
    </w:p>
    <w:p w14:paraId="10320009" w14:textId="77777777" w:rsidR="00EF028F" w:rsidRPr="00B009E9" w:rsidRDefault="00EF028F">
      <w:pPr>
        <w:rPr>
          <w:sz w:val="24"/>
          <w:szCs w:val="24"/>
        </w:rPr>
      </w:pPr>
    </w:p>
    <w:p w14:paraId="693818E2" w14:textId="77777777" w:rsidR="00EF028F" w:rsidRPr="00B009E9" w:rsidRDefault="00EF028F">
      <w:pPr>
        <w:rPr>
          <w:b/>
          <w:sz w:val="24"/>
          <w:szCs w:val="24"/>
        </w:rPr>
        <w:sectPr w:rsidR="00EF028F" w:rsidRPr="00B009E9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D0C57C" w14:textId="77777777" w:rsidR="00B009E9" w:rsidRDefault="00B009E9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281F781C" w14:textId="1F5B18BD" w:rsidR="00A87460" w:rsidRPr="00B009E9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 xml:space="preserve">Tato objednávka </w:t>
      </w:r>
      <w:r w:rsidR="00607143" w:rsidRPr="00B009E9">
        <w:rPr>
          <w:rFonts w:cs="Times New Roman"/>
          <w:sz w:val="24"/>
          <w:szCs w:val="24"/>
        </w:rPr>
        <w:t>O</w:t>
      </w:r>
      <w:r w:rsidRPr="00B009E9">
        <w:rPr>
          <w:rFonts w:cs="Times New Roman"/>
          <w:sz w:val="24"/>
          <w:szCs w:val="24"/>
        </w:rPr>
        <w:t xml:space="preserve">bjednatele zavazuje po jejím potvrzení </w:t>
      </w:r>
      <w:r w:rsidR="00607143" w:rsidRPr="00B009E9">
        <w:rPr>
          <w:rFonts w:cs="Times New Roman"/>
          <w:sz w:val="24"/>
          <w:szCs w:val="24"/>
        </w:rPr>
        <w:t>D</w:t>
      </w:r>
      <w:r w:rsidRPr="00B009E9">
        <w:rPr>
          <w:rFonts w:cs="Times New Roman"/>
          <w:sz w:val="24"/>
          <w:szCs w:val="24"/>
        </w:rPr>
        <w:t>odavatele</w:t>
      </w:r>
      <w:r w:rsidR="00DE7F99" w:rsidRPr="00B009E9">
        <w:rPr>
          <w:rFonts w:cs="Times New Roman"/>
          <w:sz w:val="24"/>
          <w:szCs w:val="24"/>
        </w:rPr>
        <w:t>m</w:t>
      </w:r>
      <w:r w:rsidRPr="00B009E9">
        <w:rPr>
          <w:rFonts w:cs="Times New Roman"/>
          <w:sz w:val="24"/>
          <w:szCs w:val="24"/>
        </w:rPr>
        <w:t xml:space="preserve"> obě </w:t>
      </w:r>
      <w:r w:rsidR="00542302" w:rsidRPr="00B009E9">
        <w:rPr>
          <w:rFonts w:cs="Times New Roman"/>
          <w:sz w:val="24"/>
          <w:szCs w:val="24"/>
        </w:rPr>
        <w:t>s</w:t>
      </w:r>
      <w:r w:rsidRPr="00B009E9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B009E9">
        <w:rPr>
          <w:rFonts w:cs="Times New Roman"/>
          <w:sz w:val="24"/>
          <w:szCs w:val="24"/>
        </w:rPr>
        <w:t xml:space="preserve">Dodavatel </w:t>
      </w:r>
      <w:r w:rsidRPr="00B009E9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B009E9">
        <w:rPr>
          <w:rFonts w:cs="Times New Roman"/>
          <w:sz w:val="24"/>
          <w:szCs w:val="24"/>
        </w:rPr>
        <w:t>O</w:t>
      </w:r>
      <w:r w:rsidRPr="00B009E9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B009E9">
        <w:rPr>
          <w:rFonts w:cs="Times New Roman"/>
          <w:sz w:val="24"/>
          <w:szCs w:val="24"/>
        </w:rPr>
        <w:t>objednávkou</w:t>
      </w:r>
      <w:r w:rsidRPr="00B009E9">
        <w:rPr>
          <w:rFonts w:cs="Times New Roman"/>
          <w:sz w:val="24"/>
          <w:szCs w:val="24"/>
        </w:rPr>
        <w:t xml:space="preserve"> cenu uvedenou níže.</w:t>
      </w:r>
    </w:p>
    <w:p w14:paraId="5A4F9420" w14:textId="60CBA77C" w:rsidR="00604890" w:rsidRPr="00B009E9" w:rsidRDefault="00604890" w:rsidP="00A87460">
      <w:pPr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>Místo dodání:</w:t>
      </w:r>
      <w:r w:rsidR="00453955" w:rsidRPr="00B009E9">
        <w:rPr>
          <w:b/>
          <w:sz w:val="24"/>
          <w:szCs w:val="24"/>
        </w:rPr>
        <w:t xml:space="preserve"> </w:t>
      </w:r>
      <w:r w:rsidR="001F2A64" w:rsidRPr="00B009E9">
        <w:rPr>
          <w:sz w:val="24"/>
          <w:szCs w:val="24"/>
        </w:rPr>
        <w:t>Ředitelství silnic a dálnic ČR, Správa Plzeň, Hřímalého 37, 301 00 Plzeň</w:t>
      </w:r>
    </w:p>
    <w:p w14:paraId="26946945" w14:textId="77777777" w:rsidR="008E3E46" w:rsidRPr="00B009E9" w:rsidRDefault="00FD1FB4" w:rsidP="008E3E46">
      <w:pPr>
        <w:ind w:right="-426"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>Kontaktní osoba O</w:t>
      </w:r>
      <w:r w:rsidR="00604890" w:rsidRPr="00B009E9">
        <w:rPr>
          <w:b/>
          <w:sz w:val="24"/>
          <w:szCs w:val="24"/>
        </w:rPr>
        <w:t>bjednatele:</w:t>
      </w:r>
      <w:r w:rsidR="00453955" w:rsidRPr="00B009E9">
        <w:rPr>
          <w:b/>
          <w:sz w:val="24"/>
          <w:szCs w:val="24"/>
        </w:rPr>
        <w:t xml:space="preserve"> </w:t>
      </w:r>
      <w:r w:rsidR="008E3E46" w:rsidRPr="00B009E9">
        <w:rPr>
          <w:sz w:val="24"/>
          <w:szCs w:val="24"/>
          <w:highlight w:val="black"/>
        </w:rPr>
        <w:t>Ladislava Martínková</w:t>
      </w:r>
      <w:r w:rsidR="008E3E46" w:rsidRPr="00B009E9">
        <w:rPr>
          <w:b/>
          <w:sz w:val="24"/>
          <w:szCs w:val="24"/>
          <w:highlight w:val="black"/>
        </w:rPr>
        <w:t xml:space="preserve">, </w:t>
      </w:r>
      <w:r w:rsidR="008E3E46" w:rsidRPr="00B009E9">
        <w:rPr>
          <w:sz w:val="24"/>
          <w:szCs w:val="24"/>
          <w:highlight w:val="black"/>
        </w:rPr>
        <w:t>tel. 377 333 761</w:t>
      </w:r>
      <w:r w:rsidR="008E3E46" w:rsidRPr="00B009E9">
        <w:rPr>
          <w:b/>
          <w:sz w:val="24"/>
          <w:szCs w:val="24"/>
          <w:highlight w:val="black"/>
        </w:rPr>
        <w:t xml:space="preserve">, </w:t>
      </w:r>
      <w:r w:rsidR="008E3E46" w:rsidRPr="00B009E9">
        <w:rPr>
          <w:sz w:val="24"/>
          <w:szCs w:val="24"/>
          <w:highlight w:val="black"/>
        </w:rPr>
        <w:t xml:space="preserve"> e-mail: </w:t>
      </w:r>
      <w:hyperlink r:id="rId11" w:history="1">
        <w:r w:rsidR="008E3E46" w:rsidRPr="00B009E9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B009E9">
        <w:rPr>
          <w:sz w:val="24"/>
          <w:szCs w:val="24"/>
        </w:rPr>
        <w:t xml:space="preserve">  </w:t>
      </w:r>
    </w:p>
    <w:p w14:paraId="39F2742E" w14:textId="6211A6AD" w:rsidR="00604890" w:rsidRPr="00B009E9" w:rsidRDefault="008E3E46">
      <w:pPr>
        <w:rPr>
          <w:b/>
          <w:sz w:val="24"/>
          <w:szCs w:val="24"/>
          <w:u w:val="single"/>
        </w:rPr>
      </w:pPr>
      <w:r w:rsidRPr="00B009E9">
        <w:rPr>
          <w:rFonts w:cs="Times New Roman"/>
          <w:b/>
          <w:sz w:val="24"/>
          <w:szCs w:val="24"/>
        </w:rPr>
        <w:t xml:space="preserve">Kontaktní osoba ve věcech technických: </w:t>
      </w:r>
      <w:r w:rsidR="003C5FC6" w:rsidRPr="00B009E9">
        <w:rPr>
          <w:sz w:val="24"/>
          <w:szCs w:val="24"/>
          <w:highlight w:val="black"/>
          <w:u w:val="single"/>
        </w:rPr>
        <w:t>Ing. Daniel Fojtík, tel. 377 333 704</w:t>
      </w:r>
      <w:r w:rsidR="001F2A64" w:rsidRPr="00B009E9">
        <w:rPr>
          <w:sz w:val="24"/>
          <w:szCs w:val="24"/>
          <w:highlight w:val="black"/>
          <w:u w:val="single"/>
        </w:rPr>
        <w:t xml:space="preserve">, e-mail: </w:t>
      </w:r>
      <w:hyperlink r:id="rId12" w:history="1">
        <w:r w:rsidR="003C5FC6" w:rsidRPr="00B009E9">
          <w:rPr>
            <w:rStyle w:val="Hypertextovodkaz"/>
            <w:color w:val="auto"/>
            <w:sz w:val="24"/>
            <w:szCs w:val="24"/>
            <w:highlight w:val="black"/>
          </w:rPr>
          <w:t>daniel.fojtik@rsd.cz</w:t>
        </w:r>
      </w:hyperlink>
      <w:r w:rsidR="001F2A64" w:rsidRPr="00B009E9">
        <w:rPr>
          <w:sz w:val="24"/>
          <w:szCs w:val="24"/>
          <w:u w:val="single"/>
        </w:rPr>
        <w:t xml:space="preserve"> </w:t>
      </w:r>
    </w:p>
    <w:p w14:paraId="255FD969" w14:textId="6E6F3EA0" w:rsidR="00604890" w:rsidRPr="00B009E9" w:rsidRDefault="00604890" w:rsidP="00153D94">
      <w:pPr>
        <w:jc w:val="both"/>
        <w:rPr>
          <w:sz w:val="24"/>
          <w:szCs w:val="24"/>
        </w:rPr>
      </w:pPr>
      <w:r w:rsidRPr="00B009E9">
        <w:rPr>
          <w:b/>
          <w:sz w:val="24"/>
          <w:szCs w:val="24"/>
        </w:rPr>
        <w:t xml:space="preserve">Fakturujte: </w:t>
      </w:r>
      <w:r w:rsidR="008E3E46" w:rsidRPr="00B009E9">
        <w:rPr>
          <w:sz w:val="24"/>
          <w:szCs w:val="24"/>
        </w:rPr>
        <w:t>Ředitelství silnic a dálnic ČR, Správa Plzeň, Hřímalého 37, 301 00 Plzeň</w:t>
      </w:r>
    </w:p>
    <w:p w14:paraId="42C0E761" w14:textId="78610E8B" w:rsidR="004D5C72" w:rsidRPr="00B009E9" w:rsidRDefault="00604890" w:rsidP="00F42E23">
      <w:pPr>
        <w:jc w:val="both"/>
        <w:rPr>
          <w:sz w:val="24"/>
          <w:szCs w:val="24"/>
        </w:rPr>
      </w:pPr>
      <w:r w:rsidRPr="00B009E9">
        <w:rPr>
          <w:b/>
          <w:sz w:val="24"/>
          <w:szCs w:val="24"/>
        </w:rPr>
        <w:t>Obchodní a platební podmínky:</w:t>
      </w:r>
      <w:r w:rsidR="00153D94" w:rsidRPr="00B009E9">
        <w:rPr>
          <w:b/>
          <w:sz w:val="24"/>
          <w:szCs w:val="24"/>
        </w:rPr>
        <w:t xml:space="preserve"> </w:t>
      </w:r>
      <w:r w:rsidR="00153D94" w:rsidRPr="00B009E9">
        <w:rPr>
          <w:sz w:val="24"/>
          <w:szCs w:val="24"/>
        </w:rPr>
        <w:t xml:space="preserve">Objednatel uhradí cenu jednorázovým bankovním převodem na účet </w:t>
      </w:r>
      <w:r w:rsidR="00DB2E94" w:rsidRPr="00B009E9">
        <w:rPr>
          <w:sz w:val="24"/>
          <w:szCs w:val="24"/>
        </w:rPr>
        <w:t>D</w:t>
      </w:r>
      <w:r w:rsidR="00153D94" w:rsidRPr="00B009E9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B009E9">
        <w:rPr>
          <w:sz w:val="24"/>
          <w:szCs w:val="24"/>
        </w:rPr>
        <w:t>O</w:t>
      </w:r>
      <w:r w:rsidR="00153D94" w:rsidRPr="00B009E9">
        <w:rPr>
          <w:sz w:val="24"/>
          <w:szCs w:val="24"/>
        </w:rPr>
        <w:t>bjednateli. Fakturu lze předložit nejdříve po protokolárním převzetí služeb</w:t>
      </w:r>
      <w:r w:rsidR="00FD1FB4" w:rsidRPr="00B009E9">
        <w:rPr>
          <w:sz w:val="24"/>
          <w:szCs w:val="24"/>
        </w:rPr>
        <w:t xml:space="preserve"> O</w:t>
      </w:r>
      <w:r w:rsidR="00153D94" w:rsidRPr="00B009E9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B009E9">
        <w:rPr>
          <w:sz w:val="24"/>
          <w:szCs w:val="24"/>
        </w:rPr>
        <w:t xml:space="preserve"> </w:t>
      </w:r>
      <w:r w:rsidR="00C01C05" w:rsidRPr="00B009E9">
        <w:rPr>
          <w:sz w:val="24"/>
          <w:szCs w:val="24"/>
        </w:rPr>
        <w:t>Potvrzením přijetí (akceptací)</w:t>
      </w:r>
      <w:r w:rsidR="00D766F5" w:rsidRPr="00B009E9">
        <w:rPr>
          <w:sz w:val="24"/>
          <w:szCs w:val="24"/>
        </w:rPr>
        <w:t xml:space="preserve"> tét</w:t>
      </w:r>
      <w:r w:rsidR="00FD1FB4" w:rsidRPr="00B009E9">
        <w:rPr>
          <w:sz w:val="24"/>
          <w:szCs w:val="24"/>
        </w:rPr>
        <w:t>o objednávky se D</w:t>
      </w:r>
      <w:r w:rsidR="00D766F5" w:rsidRPr="00B009E9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B009E9">
        <w:rPr>
          <w:sz w:val="24"/>
          <w:szCs w:val="24"/>
        </w:rPr>
        <w:t>akceptaci</w:t>
      </w:r>
      <w:r w:rsidR="00FD1FB4" w:rsidRPr="00B009E9">
        <w:rPr>
          <w:sz w:val="24"/>
          <w:szCs w:val="24"/>
        </w:rPr>
        <w:t xml:space="preserve"> objednávky D</w:t>
      </w:r>
      <w:r w:rsidR="00D766F5" w:rsidRPr="00B009E9">
        <w:rPr>
          <w:sz w:val="24"/>
          <w:szCs w:val="24"/>
        </w:rPr>
        <w:t>odavatelem s jakýmikoliv změnami</w:t>
      </w:r>
      <w:r w:rsidR="0095425D" w:rsidRPr="00B009E9">
        <w:rPr>
          <w:sz w:val="24"/>
          <w:szCs w:val="24"/>
        </w:rPr>
        <w:t xml:space="preserve"> jejího obsahu, k takovému právnímu jednání </w:t>
      </w:r>
      <w:r w:rsidR="00B15555" w:rsidRPr="00B009E9">
        <w:rPr>
          <w:sz w:val="24"/>
          <w:szCs w:val="24"/>
        </w:rPr>
        <w:t xml:space="preserve">Dodavatele </w:t>
      </w:r>
      <w:r w:rsidR="0095425D" w:rsidRPr="00B009E9">
        <w:rPr>
          <w:sz w:val="24"/>
          <w:szCs w:val="24"/>
        </w:rPr>
        <w:t>se nepřihlíží</w:t>
      </w:r>
      <w:r w:rsidR="00C01C05" w:rsidRPr="00B009E9">
        <w:rPr>
          <w:sz w:val="24"/>
          <w:szCs w:val="24"/>
        </w:rPr>
        <w:t xml:space="preserve">. </w:t>
      </w:r>
      <w:r w:rsidR="00F42E23" w:rsidRPr="00B009E9">
        <w:rPr>
          <w:sz w:val="24"/>
          <w:szCs w:val="24"/>
        </w:rPr>
        <w:t>Dodavatel poskytuje souhlas s uveřejněním objednávky</w:t>
      </w:r>
      <w:r w:rsidR="00D03DA3" w:rsidRPr="00B009E9">
        <w:rPr>
          <w:sz w:val="24"/>
          <w:szCs w:val="24"/>
        </w:rPr>
        <w:t xml:space="preserve"> a</w:t>
      </w:r>
      <w:r w:rsidR="00F204DF" w:rsidRPr="00B009E9">
        <w:rPr>
          <w:sz w:val="24"/>
          <w:szCs w:val="24"/>
        </w:rPr>
        <w:t xml:space="preserve"> </w:t>
      </w:r>
      <w:r w:rsidR="00D03DA3" w:rsidRPr="00B009E9">
        <w:rPr>
          <w:sz w:val="24"/>
          <w:szCs w:val="24"/>
        </w:rPr>
        <w:t>jejího potvrzení</w:t>
      </w:r>
      <w:r w:rsidR="00F42E23" w:rsidRPr="00B009E9">
        <w:rPr>
          <w:sz w:val="24"/>
          <w:szCs w:val="24"/>
        </w:rPr>
        <w:t xml:space="preserve"> v registru smluv zřízeným zákonem č. 340/2015 </w:t>
      </w:r>
      <w:r w:rsidR="00F42E23" w:rsidRPr="00B009E9">
        <w:rPr>
          <w:sz w:val="24"/>
          <w:szCs w:val="24"/>
        </w:rPr>
        <w:lastRenderedPageBreak/>
        <w:t>Sb., o zvláštních podmínkách účinnosti některých smluv, uveřejňování těchto smluv a o registru smluv, ve znění pozdějších předpisů (dále j</w:t>
      </w:r>
      <w:r w:rsidR="00FD1FB4" w:rsidRPr="00B009E9">
        <w:rPr>
          <w:sz w:val="24"/>
          <w:szCs w:val="24"/>
        </w:rPr>
        <w:t>ako „zákon o registru smluv“), O</w:t>
      </w:r>
      <w:r w:rsidR="00F42E23" w:rsidRPr="00B009E9">
        <w:rPr>
          <w:sz w:val="24"/>
          <w:szCs w:val="24"/>
        </w:rPr>
        <w:t>bjednatelem.</w:t>
      </w:r>
      <w:r w:rsidR="000C7C8D" w:rsidRPr="00B009E9">
        <w:rPr>
          <w:sz w:val="24"/>
          <w:szCs w:val="24"/>
        </w:rPr>
        <w:t xml:space="preserve"> </w:t>
      </w:r>
      <w:r w:rsidR="00F31356" w:rsidRPr="00B009E9">
        <w:rPr>
          <w:sz w:val="24"/>
          <w:szCs w:val="24"/>
        </w:rPr>
        <w:t xml:space="preserve">Objednávka je účinná okamžikem zveřejnění v registru smluv. </w:t>
      </w:r>
      <w:r w:rsidR="00105E6A" w:rsidRPr="00B009E9">
        <w:rPr>
          <w:sz w:val="24"/>
          <w:szCs w:val="24"/>
        </w:rPr>
        <w:t>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4BA3CFEA" w:rsidR="000F1A3C" w:rsidRPr="00B009E9" w:rsidRDefault="000F1A3C" w:rsidP="00F42E23">
      <w:pPr>
        <w:jc w:val="both"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 xml:space="preserve">Záruční lhůta: </w:t>
      </w:r>
      <w:r w:rsidR="001F2A64" w:rsidRPr="00B009E9">
        <w:rPr>
          <w:sz w:val="24"/>
          <w:szCs w:val="24"/>
        </w:rPr>
        <w:t>dle Občanského zákoníku</w:t>
      </w:r>
    </w:p>
    <w:p w14:paraId="3DE3979E" w14:textId="00765FAC" w:rsidR="00604890" w:rsidRPr="00B009E9" w:rsidRDefault="00604890" w:rsidP="00153D94">
      <w:pPr>
        <w:jc w:val="both"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>Objednáváme u Vás:</w:t>
      </w:r>
      <w:r w:rsidR="00453955" w:rsidRPr="00B009E9">
        <w:rPr>
          <w:b/>
          <w:sz w:val="24"/>
          <w:szCs w:val="24"/>
        </w:rPr>
        <w:t xml:space="preserve"> </w:t>
      </w:r>
      <w:r w:rsidR="003C5FC6" w:rsidRPr="00B009E9">
        <w:rPr>
          <w:sz w:val="24"/>
          <w:szCs w:val="24"/>
        </w:rPr>
        <w:t>vypracování</w:t>
      </w:r>
      <w:r w:rsidR="003C5FC6" w:rsidRPr="00B009E9">
        <w:rPr>
          <w:b/>
          <w:sz w:val="24"/>
          <w:szCs w:val="24"/>
        </w:rPr>
        <w:t xml:space="preserve"> </w:t>
      </w:r>
      <w:r w:rsidR="003C5FC6" w:rsidRPr="00B009E9">
        <w:rPr>
          <w:sz w:val="24"/>
          <w:szCs w:val="24"/>
        </w:rPr>
        <w:t>technické studie (TST)</w:t>
      </w:r>
    </w:p>
    <w:p w14:paraId="4B6DBF34" w14:textId="33696E41" w:rsidR="000F1A3C" w:rsidRPr="00B009E9" w:rsidRDefault="00604890" w:rsidP="000F1A3C">
      <w:pPr>
        <w:jc w:val="both"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>Lhůta pro dodání či termín dodání:</w:t>
      </w:r>
      <w:r w:rsidR="001F2A64" w:rsidRPr="00B009E9">
        <w:rPr>
          <w:b/>
          <w:sz w:val="24"/>
          <w:szCs w:val="24"/>
        </w:rPr>
        <w:t xml:space="preserve"> </w:t>
      </w:r>
      <w:r w:rsidR="003C5FC6" w:rsidRPr="00B009E9">
        <w:rPr>
          <w:sz w:val="24"/>
          <w:szCs w:val="24"/>
        </w:rPr>
        <w:t>koncept TS</w:t>
      </w:r>
      <w:r w:rsidR="003C5FC6" w:rsidRPr="00B009E9">
        <w:rPr>
          <w:b/>
          <w:sz w:val="24"/>
          <w:szCs w:val="24"/>
          <w:u w:val="single"/>
        </w:rPr>
        <w:t xml:space="preserve"> do 31. 07. 2020, </w:t>
      </w:r>
      <w:r w:rsidR="003C5FC6" w:rsidRPr="00B009E9">
        <w:rPr>
          <w:sz w:val="24"/>
          <w:szCs w:val="24"/>
        </w:rPr>
        <w:t>čistopis TST</w:t>
      </w:r>
      <w:r w:rsidR="003C5FC6" w:rsidRPr="00B009E9">
        <w:rPr>
          <w:b/>
          <w:sz w:val="24"/>
          <w:szCs w:val="24"/>
          <w:u w:val="single"/>
        </w:rPr>
        <w:t xml:space="preserve"> do 31.</w:t>
      </w:r>
      <w:r w:rsidR="0004014E" w:rsidRPr="00B009E9">
        <w:rPr>
          <w:b/>
          <w:sz w:val="24"/>
          <w:szCs w:val="24"/>
          <w:u w:val="single"/>
        </w:rPr>
        <w:t xml:space="preserve"> </w:t>
      </w:r>
      <w:r w:rsidR="003C5FC6" w:rsidRPr="00B009E9">
        <w:rPr>
          <w:b/>
          <w:sz w:val="24"/>
          <w:szCs w:val="24"/>
          <w:u w:val="single"/>
        </w:rPr>
        <w:t>08.</w:t>
      </w:r>
      <w:r w:rsidR="0004014E" w:rsidRPr="00B009E9">
        <w:rPr>
          <w:b/>
          <w:sz w:val="24"/>
          <w:szCs w:val="24"/>
          <w:u w:val="single"/>
        </w:rPr>
        <w:t xml:space="preserve"> </w:t>
      </w:r>
      <w:r w:rsidR="003C5FC6" w:rsidRPr="00B009E9">
        <w:rPr>
          <w:b/>
          <w:sz w:val="24"/>
          <w:szCs w:val="24"/>
          <w:u w:val="single"/>
        </w:rPr>
        <w:t>2020</w:t>
      </w:r>
    </w:p>
    <w:p w14:paraId="21A0252C" w14:textId="2FDCDBE3" w:rsidR="00604890" w:rsidRPr="00B009E9" w:rsidRDefault="00604890" w:rsidP="00153D94">
      <w:pPr>
        <w:jc w:val="both"/>
        <w:rPr>
          <w:sz w:val="24"/>
          <w:szCs w:val="24"/>
        </w:rPr>
      </w:pPr>
      <w:r w:rsidRPr="00B009E9">
        <w:rPr>
          <w:b/>
          <w:sz w:val="24"/>
          <w:szCs w:val="24"/>
        </w:rPr>
        <w:t>Celkov</w:t>
      </w:r>
      <w:r w:rsidR="000F1A3C" w:rsidRPr="00B009E9">
        <w:rPr>
          <w:b/>
          <w:sz w:val="24"/>
          <w:szCs w:val="24"/>
        </w:rPr>
        <w:t>á hodnota objednávky v Kč:</w:t>
      </w:r>
    </w:p>
    <w:p w14:paraId="0F101587" w14:textId="512B2ACF" w:rsidR="000F1A3C" w:rsidRPr="00B009E9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 xml:space="preserve">Cena bez DPH:         </w:t>
      </w:r>
      <w:r w:rsidR="00B009E9">
        <w:rPr>
          <w:b/>
          <w:sz w:val="24"/>
          <w:szCs w:val="24"/>
        </w:rPr>
        <w:t xml:space="preserve">  </w:t>
      </w:r>
      <w:r w:rsidRPr="00B009E9">
        <w:rPr>
          <w:b/>
          <w:sz w:val="24"/>
          <w:szCs w:val="24"/>
        </w:rPr>
        <w:t xml:space="preserve"> </w:t>
      </w:r>
      <w:r w:rsidR="00B009E9">
        <w:rPr>
          <w:b/>
          <w:sz w:val="24"/>
          <w:szCs w:val="24"/>
        </w:rPr>
        <w:t>246 400,- Kč</w:t>
      </w:r>
    </w:p>
    <w:p w14:paraId="77169A4E" w14:textId="77777777" w:rsidR="000F1A3C" w:rsidRPr="00B009E9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392AA05E" w14:textId="3E014128" w:rsidR="000F1A3C" w:rsidRPr="00B009E9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 xml:space="preserve">DPH 21%:                   </w:t>
      </w:r>
      <w:r w:rsidR="00B009E9">
        <w:rPr>
          <w:b/>
          <w:sz w:val="24"/>
          <w:szCs w:val="24"/>
        </w:rPr>
        <w:t xml:space="preserve">  51 744,- Kč</w:t>
      </w:r>
    </w:p>
    <w:p w14:paraId="3356FDB5" w14:textId="77777777" w:rsidR="000F1A3C" w:rsidRPr="00B009E9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B4FCE24" w14:textId="7CCD56CA" w:rsidR="000F1A3C" w:rsidRPr="00B009E9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 xml:space="preserve">Cena celkem s DPH:  </w:t>
      </w:r>
      <w:r w:rsidR="00B009E9">
        <w:rPr>
          <w:b/>
          <w:sz w:val="24"/>
          <w:szCs w:val="24"/>
        </w:rPr>
        <w:t xml:space="preserve"> 298 144,- Kč</w:t>
      </w:r>
    </w:p>
    <w:p w14:paraId="35931061" w14:textId="77777777" w:rsidR="000F1A3C" w:rsidRPr="00B009E9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B009E9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  <w:u w:val="single"/>
        </w:rPr>
      </w:pPr>
      <w:r w:rsidRPr="00B009E9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B009E9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B009E9">
        <w:rPr>
          <w:rFonts w:cs="Times New Roman"/>
          <w:sz w:val="24"/>
          <w:szCs w:val="24"/>
          <w:highlight w:val="black"/>
          <w:u w:val="single"/>
        </w:rPr>
        <w:t>.</w:t>
      </w:r>
      <w:r w:rsidR="000F1A3C" w:rsidRPr="00B009E9">
        <w:rPr>
          <w:rFonts w:cs="Times New Roman"/>
          <w:sz w:val="24"/>
          <w:szCs w:val="24"/>
          <w:u w:val="single"/>
        </w:rPr>
        <w:t xml:space="preserve"> </w:t>
      </w:r>
      <w:r w:rsidR="006024F2" w:rsidRPr="00B009E9">
        <w:rPr>
          <w:rFonts w:cs="Times New Roman"/>
          <w:sz w:val="24"/>
          <w:szCs w:val="24"/>
          <w:u w:val="single"/>
        </w:rPr>
        <w:t xml:space="preserve"> </w:t>
      </w:r>
    </w:p>
    <w:p w14:paraId="00E3A9BF" w14:textId="0DABAC28" w:rsidR="000F1A3C" w:rsidRPr="00B009E9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B009E9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 xml:space="preserve">Nedílnou součástí této </w:t>
      </w:r>
      <w:r w:rsidR="00765848" w:rsidRPr="00B009E9">
        <w:rPr>
          <w:rFonts w:cs="Times New Roman"/>
          <w:sz w:val="24"/>
          <w:szCs w:val="24"/>
        </w:rPr>
        <w:t>objednávky</w:t>
      </w:r>
      <w:r w:rsidRPr="00B009E9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2CED5064" w:rsidR="00282421" w:rsidRPr="00B009E9" w:rsidRDefault="001F2A64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 xml:space="preserve">Příloha č. 1 – Specifikace </w:t>
      </w:r>
      <w:r w:rsidR="00282421" w:rsidRPr="00B009E9">
        <w:rPr>
          <w:rFonts w:cs="Times New Roman"/>
          <w:sz w:val="24"/>
          <w:szCs w:val="24"/>
        </w:rPr>
        <w:t>služeb</w:t>
      </w:r>
    </w:p>
    <w:p w14:paraId="7870F805" w14:textId="133DAC60" w:rsidR="00282421" w:rsidRPr="00B009E9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>Příloha č. 2 – Položkový rozpis ceny</w:t>
      </w:r>
    </w:p>
    <w:p w14:paraId="400A9C64" w14:textId="77777777" w:rsidR="00FD16D6" w:rsidRPr="00B009E9" w:rsidRDefault="00FD16D6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3C3EBE41" w:rsidR="00EC18C0" w:rsidRPr="00B009E9" w:rsidRDefault="00EC18C0" w:rsidP="00EC18C0">
      <w:pPr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 xml:space="preserve">V </w:t>
      </w:r>
      <w:r w:rsidR="000C7C3B" w:rsidRPr="00B009E9">
        <w:rPr>
          <w:rFonts w:cs="Times New Roman"/>
          <w:sz w:val="24"/>
          <w:szCs w:val="24"/>
        </w:rPr>
        <w:t>Plzni</w:t>
      </w:r>
      <w:r w:rsidRPr="00B009E9">
        <w:rPr>
          <w:rFonts w:cs="Times New Roman"/>
          <w:sz w:val="24"/>
          <w:szCs w:val="24"/>
        </w:rPr>
        <w:t xml:space="preserve"> dne </w:t>
      </w:r>
      <w:r w:rsidR="001F2A64" w:rsidRPr="00B009E9">
        <w:rPr>
          <w:rFonts w:cs="Times New Roman"/>
          <w:sz w:val="24"/>
          <w:szCs w:val="24"/>
        </w:rPr>
        <w:t xml:space="preserve">   </w:t>
      </w:r>
      <w:r w:rsidR="00B009E9">
        <w:rPr>
          <w:rFonts w:cs="Times New Roman"/>
          <w:sz w:val="24"/>
          <w:szCs w:val="24"/>
        </w:rPr>
        <w:t>10-03-2020</w:t>
      </w:r>
      <w:r w:rsidR="001F2A64" w:rsidRPr="00B009E9">
        <w:rPr>
          <w:rFonts w:cs="Times New Roman"/>
          <w:sz w:val="24"/>
          <w:szCs w:val="24"/>
        </w:rPr>
        <w:t xml:space="preserve">                             </w:t>
      </w:r>
      <w:r w:rsidR="00B009E9">
        <w:rPr>
          <w:rFonts w:cs="Times New Roman"/>
          <w:sz w:val="24"/>
          <w:szCs w:val="24"/>
        </w:rPr>
        <w:t xml:space="preserve">              </w:t>
      </w:r>
      <w:r w:rsidR="001F2A64" w:rsidRPr="00B009E9">
        <w:rPr>
          <w:rFonts w:cs="Times New Roman"/>
          <w:sz w:val="24"/>
          <w:szCs w:val="24"/>
        </w:rPr>
        <w:t xml:space="preserve">  </w:t>
      </w:r>
      <w:r w:rsidR="000C7C3B" w:rsidRPr="00B009E9">
        <w:rPr>
          <w:rFonts w:cs="Times New Roman"/>
          <w:sz w:val="24"/>
          <w:szCs w:val="24"/>
        </w:rPr>
        <w:t>V</w:t>
      </w:r>
      <w:r w:rsidR="00B009E9">
        <w:rPr>
          <w:rFonts w:cs="Times New Roman"/>
          <w:sz w:val="24"/>
          <w:szCs w:val="24"/>
        </w:rPr>
        <w:t xml:space="preserve"> Plzni dne </w:t>
      </w:r>
      <w:proofErr w:type="gramStart"/>
      <w:r w:rsidR="00B009E9">
        <w:rPr>
          <w:rFonts w:cs="Times New Roman"/>
          <w:sz w:val="24"/>
          <w:szCs w:val="24"/>
        </w:rPr>
        <w:t>9.3.2020</w:t>
      </w:r>
      <w:proofErr w:type="gramEnd"/>
      <w:r w:rsidR="000C7C3B" w:rsidRPr="00B009E9">
        <w:rPr>
          <w:rFonts w:cs="Times New Roman"/>
          <w:sz w:val="24"/>
          <w:szCs w:val="24"/>
        </w:rPr>
        <w:t xml:space="preserve">      </w:t>
      </w:r>
    </w:p>
    <w:p w14:paraId="0B953F3C" w14:textId="4E886A69" w:rsidR="000C7C3B" w:rsidRPr="00B009E9" w:rsidRDefault="00EC18C0" w:rsidP="00EC18C0">
      <w:pPr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>Za Objednatele:</w:t>
      </w:r>
      <w:r w:rsidR="000C7C3B" w:rsidRPr="00B009E9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B009E9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B009E9" w:rsidRDefault="00EC18C0" w:rsidP="00EC18C0">
      <w:pPr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B009E9" w:rsidRDefault="000C7C3B" w:rsidP="00EC18C0">
      <w:pPr>
        <w:jc w:val="both"/>
        <w:rPr>
          <w:rFonts w:cs="Times New Roman"/>
          <w:sz w:val="24"/>
          <w:szCs w:val="24"/>
        </w:rPr>
      </w:pPr>
      <w:r w:rsidRPr="00B009E9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6D8EA93F" w14:textId="5BAD94EF" w:rsidR="000C7C3B" w:rsidRDefault="000C7C3B" w:rsidP="00EC18C0">
      <w:pPr>
        <w:jc w:val="both"/>
        <w:rPr>
          <w:rFonts w:cs="Times New Roman"/>
          <w:sz w:val="24"/>
          <w:szCs w:val="24"/>
        </w:rPr>
      </w:pPr>
    </w:p>
    <w:p w14:paraId="2D377ABA" w14:textId="74F3F319" w:rsidR="00B009E9" w:rsidRDefault="00B009E9" w:rsidP="00EC18C0">
      <w:pPr>
        <w:jc w:val="both"/>
        <w:rPr>
          <w:rFonts w:cs="Times New Roman"/>
          <w:sz w:val="24"/>
          <w:szCs w:val="24"/>
        </w:rPr>
      </w:pPr>
    </w:p>
    <w:p w14:paraId="4DC202FD" w14:textId="77777777" w:rsidR="00B009E9" w:rsidRPr="00B009E9" w:rsidRDefault="00B009E9" w:rsidP="00EC18C0">
      <w:pPr>
        <w:jc w:val="both"/>
        <w:rPr>
          <w:rFonts w:cs="Times New Roman"/>
          <w:sz w:val="24"/>
          <w:szCs w:val="24"/>
        </w:rPr>
      </w:pPr>
    </w:p>
    <w:p w14:paraId="1F2ADC6B" w14:textId="77777777" w:rsidR="001F2A64" w:rsidRPr="00B009E9" w:rsidRDefault="001F2A64" w:rsidP="00EC18C0">
      <w:pPr>
        <w:jc w:val="both"/>
        <w:rPr>
          <w:rFonts w:cs="Times New Roman"/>
          <w:sz w:val="24"/>
          <w:szCs w:val="24"/>
        </w:rPr>
      </w:pPr>
    </w:p>
    <w:p w14:paraId="60CA2BA7" w14:textId="25FF633E" w:rsidR="003C5FC6" w:rsidRPr="00B009E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B009E9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0338F048" w14:textId="70E948AF" w:rsidR="003C5FC6" w:rsidRPr="00B009E9" w:rsidRDefault="003C5FC6" w:rsidP="003C5FC6">
      <w:pPr>
        <w:jc w:val="both"/>
        <w:rPr>
          <w:sz w:val="24"/>
          <w:szCs w:val="24"/>
        </w:rPr>
      </w:pPr>
      <w:r w:rsidRPr="00B009E9">
        <w:rPr>
          <w:sz w:val="24"/>
          <w:szCs w:val="24"/>
        </w:rPr>
        <w:t>Odůvodnění: Jedná se o nutnost variantního řešení, kde jsou složité podmínky v intravilánu, kdy klasická OK není možná z hlediska vlastníků pozemků a současně je nutné zachovat možnost otáčení autobusové dopravy a zajištění bezpečného projetí dané křižovatky, kdy připojení MK neodpovídá současné normě.</w:t>
      </w:r>
    </w:p>
    <w:p w14:paraId="4096624D" w14:textId="6AAAB39B" w:rsidR="003C5FC6" w:rsidRPr="00B009E9" w:rsidRDefault="003C5FC6" w:rsidP="00A83B58">
      <w:pPr>
        <w:spacing w:after="0"/>
        <w:jc w:val="both"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>Popis předmětu objednávky:</w:t>
      </w:r>
    </w:p>
    <w:p w14:paraId="31B935AD" w14:textId="7D4CF2E4" w:rsidR="003C5FC6" w:rsidRPr="00B009E9" w:rsidRDefault="003C5FC6" w:rsidP="00A83B58">
      <w:pPr>
        <w:spacing w:after="0"/>
        <w:jc w:val="both"/>
        <w:rPr>
          <w:sz w:val="24"/>
          <w:szCs w:val="24"/>
        </w:rPr>
      </w:pPr>
      <w:r w:rsidRPr="00B009E9">
        <w:rPr>
          <w:sz w:val="24"/>
          <w:szCs w:val="24"/>
        </w:rPr>
        <w:t xml:space="preserve">Zajištění podkladů a průzkumů, vyhotovení dokumentace pro technickou studii na základě jednání z výrobního výboru I/26 HT – celoplošná oprava vozovky dne </w:t>
      </w:r>
      <w:proofErr w:type="gramStart"/>
      <w:r w:rsidRPr="00B009E9">
        <w:rPr>
          <w:sz w:val="24"/>
          <w:szCs w:val="24"/>
        </w:rPr>
        <w:t>3.2.2020</w:t>
      </w:r>
      <w:proofErr w:type="gramEnd"/>
      <w:r w:rsidRPr="00B009E9">
        <w:rPr>
          <w:sz w:val="24"/>
          <w:szCs w:val="24"/>
        </w:rPr>
        <w:t>, kde vznikl požadavek PČR, Krajského ředitelství Policie Plzeňského kraje na variantní řešení OK včetně přemístění míst pro přecházení u autobusových zastávek.</w:t>
      </w:r>
    </w:p>
    <w:p w14:paraId="0C0F0BF8" w14:textId="77777777" w:rsidR="00A83B58" w:rsidRPr="00B009E9" w:rsidRDefault="00A83B58" w:rsidP="00A83B58">
      <w:pPr>
        <w:spacing w:after="0"/>
        <w:jc w:val="both"/>
        <w:rPr>
          <w:sz w:val="24"/>
          <w:szCs w:val="24"/>
        </w:rPr>
      </w:pPr>
    </w:p>
    <w:p w14:paraId="75A3026A" w14:textId="6DB8F4C8" w:rsidR="00A83B58" w:rsidRPr="00B009E9" w:rsidRDefault="00A83B58" w:rsidP="00A83B58">
      <w:pPr>
        <w:spacing w:after="0"/>
        <w:jc w:val="both"/>
        <w:rPr>
          <w:b/>
          <w:sz w:val="24"/>
          <w:szCs w:val="24"/>
        </w:rPr>
      </w:pPr>
      <w:r w:rsidRPr="00B009E9">
        <w:rPr>
          <w:b/>
          <w:sz w:val="24"/>
          <w:szCs w:val="24"/>
          <w:u w:val="single"/>
        </w:rPr>
        <w:t>Počet  výtisků</w:t>
      </w:r>
      <w:r w:rsidRPr="00B009E9">
        <w:rPr>
          <w:b/>
          <w:sz w:val="24"/>
          <w:szCs w:val="24"/>
        </w:rPr>
        <w:t>:</w:t>
      </w:r>
    </w:p>
    <w:p w14:paraId="09A0A1CF" w14:textId="77777777" w:rsidR="00A83B58" w:rsidRPr="00B009E9" w:rsidRDefault="00A83B58" w:rsidP="00A83B58">
      <w:pPr>
        <w:spacing w:after="0"/>
        <w:jc w:val="both"/>
        <w:rPr>
          <w:sz w:val="24"/>
          <w:szCs w:val="24"/>
        </w:rPr>
      </w:pPr>
      <w:r w:rsidRPr="00B009E9">
        <w:rPr>
          <w:b/>
          <w:sz w:val="24"/>
          <w:szCs w:val="24"/>
        </w:rPr>
        <w:t xml:space="preserve">- </w:t>
      </w:r>
      <w:r w:rsidRPr="00B009E9">
        <w:rPr>
          <w:sz w:val="24"/>
          <w:szCs w:val="24"/>
        </w:rPr>
        <w:t xml:space="preserve">PD – 2 x tištěné podobě </w:t>
      </w:r>
    </w:p>
    <w:p w14:paraId="726C3B11" w14:textId="77777777" w:rsidR="00A83B58" w:rsidRPr="00B009E9" w:rsidRDefault="00A83B58" w:rsidP="00A83B58">
      <w:pPr>
        <w:spacing w:after="0"/>
        <w:jc w:val="both"/>
        <w:rPr>
          <w:sz w:val="24"/>
          <w:szCs w:val="24"/>
        </w:rPr>
      </w:pPr>
      <w:r w:rsidRPr="00B009E9">
        <w:rPr>
          <w:sz w:val="24"/>
          <w:szCs w:val="24"/>
        </w:rPr>
        <w:t xml:space="preserve">- 1 x na Flash disk USB  výkresy v PDF </w:t>
      </w:r>
    </w:p>
    <w:p w14:paraId="3D22F635" w14:textId="77777777" w:rsidR="00A83B58" w:rsidRPr="00B009E9" w:rsidRDefault="00A83B58" w:rsidP="00A83B58">
      <w:pPr>
        <w:spacing w:after="0"/>
        <w:jc w:val="both"/>
        <w:rPr>
          <w:sz w:val="24"/>
          <w:szCs w:val="24"/>
        </w:rPr>
      </w:pPr>
      <w:r w:rsidRPr="00B009E9">
        <w:rPr>
          <w:sz w:val="24"/>
          <w:szCs w:val="24"/>
        </w:rPr>
        <w:t xml:space="preserve">- 1 x na Flash disk USB  výkresy v DWG popř. DGN </w:t>
      </w:r>
    </w:p>
    <w:p w14:paraId="014C32FD" w14:textId="77777777" w:rsidR="00A83B58" w:rsidRPr="00B009E9" w:rsidRDefault="00A83B58" w:rsidP="00A83B58">
      <w:pPr>
        <w:jc w:val="both"/>
        <w:rPr>
          <w:b/>
          <w:sz w:val="24"/>
          <w:szCs w:val="24"/>
        </w:rPr>
      </w:pPr>
    </w:p>
    <w:p w14:paraId="3E991670" w14:textId="77777777" w:rsidR="003C5FC6" w:rsidRPr="00B009E9" w:rsidRDefault="003C5FC6" w:rsidP="001F2A64">
      <w:pPr>
        <w:jc w:val="both"/>
        <w:rPr>
          <w:b/>
          <w:sz w:val="24"/>
          <w:szCs w:val="24"/>
        </w:rPr>
      </w:pPr>
    </w:p>
    <w:p w14:paraId="67324C0C" w14:textId="14B6A9B4" w:rsidR="001F2A64" w:rsidRPr="00B009E9" w:rsidRDefault="00BE15F1" w:rsidP="001F2A64">
      <w:pPr>
        <w:jc w:val="both"/>
        <w:rPr>
          <w:b/>
          <w:sz w:val="24"/>
          <w:szCs w:val="24"/>
        </w:rPr>
      </w:pPr>
      <w:r w:rsidRPr="00B009E9">
        <w:rPr>
          <w:b/>
          <w:sz w:val="24"/>
          <w:szCs w:val="24"/>
        </w:rPr>
        <w:t>Soupis prací:</w:t>
      </w:r>
    </w:p>
    <w:tbl>
      <w:tblPr>
        <w:tblW w:w="9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780"/>
        <w:gridCol w:w="840"/>
        <w:gridCol w:w="1420"/>
        <w:gridCol w:w="1220"/>
        <w:gridCol w:w="1302"/>
      </w:tblGrid>
      <w:tr w:rsidR="00710DF9" w:rsidRPr="00B009E9" w14:paraId="09F92CD0" w14:textId="77777777" w:rsidTr="0004014E">
        <w:trPr>
          <w:trHeight w:val="25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651E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1F64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23F6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Hod.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445AB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9EE4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96EB7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Cena</w:t>
            </w:r>
          </w:p>
        </w:tc>
      </w:tr>
      <w:tr w:rsidR="00710DF9" w:rsidRPr="00B009E9" w14:paraId="2E529B0D" w14:textId="77777777" w:rsidTr="0004014E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38E23B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D3E4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hodin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C9F3B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sazba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6644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EB49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F2C48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celkem</w:t>
            </w:r>
          </w:p>
        </w:tc>
      </w:tr>
      <w:tr w:rsidR="00710DF9" w:rsidRPr="00B009E9" w14:paraId="228C6967" w14:textId="77777777" w:rsidTr="0004014E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13D8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224F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E633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10087" w14:textId="77777777" w:rsidR="00710DF9" w:rsidRPr="00B009E9" w:rsidRDefault="00710DF9" w:rsidP="00710DF9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E1841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54DF4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 </w:t>
            </w:r>
          </w:p>
        </w:tc>
      </w:tr>
      <w:tr w:rsidR="00710DF9" w:rsidRPr="00B009E9" w14:paraId="1FE8D778" w14:textId="77777777" w:rsidTr="0004014E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4D49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A. Zaměření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5E48D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D8F4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8D96B" w14:textId="77777777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98A02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021AD" w14:textId="77777777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0DF9" w:rsidRPr="00B009E9" w14:paraId="3C9B9E49" w14:textId="77777777" w:rsidTr="00B009E9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E678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Geodetické zaměření - výškopis, polohopis, VDZ- doměření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C5532" w14:textId="7BFCE937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D4391" w14:textId="3C2BEBAC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5FACC" w14:textId="33DCE437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35E3E" w14:textId="48F681C3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634D5C" w14:textId="35CB07C9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1F13E8D4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42485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9DF87" w14:textId="24F496A7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11662" w14:textId="4B696280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48D5C" w14:textId="72128446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FE182" w14:textId="02C24660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FAFEF6" w14:textId="308BEAFA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688F92BE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CF1A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B. Technická studie do zaměřených podkladů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0FA3A" w14:textId="0ADF5E25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C5E7C" w14:textId="4DBA9B29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1859A" w14:textId="0CFC7FAC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F3484" w14:textId="14C2B73E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FEA868" w14:textId="56444973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195E54C5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71B1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Průvodní zpráva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F7802" w14:textId="6C70388F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B9D00" w14:textId="3A01A6FE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2CC49" w14:textId="35813CAE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3EAB5" w14:textId="3D0CF78A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5FE198" w14:textId="362B7AA6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209CC32C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C728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Výkresová část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32F35" w14:textId="5D90C54A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6F0C0" w14:textId="406AD596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ED030" w14:textId="4FE5DD62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5A47E" w14:textId="57A77FFC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345490" w14:textId="2836C16F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70A58CF7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844EE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Variantní řešení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91F0D" w14:textId="5359EBC4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8FF3A" w14:textId="0D60BDB1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4352E" w14:textId="6738E973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8E8C5" w14:textId="5653C853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56BD36" w14:textId="15ED9402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7376E3A8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DE375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Záborový elaborát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BBF92" w14:textId="244E6816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10320" w14:textId="56B97871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E094" w14:textId="79E4B9D1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17492" w14:textId="6A4F28FF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F1C09C" w14:textId="3BB6AE72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213A6497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8CB5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Projednání PD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ACC26" w14:textId="5CAA98FE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6CA30" w14:textId="3820C822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75AFF" w14:textId="0FF15399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AAE05" w14:textId="4D6AA965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F2D74D" w14:textId="6EFBD015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27B9A325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1B07F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Propočet nákladů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CE875" w14:textId="287281DE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E8EB1" w14:textId="783871CB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5135C" w14:textId="1B968351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4A264" w14:textId="26C62C19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469471" w14:textId="17BC1D8B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69D2B645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9218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5596C" w14:textId="7D1D2A92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42847" w14:textId="2FAF8F67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9ED6E" w14:textId="08368C43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6734D" w14:textId="5A0EE365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F1F862" w14:textId="4BECE4B5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562E9912" w14:textId="77777777" w:rsidTr="00B009E9">
        <w:trPr>
          <w:trHeight w:val="255"/>
        </w:trPr>
        <w:tc>
          <w:tcPr>
            <w:tcW w:w="90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</w:tcPr>
          <w:p w14:paraId="53A759D8" w14:textId="62F7202B" w:rsidR="00710DF9" w:rsidRPr="00B009E9" w:rsidRDefault="00710DF9" w:rsidP="00710DF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10DF9" w:rsidRPr="00B009E9" w14:paraId="23C68E7B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D11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NABÍDKOVÁ CENA CELKEM bez DPH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4C3BB" w14:textId="210E14FB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5E5FB" w14:textId="28DC2898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48A35" w14:textId="21F75748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6B352" w14:textId="56E4C8C7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3A471A" w14:textId="3D99F8A6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4ED99FD4" w14:textId="77777777" w:rsidTr="00B009E9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DCF4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DPH 21%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2F11" w14:textId="49C2F0F7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38262" w14:textId="7067660D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DAFF5" w14:textId="2300CA8E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43959" w14:textId="39BD01F4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08E22C" w14:textId="344798C8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DF9" w:rsidRPr="00B009E9" w14:paraId="67F19D7D" w14:textId="77777777" w:rsidTr="00B009E9">
        <w:trPr>
          <w:trHeight w:val="27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6CF3" w14:textId="77777777" w:rsidR="00710DF9" w:rsidRPr="00B009E9" w:rsidRDefault="00710DF9" w:rsidP="00710DF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NABÍDKOVÁ CENA CELKEM vč. DPH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14D17" w14:textId="79D3E014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748A4" w14:textId="1CCCD9FF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A9AE4" w14:textId="1D1A80D3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4D21A" w14:textId="48E1E4FC" w:rsidR="00710DF9" w:rsidRPr="00B009E9" w:rsidRDefault="00710DF9" w:rsidP="0071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BD0EE7" w14:textId="56A31177" w:rsidR="00710DF9" w:rsidRPr="00B009E9" w:rsidRDefault="00710DF9" w:rsidP="00710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8413F29" w14:textId="7CCCFE88" w:rsidR="000C7C3B" w:rsidRPr="00B009E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F4DA74F" w14:textId="71AD6DFE" w:rsidR="000C7C3B" w:rsidRPr="00B009E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561AAE7" w14:textId="2991B474" w:rsidR="000C7C3B" w:rsidRPr="00B009E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D46A10E" w14:textId="2265EFB1" w:rsidR="00BE15F1" w:rsidRPr="00B009E9" w:rsidRDefault="00BE15F1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7777777" w:rsidR="000C7C3B" w:rsidRP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B009E9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p w14:paraId="507ADB83" w14:textId="50253CAC" w:rsidR="000C7C3B" w:rsidRDefault="000C7C3B" w:rsidP="00EC18C0">
      <w:pPr>
        <w:jc w:val="both"/>
        <w:rPr>
          <w:sz w:val="24"/>
          <w:szCs w:val="24"/>
        </w:rPr>
      </w:pPr>
    </w:p>
    <w:tbl>
      <w:tblPr>
        <w:tblW w:w="9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780"/>
        <w:gridCol w:w="840"/>
        <w:gridCol w:w="1420"/>
        <w:gridCol w:w="1220"/>
        <w:gridCol w:w="1302"/>
      </w:tblGrid>
      <w:tr w:rsidR="00B009E9" w:rsidRPr="00B009E9" w14:paraId="50948229" w14:textId="77777777" w:rsidTr="00125BCF">
        <w:trPr>
          <w:trHeight w:val="25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47DF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1877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80FE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Hod.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7828B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7C220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EFEDE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Cena</w:t>
            </w:r>
          </w:p>
        </w:tc>
      </w:tr>
      <w:tr w:rsidR="00B009E9" w:rsidRPr="00B009E9" w14:paraId="2934EB1A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22DF1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6898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hodin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5462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sazba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D9D0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F2D4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F88EF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celkem</w:t>
            </w:r>
          </w:p>
        </w:tc>
      </w:tr>
      <w:tr w:rsidR="00B009E9" w:rsidRPr="00B009E9" w14:paraId="61595B78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19B6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5015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3FDF0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9E88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7FAD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DF980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 </w:t>
            </w:r>
          </w:p>
        </w:tc>
      </w:tr>
      <w:tr w:rsidR="00B009E9" w:rsidRPr="00B009E9" w14:paraId="06C7FD4E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6FEBC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A. Zaměření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3A9A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00AA6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560F0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4C0D7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6AFEE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0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009E9" w:rsidRPr="00B009E9" w14:paraId="64CE5546" w14:textId="77777777" w:rsidTr="00125BCF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4385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Geodetické zaměření - výškopis, polohopis, VDZ- doměření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42945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021BF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B6284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F62C1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2C693F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79BC4BCE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51E5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49482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222A8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8624C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FBA3B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C81AE3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114AD43C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519C4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B. Technická studie do zaměřených podkladů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A5ED4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4B0B2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B9A06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0873C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60E556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007AF998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B9EA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Průvodní zpráva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54816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B340D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8E28A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79FDF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8D22C0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022097E2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5E788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Výkresová část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FFF6F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71F0D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F1020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A680D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569F0D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6997A4F6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6AA1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Variantní řešení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A7ECD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F66EC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C4D85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69C5F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F98CB3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3AFC66D4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6DF8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Záborový elaborát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7C5EC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0A7E8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63975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736F6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F46612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4AEFFD8A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A5E4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Projednání PD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5D6B8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4835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DE828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00445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90BEAF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3C7AB85F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7949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sz w:val="16"/>
                <w:szCs w:val="16"/>
                <w:lang w:eastAsia="cs-CZ"/>
              </w:rPr>
              <w:t>Propočet nákladů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FE3C6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1FF52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C9ED8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684D5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22C8B5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6E806F3D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FEE93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063FA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86137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623F7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EA248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B47F31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1D1AACA5" w14:textId="77777777" w:rsidTr="00125BCF">
        <w:trPr>
          <w:trHeight w:val="255"/>
        </w:trPr>
        <w:tc>
          <w:tcPr>
            <w:tcW w:w="90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</w:tcPr>
          <w:p w14:paraId="50385B7D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B009E9" w:rsidRPr="00B009E9" w14:paraId="2CAB0E1F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DEE70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NABÍDKOVÁ CENA CELKEM bez DPH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116E0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78790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86047" w14:textId="21BEB7B3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246 400,00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249C6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3523CB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353D3FB8" w14:textId="77777777" w:rsidTr="00125BCF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979E7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DPH 21%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6710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CA9FB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1BB81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31BFB" w14:textId="657C9C10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51 744,00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A5370A" w14:textId="77777777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009E9" w:rsidRPr="00B009E9" w14:paraId="0DDFA6EA" w14:textId="77777777" w:rsidTr="00125BCF">
        <w:trPr>
          <w:trHeight w:val="27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3B75" w14:textId="77777777" w:rsidR="00B009E9" w:rsidRPr="00B009E9" w:rsidRDefault="00B009E9" w:rsidP="00125BCF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</w:pPr>
            <w:r w:rsidRPr="00B009E9">
              <w:rPr>
                <w:rFonts w:ascii="Verdana" w:eastAsia="Times New Roman" w:hAnsi="Verdana" w:cs="Arial CE"/>
                <w:b/>
                <w:bCs/>
                <w:sz w:val="16"/>
                <w:szCs w:val="16"/>
                <w:lang w:eastAsia="cs-CZ"/>
              </w:rPr>
              <w:t>NABÍDKOVÁ CENA CELKEM vč. DPH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FA129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6A1CD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9EB59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67FCF" w14:textId="77777777" w:rsidR="00B009E9" w:rsidRPr="00B009E9" w:rsidRDefault="00B009E9" w:rsidP="00125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22172B" w14:textId="4230B163" w:rsidR="00B009E9" w:rsidRPr="00B009E9" w:rsidRDefault="00B009E9" w:rsidP="00125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298 144,00</w:t>
            </w:r>
            <w:bookmarkStart w:id="0" w:name="_GoBack"/>
            <w:bookmarkEnd w:id="0"/>
          </w:p>
        </w:tc>
      </w:tr>
    </w:tbl>
    <w:p w14:paraId="3F9576BD" w14:textId="77777777" w:rsidR="00B009E9" w:rsidRPr="000C7C8D" w:rsidRDefault="00B009E9" w:rsidP="00EC18C0">
      <w:pPr>
        <w:jc w:val="both"/>
        <w:rPr>
          <w:sz w:val="24"/>
          <w:szCs w:val="24"/>
        </w:rPr>
      </w:pPr>
    </w:p>
    <w:sectPr w:rsidR="00B009E9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13E04534" w:rsidR="008E3E46" w:rsidRDefault="008E3E46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B009E9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B009E9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2B758366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B009E9">
              <w:rPr>
                <w:rFonts w:cs="Times New Roman"/>
                <w:b/>
                <w:bCs/>
                <w:noProof/>
                <w:sz w:val="16"/>
                <w:szCs w:val="16"/>
              </w:rPr>
              <w:t>3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B009E9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4B112754" w:rsidR="00EC18C0" w:rsidRPr="00B009E9" w:rsidRDefault="00EC18C0" w:rsidP="00B009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4014E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E518F"/>
    <w:rsid w:val="001F2A64"/>
    <w:rsid w:val="001F6076"/>
    <w:rsid w:val="00200665"/>
    <w:rsid w:val="0020254C"/>
    <w:rsid w:val="002407D9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3C5FC6"/>
    <w:rsid w:val="004352CF"/>
    <w:rsid w:val="00436AF5"/>
    <w:rsid w:val="00444358"/>
    <w:rsid w:val="00450704"/>
    <w:rsid w:val="00453955"/>
    <w:rsid w:val="0047594D"/>
    <w:rsid w:val="004B1430"/>
    <w:rsid w:val="004D5C72"/>
    <w:rsid w:val="005274AA"/>
    <w:rsid w:val="00542302"/>
    <w:rsid w:val="00565D34"/>
    <w:rsid w:val="005845D4"/>
    <w:rsid w:val="00585166"/>
    <w:rsid w:val="005C65D9"/>
    <w:rsid w:val="005D5D80"/>
    <w:rsid w:val="005F47C3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10DF9"/>
    <w:rsid w:val="00760BE2"/>
    <w:rsid w:val="00765848"/>
    <w:rsid w:val="007727ED"/>
    <w:rsid w:val="007B7671"/>
    <w:rsid w:val="007F1C6E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3B58"/>
    <w:rsid w:val="00A87460"/>
    <w:rsid w:val="00A958AB"/>
    <w:rsid w:val="00A97EC8"/>
    <w:rsid w:val="00AA0071"/>
    <w:rsid w:val="00AA5B27"/>
    <w:rsid w:val="00AB47C2"/>
    <w:rsid w:val="00B009E9"/>
    <w:rsid w:val="00B11003"/>
    <w:rsid w:val="00B151C2"/>
    <w:rsid w:val="00B15555"/>
    <w:rsid w:val="00B26BAB"/>
    <w:rsid w:val="00B27F9D"/>
    <w:rsid w:val="00B6178D"/>
    <w:rsid w:val="00BC4055"/>
    <w:rsid w:val="00BE15F1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.fojtik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38B1-2A67-4C76-AE9B-3DA7A5FD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2020-03-10T11:27:00Z</dcterms:created>
  <dcterms:modified xsi:type="dcterms:W3CDTF">2020-03-10T11:34:00Z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