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F7545" w14:textId="77777777" w:rsidR="00F941E7" w:rsidRDefault="00F941E7">
      <w:pPr>
        <w:pBdr>
          <w:top w:val="nil"/>
          <w:left w:val="nil"/>
          <w:bottom w:val="nil"/>
          <w:right w:val="nil"/>
          <w:between w:val="nil"/>
        </w:pBdr>
        <w:shd w:val="clear" w:color="auto" w:fill="D9D9D9"/>
        <w:jc w:val="center"/>
        <w:rPr>
          <w:rFonts w:ascii="Arial" w:eastAsia="Arial" w:hAnsi="Arial" w:cs="Arial"/>
          <w:color w:val="000000"/>
          <w:sz w:val="28"/>
          <w:szCs w:val="28"/>
        </w:rPr>
      </w:pPr>
    </w:p>
    <w:p w14:paraId="63427ECD" w14:textId="77777777" w:rsidR="00F941E7" w:rsidRDefault="00C01695">
      <w:pPr>
        <w:pBdr>
          <w:top w:val="nil"/>
          <w:left w:val="nil"/>
          <w:bottom w:val="nil"/>
          <w:right w:val="nil"/>
          <w:between w:val="nil"/>
        </w:pBdr>
        <w:shd w:val="clear" w:color="auto" w:fill="D9D9D9"/>
        <w:jc w:val="center"/>
        <w:rPr>
          <w:rFonts w:ascii="Arial" w:eastAsia="Arial" w:hAnsi="Arial" w:cs="Arial"/>
          <w:color w:val="000000"/>
          <w:sz w:val="28"/>
          <w:szCs w:val="28"/>
        </w:rPr>
      </w:pPr>
      <w:r>
        <w:rPr>
          <w:rFonts w:ascii="Arial" w:eastAsia="Arial" w:hAnsi="Arial" w:cs="Arial"/>
          <w:b/>
          <w:color w:val="000000"/>
          <w:sz w:val="28"/>
          <w:szCs w:val="28"/>
        </w:rPr>
        <w:t>Smlouva o poskytování služeb</w:t>
      </w:r>
    </w:p>
    <w:p w14:paraId="09077B28" w14:textId="77777777" w:rsidR="00F941E7" w:rsidRDefault="00F941E7">
      <w:pPr>
        <w:pBdr>
          <w:top w:val="nil"/>
          <w:left w:val="nil"/>
          <w:bottom w:val="nil"/>
          <w:right w:val="nil"/>
          <w:between w:val="nil"/>
        </w:pBdr>
        <w:shd w:val="clear" w:color="auto" w:fill="D9D9D9"/>
        <w:jc w:val="center"/>
        <w:rPr>
          <w:rFonts w:ascii="Arial" w:eastAsia="Arial" w:hAnsi="Arial" w:cs="Arial"/>
          <w:color w:val="000000"/>
          <w:sz w:val="28"/>
          <w:szCs w:val="28"/>
        </w:rPr>
      </w:pPr>
    </w:p>
    <w:p w14:paraId="7F0C760F" w14:textId="77777777" w:rsidR="00F941E7" w:rsidRDefault="00C01695">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uzavřená ve smyslu ustanovení § 1746 odst. 2 zákona č. 89/2012 Sb., občanský zákoník, v platném znění</w:t>
      </w:r>
    </w:p>
    <w:p w14:paraId="1C1A170F" w14:textId="15E169C4" w:rsidR="00F941E7" w:rsidRPr="004359C0" w:rsidRDefault="00C01695">
      <w:pPr>
        <w:pBdr>
          <w:top w:val="nil"/>
          <w:left w:val="nil"/>
          <w:bottom w:val="nil"/>
          <w:right w:val="nil"/>
          <w:between w:val="nil"/>
        </w:pBdr>
        <w:jc w:val="center"/>
        <w:rPr>
          <w:rFonts w:ascii="Arial" w:eastAsia="Arial" w:hAnsi="Arial" w:cs="Arial"/>
        </w:rPr>
      </w:pPr>
      <w:proofErr w:type="spellStart"/>
      <w:r w:rsidRPr="004359C0">
        <w:rPr>
          <w:rFonts w:ascii="Arial" w:eastAsia="Arial" w:hAnsi="Arial" w:cs="Arial"/>
        </w:rPr>
        <w:t>reg</w:t>
      </w:r>
      <w:proofErr w:type="spellEnd"/>
      <w:r w:rsidRPr="004359C0">
        <w:rPr>
          <w:rFonts w:ascii="Arial" w:eastAsia="Arial" w:hAnsi="Arial" w:cs="Arial"/>
        </w:rPr>
        <w:t xml:space="preserve">. č. </w:t>
      </w:r>
      <w:r w:rsidR="00942B43">
        <w:rPr>
          <w:rFonts w:ascii="Arial" w:eastAsia="Arial" w:hAnsi="Arial" w:cs="Arial"/>
        </w:rPr>
        <w:t>SO 14490</w:t>
      </w:r>
    </w:p>
    <w:p w14:paraId="2FF36CCC" w14:textId="77777777" w:rsidR="00F941E7" w:rsidRDefault="00C01695">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(dále jen „</w:t>
      </w:r>
      <w:r>
        <w:rPr>
          <w:rFonts w:ascii="Arial" w:eastAsia="Arial" w:hAnsi="Arial" w:cs="Arial"/>
          <w:b/>
          <w:color w:val="000000"/>
        </w:rPr>
        <w:t>Smlouva</w:t>
      </w:r>
      <w:r>
        <w:rPr>
          <w:rFonts w:ascii="Arial" w:eastAsia="Arial" w:hAnsi="Arial" w:cs="Arial"/>
          <w:color w:val="000000"/>
        </w:rPr>
        <w:t>“)</w:t>
      </w:r>
    </w:p>
    <w:p w14:paraId="28A1997D"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5A8A1FE8" w14:textId="77777777" w:rsidR="00F941E7" w:rsidRDefault="00C01695">
      <w:p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mezi níže uvedenými smluvními stranami takto:</w:t>
      </w:r>
    </w:p>
    <w:tbl>
      <w:tblPr>
        <w:tblStyle w:val="a"/>
        <w:tblW w:w="9639"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536"/>
        <w:gridCol w:w="5103"/>
      </w:tblGrid>
      <w:tr w:rsidR="00F941E7" w14:paraId="177ED2F2" w14:textId="77777777">
        <w:tc>
          <w:tcPr>
            <w:tcW w:w="4536" w:type="dxa"/>
          </w:tcPr>
          <w:p w14:paraId="7FF6FCC4" w14:textId="77777777" w:rsidR="00F941E7" w:rsidRDefault="004400B7">
            <w:pPr>
              <w:pBdr>
                <w:top w:val="nil"/>
                <w:left w:val="nil"/>
                <w:bottom w:val="nil"/>
                <w:right w:val="nil"/>
                <w:between w:val="nil"/>
              </w:pBdr>
              <w:spacing w:after="113"/>
              <w:jc w:val="both"/>
              <w:rPr>
                <w:rFonts w:ascii="Arial" w:eastAsia="Arial" w:hAnsi="Arial" w:cs="Arial"/>
                <w:color w:val="000000"/>
              </w:rPr>
            </w:pPr>
            <w:proofErr w:type="spellStart"/>
            <w:r>
              <w:rPr>
                <w:rFonts w:ascii="Arial" w:eastAsia="Arial" w:hAnsi="Arial" w:cs="Arial"/>
                <w:b/>
                <w:color w:val="000000"/>
              </w:rPr>
              <w:t>Slavos</w:t>
            </w:r>
            <w:proofErr w:type="spellEnd"/>
            <w:r>
              <w:rPr>
                <w:rFonts w:ascii="Arial" w:eastAsia="Arial" w:hAnsi="Arial" w:cs="Arial"/>
                <w:b/>
                <w:color w:val="000000"/>
              </w:rPr>
              <w:t xml:space="preserve"> Slaný, s. r. o.</w:t>
            </w:r>
          </w:p>
        </w:tc>
        <w:tc>
          <w:tcPr>
            <w:tcW w:w="5103" w:type="dxa"/>
          </w:tcPr>
          <w:p w14:paraId="414BE436" w14:textId="77777777" w:rsidR="00F941E7" w:rsidRDefault="00F941E7">
            <w:pPr>
              <w:keepNext/>
              <w:keepLines/>
              <w:widowControl w:val="0"/>
              <w:pBdr>
                <w:top w:val="nil"/>
                <w:left w:val="nil"/>
                <w:bottom w:val="nil"/>
                <w:right w:val="nil"/>
                <w:between w:val="nil"/>
              </w:pBdr>
              <w:rPr>
                <w:rFonts w:ascii="Arial" w:eastAsia="Arial" w:hAnsi="Arial" w:cs="Arial"/>
                <w:b/>
                <w:color w:val="000000"/>
              </w:rPr>
            </w:pPr>
          </w:p>
        </w:tc>
      </w:tr>
      <w:tr w:rsidR="00F941E7" w14:paraId="6301E375" w14:textId="77777777" w:rsidTr="008E1DB7">
        <w:trPr>
          <w:trHeight w:val="390"/>
        </w:trPr>
        <w:tc>
          <w:tcPr>
            <w:tcW w:w="4536" w:type="dxa"/>
          </w:tcPr>
          <w:p w14:paraId="776F53E5" w14:textId="77777777" w:rsidR="00F941E7" w:rsidRDefault="004400B7">
            <w:pPr>
              <w:keepLines/>
              <w:widowControl w:val="0"/>
              <w:pBdr>
                <w:top w:val="nil"/>
                <w:left w:val="nil"/>
                <w:bottom w:val="nil"/>
                <w:right w:val="nil"/>
                <w:between w:val="nil"/>
              </w:pBdr>
              <w:rPr>
                <w:rFonts w:ascii="Arial" w:eastAsia="Arial" w:hAnsi="Arial" w:cs="Arial"/>
                <w:color w:val="000000"/>
                <w:highlight w:val="yellow"/>
              </w:rPr>
            </w:pPr>
            <w:r w:rsidRPr="008E1DB7">
              <w:rPr>
                <w:rFonts w:ascii="Arial" w:eastAsia="Arial" w:hAnsi="Arial" w:cs="Arial"/>
                <w:b/>
                <w:color w:val="000000"/>
              </w:rPr>
              <w:t>Sídlo:</w:t>
            </w:r>
            <w:r>
              <w:rPr>
                <w:rFonts w:ascii="Arial" w:eastAsia="Arial" w:hAnsi="Arial" w:cs="Arial"/>
                <w:color w:val="000000"/>
              </w:rPr>
              <w:t xml:space="preserve"> Politických vězňů 1523, 274 01 Slaný</w:t>
            </w:r>
            <w:r w:rsidR="00C01695">
              <w:rPr>
                <w:rFonts w:ascii="Arial" w:eastAsia="Arial" w:hAnsi="Arial" w:cs="Arial"/>
                <w:color w:val="000000"/>
                <w:highlight w:val="yellow"/>
              </w:rPr>
              <w:br/>
            </w:r>
          </w:p>
        </w:tc>
        <w:tc>
          <w:tcPr>
            <w:tcW w:w="5103" w:type="dxa"/>
          </w:tcPr>
          <w:p w14:paraId="04F26B0F" w14:textId="77777777" w:rsidR="00F941E7" w:rsidRDefault="004400B7">
            <w:pPr>
              <w:pBdr>
                <w:top w:val="nil"/>
                <w:left w:val="nil"/>
                <w:bottom w:val="nil"/>
                <w:right w:val="nil"/>
                <w:between w:val="nil"/>
              </w:pBdr>
              <w:rPr>
                <w:rFonts w:ascii="Arial" w:eastAsia="Arial" w:hAnsi="Arial" w:cs="Arial"/>
                <w:color w:val="000000"/>
                <w:highlight w:val="yellow"/>
              </w:rPr>
            </w:pPr>
            <w:r>
              <w:rPr>
                <w:rFonts w:ascii="Arial" w:eastAsia="Arial" w:hAnsi="Arial" w:cs="Arial"/>
                <w:color w:val="000000"/>
              </w:rPr>
              <w:t xml:space="preserve">              IČO: 07506554</w:t>
            </w:r>
          </w:p>
        </w:tc>
      </w:tr>
      <w:tr w:rsidR="00F941E7" w14:paraId="3BE07DE8" w14:textId="77777777">
        <w:trPr>
          <w:trHeight w:val="1184"/>
        </w:trPr>
        <w:tc>
          <w:tcPr>
            <w:tcW w:w="4536" w:type="dxa"/>
          </w:tcPr>
          <w:p w14:paraId="5A7FE482" w14:textId="77777777" w:rsidR="00F941E7" w:rsidRDefault="00C01695">
            <w:pPr>
              <w:keepLines/>
              <w:widowControl w:v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Společnost zapsaná </w:t>
            </w:r>
            <w:r w:rsidR="004400B7">
              <w:rPr>
                <w:rFonts w:ascii="Arial" w:eastAsia="Arial" w:hAnsi="Arial" w:cs="Arial"/>
                <w:color w:val="000000"/>
              </w:rPr>
              <w:t xml:space="preserve">v obchodním rejstříku, </w:t>
            </w:r>
            <w:proofErr w:type="spellStart"/>
            <w:r w:rsidR="004400B7">
              <w:rPr>
                <w:rFonts w:ascii="Arial" w:eastAsia="Arial" w:hAnsi="Arial" w:cs="Arial"/>
                <w:color w:val="000000"/>
              </w:rPr>
              <w:t>sp</w:t>
            </w:r>
            <w:proofErr w:type="spellEnd"/>
            <w:r w:rsidR="004400B7">
              <w:rPr>
                <w:rFonts w:ascii="Arial" w:eastAsia="Arial" w:hAnsi="Arial" w:cs="Arial"/>
                <w:color w:val="000000"/>
              </w:rPr>
              <w:t>. zn. C 302022</w:t>
            </w:r>
            <w:r>
              <w:rPr>
                <w:rFonts w:ascii="Arial" w:eastAsia="Arial" w:hAnsi="Arial" w:cs="Arial"/>
                <w:color w:val="000000"/>
              </w:rPr>
              <w:t xml:space="preserve">, </w:t>
            </w:r>
            <w:r w:rsidR="004400B7">
              <w:rPr>
                <w:rFonts w:ascii="Arial" w:eastAsia="Arial" w:hAnsi="Arial" w:cs="Arial"/>
                <w:color w:val="000000"/>
              </w:rPr>
              <w:t>vedená u Městského soudu v Praze.</w:t>
            </w:r>
          </w:p>
          <w:p w14:paraId="776E235E" w14:textId="77777777" w:rsidR="004400B7" w:rsidRDefault="004400B7">
            <w:pPr>
              <w:keepLines/>
              <w:widowControl w:val="0"/>
              <w:pBdr>
                <w:top w:val="nil"/>
                <w:left w:val="nil"/>
                <w:bottom w:val="nil"/>
                <w:right w:val="nil"/>
                <w:between w:val="nil"/>
              </w:pBdr>
              <w:rPr>
                <w:rFonts w:ascii="Arial" w:eastAsia="Arial" w:hAnsi="Arial" w:cs="Arial"/>
                <w:color w:val="000000"/>
              </w:rPr>
            </w:pPr>
          </w:p>
          <w:p w14:paraId="574FCCAD" w14:textId="3CC40EF9" w:rsidR="00F941E7" w:rsidRDefault="00C01695">
            <w:pPr>
              <w:keepLines/>
              <w:widowControl w:val="0"/>
              <w:pBdr>
                <w:top w:val="nil"/>
                <w:left w:val="nil"/>
                <w:bottom w:val="nil"/>
                <w:right w:val="nil"/>
                <w:between w:val="nil"/>
              </w:pBdr>
              <w:rPr>
                <w:rFonts w:ascii="Arial" w:eastAsia="Arial" w:hAnsi="Arial" w:cs="Arial"/>
                <w:color w:val="000000"/>
                <w:highlight w:val="yellow"/>
              </w:rPr>
            </w:pPr>
            <w:r>
              <w:rPr>
                <w:rFonts w:ascii="Arial" w:eastAsia="Arial" w:hAnsi="Arial" w:cs="Arial"/>
                <w:color w:val="000000"/>
              </w:rPr>
              <w:t>zastoup</w:t>
            </w:r>
            <w:r w:rsidR="004400B7">
              <w:rPr>
                <w:rFonts w:ascii="Arial" w:eastAsia="Arial" w:hAnsi="Arial" w:cs="Arial"/>
                <w:color w:val="000000"/>
              </w:rPr>
              <w:t xml:space="preserve">ená: </w:t>
            </w:r>
            <w:r w:rsidR="002E5579">
              <w:rPr>
                <w:rFonts w:ascii="Arial" w:eastAsia="Arial" w:hAnsi="Arial" w:cs="Arial"/>
                <w:color w:val="000000"/>
              </w:rPr>
              <w:t>Ing. Irena Vernerová</w:t>
            </w:r>
            <w:r w:rsidR="004E5FD3">
              <w:rPr>
                <w:rFonts w:ascii="Arial" w:eastAsia="Arial" w:hAnsi="Arial" w:cs="Arial"/>
                <w:color w:val="000000"/>
              </w:rPr>
              <w:t>, jednatel</w:t>
            </w:r>
          </w:p>
        </w:tc>
        <w:tc>
          <w:tcPr>
            <w:tcW w:w="5103" w:type="dxa"/>
          </w:tcPr>
          <w:p w14:paraId="2B6BE8AF" w14:textId="77777777" w:rsidR="00F941E7" w:rsidRDefault="004400B7">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sidR="008E1DB7">
              <w:rPr>
                <w:rFonts w:ascii="Arial" w:eastAsia="Arial" w:hAnsi="Arial" w:cs="Arial"/>
                <w:color w:val="000000"/>
              </w:rPr>
              <w:t xml:space="preserve">  </w:t>
            </w:r>
            <w:r>
              <w:rPr>
                <w:rFonts w:ascii="Arial" w:eastAsia="Arial" w:hAnsi="Arial" w:cs="Arial"/>
                <w:color w:val="000000"/>
              </w:rPr>
              <w:t xml:space="preserve"> DIČ: CZ07506554</w:t>
            </w:r>
          </w:p>
          <w:p w14:paraId="65CA4143" w14:textId="77777777" w:rsidR="00F941E7" w:rsidRDefault="00F941E7">
            <w:pPr>
              <w:keepLines/>
              <w:widowControl w:val="0"/>
              <w:pBdr>
                <w:top w:val="nil"/>
                <w:left w:val="nil"/>
                <w:bottom w:val="nil"/>
                <w:right w:val="nil"/>
                <w:between w:val="nil"/>
              </w:pBdr>
              <w:jc w:val="both"/>
              <w:rPr>
                <w:rFonts w:ascii="Arial" w:eastAsia="Arial" w:hAnsi="Arial" w:cs="Arial"/>
                <w:color w:val="000000"/>
                <w:highlight w:val="yellow"/>
              </w:rPr>
            </w:pPr>
          </w:p>
          <w:p w14:paraId="1B369051" w14:textId="77777777" w:rsidR="00F941E7" w:rsidRDefault="00C01695">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174B3943" w14:textId="77777777" w:rsidR="00F941E7" w:rsidRDefault="00F941E7">
            <w:pPr>
              <w:keepLines/>
              <w:widowControl w:val="0"/>
              <w:pBdr>
                <w:top w:val="nil"/>
                <w:left w:val="nil"/>
                <w:bottom w:val="nil"/>
                <w:right w:val="nil"/>
                <w:between w:val="nil"/>
              </w:pBdr>
              <w:jc w:val="both"/>
              <w:rPr>
                <w:rFonts w:ascii="Arial" w:eastAsia="Arial" w:hAnsi="Arial" w:cs="Arial"/>
                <w:color w:val="000000"/>
                <w:highlight w:val="yellow"/>
              </w:rPr>
            </w:pPr>
          </w:p>
        </w:tc>
      </w:tr>
      <w:tr w:rsidR="00F941E7" w14:paraId="31A41FB1" w14:textId="77777777">
        <w:tc>
          <w:tcPr>
            <w:tcW w:w="4536" w:type="dxa"/>
          </w:tcPr>
          <w:p w14:paraId="2E4AFA75" w14:textId="77777777" w:rsidR="00F941E7" w:rsidRDefault="00C01695">
            <w:pPr>
              <w:keepLines/>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(dále jen „</w:t>
            </w:r>
            <w:r>
              <w:rPr>
                <w:rFonts w:ascii="Arial" w:eastAsia="Arial" w:hAnsi="Arial" w:cs="Arial"/>
                <w:b/>
                <w:color w:val="000000"/>
              </w:rPr>
              <w:t>Objednatel</w:t>
            </w:r>
            <w:r>
              <w:rPr>
                <w:rFonts w:ascii="Arial" w:eastAsia="Arial" w:hAnsi="Arial" w:cs="Arial"/>
                <w:color w:val="000000"/>
              </w:rPr>
              <w:t>“)</w:t>
            </w:r>
          </w:p>
        </w:tc>
        <w:tc>
          <w:tcPr>
            <w:tcW w:w="5103" w:type="dxa"/>
          </w:tcPr>
          <w:p w14:paraId="0D7737CB" w14:textId="77777777" w:rsidR="00F941E7" w:rsidRDefault="00F941E7">
            <w:pPr>
              <w:keepLines/>
              <w:widowControl w:val="0"/>
              <w:pBdr>
                <w:top w:val="nil"/>
                <w:left w:val="nil"/>
                <w:bottom w:val="nil"/>
                <w:right w:val="nil"/>
                <w:between w:val="nil"/>
              </w:pBdr>
              <w:rPr>
                <w:rFonts w:ascii="Arial" w:eastAsia="Arial" w:hAnsi="Arial" w:cs="Arial"/>
                <w:color w:val="000000"/>
              </w:rPr>
            </w:pPr>
          </w:p>
        </w:tc>
      </w:tr>
    </w:tbl>
    <w:p w14:paraId="0060A4F1"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16A46AA6" w14:textId="77777777" w:rsidR="00F941E7" w:rsidRDefault="00C01695">
      <w:p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a</w:t>
      </w:r>
    </w:p>
    <w:p w14:paraId="3C9C2584" w14:textId="77777777" w:rsidR="00F941E7" w:rsidRDefault="00F941E7">
      <w:pPr>
        <w:pBdr>
          <w:top w:val="nil"/>
          <w:left w:val="nil"/>
          <w:bottom w:val="nil"/>
          <w:right w:val="nil"/>
          <w:between w:val="nil"/>
        </w:pBdr>
        <w:spacing w:after="113"/>
        <w:jc w:val="both"/>
        <w:rPr>
          <w:rFonts w:ascii="Arial" w:eastAsia="Arial" w:hAnsi="Arial" w:cs="Arial"/>
          <w:color w:val="000000"/>
        </w:rPr>
      </w:pPr>
    </w:p>
    <w:tbl>
      <w:tblPr>
        <w:tblStyle w:val="a0"/>
        <w:tblW w:w="9639"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245"/>
        <w:gridCol w:w="4394"/>
      </w:tblGrid>
      <w:tr w:rsidR="00F941E7" w14:paraId="17EE3B98" w14:textId="77777777">
        <w:tc>
          <w:tcPr>
            <w:tcW w:w="5245" w:type="dxa"/>
          </w:tcPr>
          <w:p w14:paraId="4D581E89" w14:textId="77777777" w:rsidR="00F941E7" w:rsidRDefault="00C01695">
            <w:pPr>
              <w:pBdr>
                <w:top w:val="nil"/>
                <w:left w:val="nil"/>
                <w:bottom w:val="nil"/>
                <w:right w:val="nil"/>
                <w:between w:val="nil"/>
              </w:pBdr>
              <w:spacing w:after="113"/>
              <w:jc w:val="both"/>
              <w:rPr>
                <w:rFonts w:ascii="Arial" w:eastAsia="Arial" w:hAnsi="Arial" w:cs="Arial"/>
                <w:color w:val="000000"/>
              </w:rPr>
            </w:pPr>
            <w:proofErr w:type="spellStart"/>
            <w:r>
              <w:rPr>
                <w:rFonts w:ascii="Arial" w:eastAsia="Arial" w:hAnsi="Arial" w:cs="Arial"/>
                <w:b/>
                <w:color w:val="000000"/>
              </w:rPr>
              <w:t>Solutions</w:t>
            </w:r>
            <w:proofErr w:type="spellEnd"/>
            <w:r>
              <w:rPr>
                <w:rFonts w:ascii="Arial" w:eastAsia="Arial" w:hAnsi="Arial" w:cs="Arial"/>
                <w:b/>
                <w:color w:val="000000"/>
              </w:rPr>
              <w:t xml:space="preserve"> and </w:t>
            </w:r>
            <w:proofErr w:type="spellStart"/>
            <w:r>
              <w:rPr>
                <w:rFonts w:ascii="Arial" w:eastAsia="Arial" w:hAnsi="Arial" w:cs="Arial"/>
                <w:b/>
                <w:color w:val="000000"/>
              </w:rPr>
              <w:t>Services</w:t>
            </w:r>
            <w:proofErr w:type="spellEnd"/>
            <w:r>
              <w:rPr>
                <w:rFonts w:ascii="Arial" w:eastAsia="Arial" w:hAnsi="Arial" w:cs="Arial"/>
                <w:b/>
                <w:color w:val="000000"/>
              </w:rPr>
              <w:t>, a.s.</w:t>
            </w:r>
          </w:p>
        </w:tc>
        <w:tc>
          <w:tcPr>
            <w:tcW w:w="4394" w:type="dxa"/>
          </w:tcPr>
          <w:p w14:paraId="48985B2A" w14:textId="77777777" w:rsidR="00F941E7" w:rsidRDefault="00F941E7">
            <w:pPr>
              <w:keepNext/>
              <w:keepLines/>
              <w:widowControl w:val="0"/>
              <w:pBdr>
                <w:top w:val="nil"/>
                <w:left w:val="nil"/>
                <w:bottom w:val="nil"/>
                <w:right w:val="nil"/>
                <w:between w:val="nil"/>
              </w:pBdr>
              <w:rPr>
                <w:rFonts w:ascii="Arial" w:eastAsia="Arial" w:hAnsi="Arial" w:cs="Arial"/>
                <w:b/>
                <w:color w:val="000000"/>
              </w:rPr>
            </w:pPr>
          </w:p>
        </w:tc>
      </w:tr>
      <w:tr w:rsidR="00F941E7" w14:paraId="4CF21C5D" w14:textId="77777777">
        <w:tc>
          <w:tcPr>
            <w:tcW w:w="5245" w:type="dxa"/>
          </w:tcPr>
          <w:p w14:paraId="2970E7D3" w14:textId="77777777" w:rsidR="00F941E7" w:rsidRDefault="00C01695">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Sídlo: </w:t>
            </w:r>
            <w:r>
              <w:rPr>
                <w:rFonts w:ascii="Arial" w:eastAsia="Arial" w:hAnsi="Arial" w:cs="Arial"/>
                <w:color w:val="000000"/>
              </w:rPr>
              <w:t>Na Florenci 2116/15, Nové Město, 110 00 Praha 1</w:t>
            </w:r>
          </w:p>
        </w:tc>
        <w:tc>
          <w:tcPr>
            <w:tcW w:w="4394" w:type="dxa"/>
          </w:tcPr>
          <w:p w14:paraId="6B7A4691" w14:textId="77777777" w:rsidR="00F941E7" w:rsidRDefault="00C01695">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IČO: 27208320</w:t>
            </w:r>
          </w:p>
        </w:tc>
      </w:tr>
      <w:tr w:rsidR="00F941E7" w14:paraId="4CE3A6BE" w14:textId="77777777">
        <w:tc>
          <w:tcPr>
            <w:tcW w:w="5245" w:type="dxa"/>
          </w:tcPr>
          <w:p w14:paraId="7F370701" w14:textId="77777777" w:rsidR="00F941E7" w:rsidRDefault="00C01695">
            <w:pPr>
              <w:keepLines/>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Společnost je vedená u rejstříkového soudu v Praze, spisová značka B 11409. </w:t>
            </w:r>
          </w:p>
          <w:p w14:paraId="7D14AECA" w14:textId="77777777" w:rsidR="00F941E7" w:rsidRDefault="00F941E7">
            <w:pPr>
              <w:keepLines/>
              <w:widowControl w:val="0"/>
              <w:pBdr>
                <w:top w:val="nil"/>
                <w:left w:val="nil"/>
                <w:bottom w:val="nil"/>
                <w:right w:val="nil"/>
                <w:between w:val="nil"/>
              </w:pBdr>
              <w:rPr>
                <w:rFonts w:ascii="Arial" w:eastAsia="Arial" w:hAnsi="Arial" w:cs="Arial"/>
                <w:color w:val="000000"/>
              </w:rPr>
            </w:pPr>
          </w:p>
          <w:p w14:paraId="1D827E49" w14:textId="2BCBD56E" w:rsidR="00F941E7" w:rsidRDefault="00C01695" w:rsidP="0031157C">
            <w:pPr>
              <w:keepLines/>
              <w:widowControl w:val="0"/>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zastoupená:  Robert</w:t>
            </w:r>
            <w:proofErr w:type="gramEnd"/>
            <w:r>
              <w:rPr>
                <w:rFonts w:ascii="Arial" w:eastAsia="Arial" w:hAnsi="Arial" w:cs="Arial"/>
                <w:color w:val="000000"/>
              </w:rPr>
              <w:t xml:space="preserve"> </w:t>
            </w:r>
            <w:proofErr w:type="spellStart"/>
            <w:r>
              <w:rPr>
                <w:rFonts w:ascii="Arial" w:eastAsia="Arial" w:hAnsi="Arial" w:cs="Arial"/>
                <w:color w:val="000000"/>
              </w:rPr>
              <w:t>Talajka</w:t>
            </w:r>
            <w:proofErr w:type="spellEnd"/>
            <w:r>
              <w:rPr>
                <w:rFonts w:ascii="Arial" w:eastAsia="Arial" w:hAnsi="Arial" w:cs="Arial"/>
                <w:color w:val="000000"/>
              </w:rPr>
              <w:t xml:space="preserve">, </w:t>
            </w:r>
            <w:r w:rsidR="0031157C">
              <w:rPr>
                <w:rFonts w:ascii="Arial" w:eastAsia="Arial" w:hAnsi="Arial" w:cs="Arial"/>
                <w:color w:val="000000"/>
              </w:rPr>
              <w:t>generální ředitel</w:t>
            </w:r>
            <w:r w:rsidR="00002A63">
              <w:rPr>
                <w:rFonts w:ascii="Arial" w:eastAsia="Arial" w:hAnsi="Arial" w:cs="Arial"/>
                <w:color w:val="000000"/>
              </w:rPr>
              <w:t xml:space="preserve"> </w:t>
            </w:r>
            <w:r>
              <w:rPr>
                <w:rFonts w:ascii="Arial" w:eastAsia="Arial" w:hAnsi="Arial" w:cs="Arial"/>
                <w:color w:val="000000"/>
              </w:rPr>
              <w:t>představenstva</w:t>
            </w:r>
          </w:p>
        </w:tc>
        <w:tc>
          <w:tcPr>
            <w:tcW w:w="4394" w:type="dxa"/>
          </w:tcPr>
          <w:p w14:paraId="32337696" w14:textId="77777777" w:rsidR="00F941E7" w:rsidRDefault="00C01695">
            <w:pPr>
              <w:pBdr>
                <w:top w:val="nil"/>
                <w:left w:val="nil"/>
                <w:bottom w:val="nil"/>
                <w:right w:val="nil"/>
                <w:between w:val="nil"/>
              </w:pBdr>
              <w:tabs>
                <w:tab w:val="center" w:pos="4536"/>
                <w:tab w:val="right" w:pos="9072"/>
              </w:tabs>
              <w:jc w:val="both"/>
              <w:rPr>
                <w:rFonts w:ascii="Arial" w:eastAsia="Arial" w:hAnsi="Arial" w:cs="Arial"/>
                <w:color w:val="000000"/>
              </w:rPr>
            </w:pPr>
            <w:r>
              <w:rPr>
                <w:rFonts w:ascii="Arial" w:eastAsia="Arial" w:hAnsi="Arial" w:cs="Arial"/>
                <w:color w:val="000000"/>
              </w:rPr>
              <w:t>DIČ: CZ27208320</w:t>
            </w:r>
          </w:p>
          <w:p w14:paraId="7B591794" w14:textId="77777777" w:rsidR="00F941E7" w:rsidRDefault="00F941E7">
            <w:pPr>
              <w:keepLines/>
              <w:widowControl w:val="0"/>
              <w:pBdr>
                <w:top w:val="nil"/>
                <w:left w:val="nil"/>
                <w:bottom w:val="nil"/>
                <w:right w:val="nil"/>
                <w:between w:val="nil"/>
              </w:pBdr>
              <w:jc w:val="both"/>
              <w:rPr>
                <w:rFonts w:ascii="Arial" w:eastAsia="Arial" w:hAnsi="Arial" w:cs="Arial"/>
                <w:color w:val="000000"/>
              </w:rPr>
            </w:pPr>
          </w:p>
          <w:p w14:paraId="23EA86B9" w14:textId="77777777" w:rsidR="00F941E7" w:rsidRDefault="00C01695">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Bankovní spojení:</w:t>
            </w:r>
          </w:p>
          <w:p w14:paraId="773F27B8" w14:textId="77777777" w:rsidR="00F941E7" w:rsidRDefault="00C01695">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Komerční banka, a.s.: 35-4543900257/0100</w:t>
            </w:r>
          </w:p>
        </w:tc>
      </w:tr>
      <w:tr w:rsidR="00F941E7" w14:paraId="7547E2C5" w14:textId="77777777">
        <w:tc>
          <w:tcPr>
            <w:tcW w:w="5245" w:type="dxa"/>
          </w:tcPr>
          <w:p w14:paraId="5480AC40" w14:textId="77777777" w:rsidR="00F941E7" w:rsidRDefault="00C01695">
            <w:p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(dále jen „</w:t>
            </w:r>
            <w:r>
              <w:rPr>
                <w:rFonts w:ascii="Arial" w:eastAsia="Arial" w:hAnsi="Arial" w:cs="Arial"/>
                <w:b/>
                <w:color w:val="000000"/>
              </w:rPr>
              <w:t>Zhotovitel</w:t>
            </w:r>
            <w:r>
              <w:rPr>
                <w:rFonts w:ascii="Arial" w:eastAsia="Arial" w:hAnsi="Arial" w:cs="Arial"/>
                <w:color w:val="000000"/>
              </w:rPr>
              <w:t>“)</w:t>
            </w:r>
          </w:p>
        </w:tc>
        <w:tc>
          <w:tcPr>
            <w:tcW w:w="4394" w:type="dxa"/>
          </w:tcPr>
          <w:p w14:paraId="675CFC4C" w14:textId="77777777" w:rsidR="00F941E7" w:rsidRDefault="00F941E7">
            <w:pPr>
              <w:keepLines/>
              <w:widowControl w:val="0"/>
              <w:pBdr>
                <w:top w:val="nil"/>
                <w:left w:val="nil"/>
                <w:bottom w:val="nil"/>
                <w:right w:val="nil"/>
                <w:between w:val="nil"/>
              </w:pBdr>
              <w:jc w:val="both"/>
              <w:rPr>
                <w:rFonts w:ascii="Arial" w:eastAsia="Arial" w:hAnsi="Arial" w:cs="Arial"/>
                <w:color w:val="000000"/>
              </w:rPr>
            </w:pPr>
          </w:p>
        </w:tc>
      </w:tr>
    </w:tbl>
    <w:p w14:paraId="61D3A6BC"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0FB06E37"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7E80E761"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t xml:space="preserve">Čl. 1 - </w:t>
      </w:r>
      <w:r>
        <w:rPr>
          <w:rFonts w:ascii="Arial" w:eastAsia="Arial" w:hAnsi="Arial" w:cs="Arial"/>
          <w:b/>
          <w:smallCaps/>
          <w:color w:val="000000"/>
        </w:rPr>
        <w:t>PŘEDMĚT SMLOUVY</w:t>
      </w:r>
    </w:p>
    <w:p w14:paraId="3239654E" w14:textId="77777777" w:rsidR="00F941E7" w:rsidRDefault="00F941E7">
      <w:pPr>
        <w:pBdr>
          <w:top w:val="nil"/>
          <w:left w:val="nil"/>
          <w:bottom w:val="nil"/>
          <w:right w:val="nil"/>
          <w:between w:val="nil"/>
        </w:pBdr>
        <w:rPr>
          <w:rFonts w:ascii="Times New Roman" w:eastAsia="Times New Roman" w:hAnsi="Times New Roman" w:cs="Times New Roman"/>
          <w:color w:val="000000"/>
          <w:sz w:val="24"/>
          <w:szCs w:val="24"/>
        </w:rPr>
      </w:pPr>
    </w:p>
    <w:p w14:paraId="5EF03EEB" w14:textId="77777777" w:rsidR="00F941E7" w:rsidRDefault="00C01695">
      <w:pPr>
        <w:numPr>
          <w:ilvl w:val="1"/>
          <w:numId w:val="6"/>
        </w:numPr>
        <w:pBdr>
          <w:top w:val="nil"/>
          <w:left w:val="nil"/>
          <w:bottom w:val="nil"/>
          <w:right w:val="nil"/>
          <w:between w:val="nil"/>
        </w:pBdr>
        <w:spacing w:after="113"/>
        <w:ind w:left="426" w:hanging="426"/>
        <w:jc w:val="both"/>
        <w:rPr>
          <w:rFonts w:ascii="Arial" w:eastAsia="Arial" w:hAnsi="Arial" w:cs="Arial"/>
          <w:color w:val="000000"/>
        </w:rPr>
      </w:pPr>
      <w:bookmarkStart w:id="0" w:name="_gjdgxs" w:colFirst="0" w:colLast="0"/>
      <w:bookmarkEnd w:id="0"/>
      <w:r>
        <w:rPr>
          <w:rFonts w:ascii="Arial" w:eastAsia="Arial" w:hAnsi="Arial" w:cs="Arial"/>
          <w:color w:val="000000"/>
        </w:rPr>
        <w:t>Zhotovitel se zavazuje poskytovat Objednateli služby (dále také jen jako „</w:t>
      </w:r>
      <w:r>
        <w:rPr>
          <w:rFonts w:ascii="Arial" w:eastAsia="Arial" w:hAnsi="Arial" w:cs="Arial"/>
          <w:b/>
          <w:color w:val="000000"/>
        </w:rPr>
        <w:t>Služby</w:t>
      </w:r>
      <w:r>
        <w:rPr>
          <w:rFonts w:ascii="Arial" w:eastAsia="Arial" w:hAnsi="Arial" w:cs="Arial"/>
          <w:color w:val="000000"/>
        </w:rPr>
        <w:t>“) v rozsahu, kvalitě a za podmínek specifikovaných v příloze A této Smlouvy „</w:t>
      </w:r>
      <w:proofErr w:type="spellStart"/>
      <w:r>
        <w:rPr>
          <w:rFonts w:ascii="Arial" w:eastAsia="Arial" w:hAnsi="Arial" w:cs="Arial"/>
          <w:color w:val="000000"/>
        </w:rPr>
        <w:t>Service</w:t>
      </w:r>
      <w:proofErr w:type="spellEnd"/>
      <w:r>
        <w:rPr>
          <w:rFonts w:ascii="Arial" w:eastAsia="Arial" w:hAnsi="Arial" w:cs="Arial"/>
          <w:color w:val="000000"/>
        </w:rPr>
        <w:t xml:space="preserve"> Level </w:t>
      </w:r>
      <w:proofErr w:type="spellStart"/>
      <w:r>
        <w:rPr>
          <w:rFonts w:ascii="Arial" w:eastAsia="Arial" w:hAnsi="Arial" w:cs="Arial"/>
          <w:color w:val="000000"/>
        </w:rPr>
        <w:t>Agreement</w:t>
      </w:r>
      <w:proofErr w:type="spellEnd"/>
      <w:r>
        <w:rPr>
          <w:rFonts w:ascii="Arial" w:eastAsia="Arial" w:hAnsi="Arial" w:cs="Arial"/>
          <w:color w:val="000000"/>
        </w:rPr>
        <w:t>“ (dále také jen jako „</w:t>
      </w:r>
      <w:r>
        <w:rPr>
          <w:rFonts w:ascii="Arial" w:eastAsia="Arial" w:hAnsi="Arial" w:cs="Arial"/>
          <w:b/>
          <w:color w:val="000000"/>
        </w:rPr>
        <w:t>SLA</w:t>
      </w:r>
      <w:r>
        <w:rPr>
          <w:rFonts w:ascii="Arial" w:eastAsia="Arial" w:hAnsi="Arial" w:cs="Arial"/>
          <w:color w:val="000000"/>
        </w:rPr>
        <w:t>“). Objednatel se zavazuje uhradit Zhotoviteli za tyto činnosti sjednanou odměnu a poskytnout mu nezbytnou součinnost.</w:t>
      </w:r>
    </w:p>
    <w:p w14:paraId="41AAB88E" w14:textId="77777777" w:rsidR="00F941E7" w:rsidRDefault="00C01695">
      <w:pPr>
        <w:numPr>
          <w:ilvl w:val="1"/>
          <w:numId w:val="6"/>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Zhotovitel je oprávněn poskytovat Služby dle této Smlouvy sám nebo prostřednictvím třetích osob. V takovém případě však odpovídá za jejich poskytování tak, jako by je poskytoval sám.</w:t>
      </w:r>
    </w:p>
    <w:p w14:paraId="4D76EABD" w14:textId="77777777" w:rsidR="00F941E7" w:rsidRDefault="00F941E7">
      <w:pPr>
        <w:pBdr>
          <w:top w:val="nil"/>
          <w:left w:val="nil"/>
          <w:bottom w:val="nil"/>
          <w:right w:val="nil"/>
          <w:between w:val="nil"/>
        </w:pBdr>
        <w:spacing w:after="113"/>
        <w:ind w:left="709" w:hanging="349"/>
        <w:jc w:val="both"/>
        <w:rPr>
          <w:rFonts w:ascii="Arial" w:eastAsia="Arial" w:hAnsi="Arial" w:cs="Arial"/>
          <w:color w:val="000000"/>
        </w:rPr>
      </w:pPr>
    </w:p>
    <w:p w14:paraId="6618359E"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t xml:space="preserve">Čl. 2 - </w:t>
      </w:r>
      <w:r>
        <w:rPr>
          <w:rFonts w:ascii="Arial" w:eastAsia="Arial" w:hAnsi="Arial" w:cs="Arial"/>
          <w:b/>
          <w:smallCaps/>
          <w:color w:val="000000"/>
        </w:rPr>
        <w:t>ZPŮSOB PROVÁDĚNÍ SLUŽEB</w:t>
      </w:r>
    </w:p>
    <w:p w14:paraId="49CDC9E3" w14:textId="77777777" w:rsidR="00F941E7" w:rsidRDefault="00F941E7">
      <w:pPr>
        <w:pBdr>
          <w:top w:val="nil"/>
          <w:left w:val="nil"/>
          <w:bottom w:val="nil"/>
          <w:right w:val="nil"/>
          <w:between w:val="nil"/>
        </w:pBdr>
        <w:jc w:val="both"/>
        <w:rPr>
          <w:rFonts w:ascii="Times New Roman" w:eastAsia="Times New Roman" w:hAnsi="Times New Roman" w:cs="Times New Roman"/>
          <w:color w:val="000000"/>
          <w:sz w:val="24"/>
          <w:szCs w:val="24"/>
        </w:rPr>
      </w:pPr>
    </w:p>
    <w:p w14:paraId="76C6DAFC" w14:textId="77777777" w:rsidR="00F941E7" w:rsidRDefault="00C01695">
      <w:pPr>
        <w:numPr>
          <w:ilvl w:val="1"/>
          <w:numId w:val="7"/>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Obě smluvní strany budou činnosti dle této Smlouvy provádět prostřednictvím svých zástupců uvedených v příloze A této Smlouvy.</w:t>
      </w:r>
    </w:p>
    <w:p w14:paraId="45CBE75D" w14:textId="77777777" w:rsidR="00F941E7" w:rsidRDefault="00C01695">
      <w:pPr>
        <w:numPr>
          <w:ilvl w:val="1"/>
          <w:numId w:val="7"/>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Objednatel je povinen zajistit nezbytnou součinnost Zhotoviteli tak, aby Zhotovitel mohl řádně poskytovat Služby dle přílohy A této Smlouvy. Objednatel je zejména povinen:</w:t>
      </w:r>
    </w:p>
    <w:p w14:paraId="3A77B154" w14:textId="77777777" w:rsidR="00F941E7" w:rsidRDefault="00C01695">
      <w:pPr>
        <w:numPr>
          <w:ilvl w:val="2"/>
          <w:numId w:val="1"/>
        </w:numPr>
        <w:pBdr>
          <w:top w:val="nil"/>
          <w:left w:val="nil"/>
          <w:bottom w:val="nil"/>
          <w:right w:val="nil"/>
          <w:between w:val="nil"/>
        </w:pBdr>
        <w:spacing w:after="113"/>
        <w:ind w:left="709" w:hanging="283"/>
        <w:jc w:val="both"/>
        <w:rPr>
          <w:rFonts w:ascii="Arial" w:eastAsia="Arial" w:hAnsi="Arial" w:cs="Arial"/>
          <w:color w:val="000000"/>
        </w:rPr>
      </w:pPr>
      <w:r>
        <w:rPr>
          <w:rFonts w:ascii="Arial" w:eastAsia="Arial" w:hAnsi="Arial" w:cs="Arial"/>
          <w:color w:val="000000"/>
        </w:rPr>
        <w:t>poskytnout všechna přístupová práva nezbytná pro poskytování Služeb,</w:t>
      </w:r>
    </w:p>
    <w:p w14:paraId="1CDAB57D" w14:textId="77777777" w:rsidR="00F941E7" w:rsidRDefault="00C01695">
      <w:pPr>
        <w:numPr>
          <w:ilvl w:val="2"/>
          <w:numId w:val="1"/>
        </w:numPr>
        <w:pBdr>
          <w:top w:val="nil"/>
          <w:left w:val="nil"/>
          <w:bottom w:val="nil"/>
          <w:right w:val="nil"/>
          <w:between w:val="nil"/>
        </w:pBdr>
        <w:spacing w:after="113"/>
        <w:ind w:left="709" w:hanging="283"/>
        <w:jc w:val="both"/>
        <w:rPr>
          <w:rFonts w:ascii="Arial" w:eastAsia="Arial" w:hAnsi="Arial" w:cs="Arial"/>
          <w:color w:val="000000"/>
        </w:rPr>
      </w:pPr>
      <w:r>
        <w:rPr>
          <w:rFonts w:ascii="Arial" w:eastAsia="Arial" w:hAnsi="Arial" w:cs="Arial"/>
          <w:color w:val="000000"/>
        </w:rPr>
        <w:lastRenderedPageBreak/>
        <w:t>poskytnout Zhotoviteli součinnost nezbytnou pro řešení problémů.</w:t>
      </w:r>
    </w:p>
    <w:p w14:paraId="0D714B50" w14:textId="77777777" w:rsidR="00F941E7" w:rsidRDefault="00C01695">
      <w:pPr>
        <w:numPr>
          <w:ilvl w:val="1"/>
          <w:numId w:val="7"/>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Měřícím obdobím poskytovaných Služeb je kalendářní měsíc, pokud není uvedeno jinak v příloze A Smlouvy. Zhotovitel vytvoří za daný kalendářní měsíc statistiku provedených Služeb SLA, kterou předloží Objednateli.</w:t>
      </w:r>
    </w:p>
    <w:p w14:paraId="4E62F9CE" w14:textId="77777777" w:rsidR="00F941E7" w:rsidRPr="004359C0" w:rsidRDefault="00C01695">
      <w:pPr>
        <w:numPr>
          <w:ilvl w:val="1"/>
          <w:numId w:val="7"/>
        </w:numPr>
        <w:pBdr>
          <w:top w:val="nil"/>
          <w:left w:val="nil"/>
          <w:bottom w:val="nil"/>
          <w:right w:val="nil"/>
          <w:between w:val="nil"/>
        </w:pBdr>
        <w:spacing w:after="113"/>
        <w:ind w:left="426" w:hanging="426"/>
        <w:jc w:val="both"/>
        <w:rPr>
          <w:rFonts w:ascii="Arial" w:eastAsia="Arial" w:hAnsi="Arial" w:cs="Arial"/>
        </w:rPr>
      </w:pPr>
      <w:r w:rsidRPr="004359C0">
        <w:rPr>
          <w:rFonts w:ascii="Arial" w:eastAsia="Arial" w:hAnsi="Arial" w:cs="Arial"/>
        </w:rPr>
        <w:t>Akceptace Služeb bude prováděna na základě vzájemně odsouhlaseného pravidelného měsíčního reportu „Hlavní report plnění ukazatelů SLA,“ který plní funkci akceptačního protokolu.</w:t>
      </w:r>
    </w:p>
    <w:p w14:paraId="46162116" w14:textId="424955EF" w:rsidR="00F941E7" w:rsidRDefault="00C01695">
      <w:pPr>
        <w:numPr>
          <w:ilvl w:val="1"/>
          <w:numId w:val="7"/>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Objednatel může požádat kdykoliv o změnu v předmětu plnění Smlouvy. Požadavek na změnu musí mít písemnou formu a Zhotovitel sdělí písemně Objednateli do dvou týdnů od obdržení požadavku, zda jsou požadované změny proveditelné, a pokud ano, jaký vliv budou mít změny na cenu a předpokládané termíny plnění. Pokud nebude oběma smluvními stranami podepsána nová příloha se změnami dle požadavku Objednatele ve formě dodatku k této Smlouvě, bude Zhotovitel pokračovat v poskytování Služeb dle přílohy původní.</w:t>
      </w:r>
      <w:r w:rsidR="00072BC5">
        <w:rPr>
          <w:rFonts w:ascii="Arial" w:eastAsia="Arial" w:hAnsi="Arial" w:cs="Arial"/>
          <w:color w:val="000000"/>
        </w:rPr>
        <w:t xml:space="preserve"> </w:t>
      </w:r>
    </w:p>
    <w:p w14:paraId="5A002D3F" w14:textId="77777777" w:rsidR="00F941E7" w:rsidRDefault="00F941E7">
      <w:pPr>
        <w:pBdr>
          <w:top w:val="nil"/>
          <w:left w:val="nil"/>
          <w:bottom w:val="nil"/>
          <w:right w:val="nil"/>
          <w:between w:val="nil"/>
        </w:pBdr>
        <w:spacing w:after="113"/>
        <w:ind w:left="360"/>
        <w:jc w:val="both"/>
        <w:rPr>
          <w:rFonts w:ascii="Arial" w:eastAsia="Arial" w:hAnsi="Arial" w:cs="Arial"/>
          <w:color w:val="000000"/>
        </w:rPr>
      </w:pPr>
    </w:p>
    <w:p w14:paraId="53D4A513"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t>Čl</w:t>
      </w:r>
      <w:r>
        <w:rPr>
          <w:rFonts w:ascii="Arial" w:eastAsia="Arial" w:hAnsi="Arial" w:cs="Arial"/>
          <w:b/>
          <w:smallCaps/>
          <w:color w:val="000000"/>
        </w:rPr>
        <w:t>. 3 - ODMĚNA A PLATEBNÍ PODMÍNKY</w:t>
      </w:r>
    </w:p>
    <w:p w14:paraId="1FCDA5EB" w14:textId="77777777" w:rsidR="00F941E7" w:rsidRDefault="00F941E7">
      <w:pPr>
        <w:pBdr>
          <w:top w:val="nil"/>
          <w:left w:val="nil"/>
          <w:bottom w:val="nil"/>
          <w:right w:val="nil"/>
          <w:between w:val="nil"/>
        </w:pBdr>
        <w:jc w:val="both"/>
        <w:rPr>
          <w:rFonts w:ascii="Arial" w:eastAsia="Arial" w:hAnsi="Arial" w:cs="Arial"/>
          <w:color w:val="000000"/>
        </w:rPr>
      </w:pPr>
    </w:p>
    <w:p w14:paraId="2F62DDF2" w14:textId="45C79D06" w:rsidR="00F941E7" w:rsidRPr="004359C0" w:rsidRDefault="00C01695">
      <w:pPr>
        <w:numPr>
          <w:ilvl w:val="1"/>
          <w:numId w:val="8"/>
        </w:numPr>
        <w:pBdr>
          <w:top w:val="nil"/>
          <w:left w:val="nil"/>
          <w:bottom w:val="nil"/>
          <w:right w:val="nil"/>
          <w:between w:val="nil"/>
        </w:pBdr>
        <w:spacing w:after="113"/>
        <w:jc w:val="both"/>
        <w:rPr>
          <w:rFonts w:ascii="Arial" w:eastAsia="Arial" w:hAnsi="Arial" w:cs="Arial"/>
        </w:rPr>
      </w:pPr>
      <w:r w:rsidRPr="004359C0">
        <w:rPr>
          <w:rFonts w:ascii="Arial" w:eastAsia="Arial" w:hAnsi="Arial" w:cs="Arial"/>
        </w:rPr>
        <w:t>O</w:t>
      </w:r>
      <w:r w:rsidR="002E5579" w:rsidRPr="004359C0">
        <w:rPr>
          <w:rFonts w:ascii="Arial" w:eastAsia="Arial" w:hAnsi="Arial" w:cs="Arial"/>
        </w:rPr>
        <w:t>dměna Zhotovitele činí 450</w:t>
      </w:r>
      <w:r w:rsidR="004400B7" w:rsidRPr="004359C0">
        <w:rPr>
          <w:rFonts w:ascii="Arial" w:eastAsia="Arial" w:hAnsi="Arial" w:cs="Arial"/>
        </w:rPr>
        <w:t>.</w:t>
      </w:r>
      <w:r w:rsidR="002E5579" w:rsidRPr="004359C0">
        <w:rPr>
          <w:rFonts w:ascii="Arial" w:eastAsia="Arial" w:hAnsi="Arial" w:cs="Arial"/>
        </w:rPr>
        <w:t>000</w:t>
      </w:r>
      <w:r w:rsidR="006F46B0" w:rsidRPr="004359C0">
        <w:rPr>
          <w:rFonts w:ascii="Arial" w:eastAsia="Arial" w:hAnsi="Arial" w:cs="Arial"/>
        </w:rPr>
        <w:t xml:space="preserve"> </w:t>
      </w:r>
      <w:r w:rsidRPr="004359C0">
        <w:rPr>
          <w:rFonts w:ascii="Arial" w:eastAsia="Arial" w:hAnsi="Arial" w:cs="Arial"/>
          <w:highlight w:val="white"/>
        </w:rPr>
        <w:t>K</w:t>
      </w:r>
      <w:r w:rsidR="002E5579" w:rsidRPr="004359C0">
        <w:rPr>
          <w:rFonts w:ascii="Arial" w:eastAsia="Arial" w:hAnsi="Arial" w:cs="Arial"/>
        </w:rPr>
        <w:t xml:space="preserve">č (slovy </w:t>
      </w:r>
      <w:proofErr w:type="spellStart"/>
      <w:r w:rsidR="002E5579" w:rsidRPr="004359C0">
        <w:rPr>
          <w:rFonts w:ascii="Arial" w:eastAsia="Arial" w:hAnsi="Arial" w:cs="Arial"/>
        </w:rPr>
        <w:t>čtyřistapadesáttisíc</w:t>
      </w:r>
      <w:proofErr w:type="spellEnd"/>
      <w:r w:rsidR="002E5579" w:rsidRPr="004359C0">
        <w:rPr>
          <w:rFonts w:ascii="Arial" w:eastAsia="Arial" w:hAnsi="Arial" w:cs="Arial"/>
        </w:rPr>
        <w:t xml:space="preserve"> korun českých) ročně. Částka za deset měsíců, dle této smlouvy, bude činit 375.000 Kč (slovy </w:t>
      </w:r>
      <w:proofErr w:type="spellStart"/>
      <w:r w:rsidR="002E5579" w:rsidRPr="004359C0">
        <w:rPr>
          <w:rFonts w:ascii="Arial" w:eastAsia="Arial" w:hAnsi="Arial" w:cs="Arial"/>
        </w:rPr>
        <w:t>třistasedmdesátpěttisíc</w:t>
      </w:r>
      <w:proofErr w:type="spellEnd"/>
      <w:r w:rsidR="002E5579" w:rsidRPr="004359C0">
        <w:rPr>
          <w:rFonts w:ascii="Arial" w:eastAsia="Arial" w:hAnsi="Arial" w:cs="Arial"/>
        </w:rPr>
        <w:t xml:space="preserve"> korun českých). Jednorázově budou účtovány implementační náklady v</w:t>
      </w:r>
      <w:r w:rsidR="006F0A34" w:rsidRPr="004359C0">
        <w:rPr>
          <w:rFonts w:ascii="Arial" w:eastAsia="Arial" w:hAnsi="Arial" w:cs="Arial"/>
        </w:rPr>
        <w:t> </w:t>
      </w:r>
      <w:r w:rsidR="002E5579" w:rsidRPr="004359C0">
        <w:rPr>
          <w:rFonts w:ascii="Arial" w:eastAsia="Arial" w:hAnsi="Arial" w:cs="Arial"/>
        </w:rPr>
        <w:t>částce</w:t>
      </w:r>
      <w:r w:rsidR="006F0A34" w:rsidRPr="004359C0">
        <w:rPr>
          <w:rFonts w:ascii="Arial" w:eastAsia="Arial" w:hAnsi="Arial" w:cs="Arial"/>
        </w:rPr>
        <w:t xml:space="preserve"> do</w:t>
      </w:r>
      <w:r w:rsidR="002E5579" w:rsidRPr="004359C0">
        <w:rPr>
          <w:rFonts w:ascii="Arial" w:eastAsia="Arial" w:hAnsi="Arial" w:cs="Arial"/>
        </w:rPr>
        <w:t xml:space="preserve"> 50.000 Kč (slovy </w:t>
      </w:r>
      <w:proofErr w:type="spellStart"/>
      <w:r w:rsidR="002E5579" w:rsidRPr="004359C0">
        <w:rPr>
          <w:rFonts w:ascii="Arial" w:eastAsia="Arial" w:hAnsi="Arial" w:cs="Arial"/>
        </w:rPr>
        <w:t>padesáttisíc</w:t>
      </w:r>
      <w:proofErr w:type="spellEnd"/>
      <w:r w:rsidR="002E5579" w:rsidRPr="004359C0">
        <w:rPr>
          <w:rFonts w:ascii="Arial" w:eastAsia="Arial" w:hAnsi="Arial" w:cs="Arial"/>
        </w:rPr>
        <w:t xml:space="preserve"> korun českých). </w:t>
      </w:r>
      <w:r w:rsidR="006F0A34" w:rsidRPr="004359C0">
        <w:rPr>
          <w:rFonts w:ascii="Arial" w:eastAsia="Arial" w:hAnsi="Arial" w:cs="Arial"/>
        </w:rPr>
        <w:t xml:space="preserve">Konkrétní částka implementačních nákladů bude účtována na základě rozpisu činností, předaného Zhotovitelem. </w:t>
      </w:r>
      <w:r w:rsidR="002E5579" w:rsidRPr="004359C0">
        <w:rPr>
          <w:rFonts w:ascii="Arial" w:eastAsia="Arial" w:hAnsi="Arial" w:cs="Arial"/>
        </w:rPr>
        <w:t xml:space="preserve">K částkám bude </w:t>
      </w:r>
      <w:r w:rsidR="008E1DB7" w:rsidRPr="004359C0">
        <w:rPr>
          <w:rFonts w:ascii="Arial" w:eastAsia="Arial" w:hAnsi="Arial" w:cs="Arial"/>
        </w:rPr>
        <w:t xml:space="preserve">vždy </w:t>
      </w:r>
      <w:r w:rsidR="002E5579" w:rsidRPr="004359C0">
        <w:rPr>
          <w:rFonts w:ascii="Arial" w:eastAsia="Arial" w:hAnsi="Arial" w:cs="Arial"/>
        </w:rPr>
        <w:t>účtována DPH v zákonné výši.</w:t>
      </w:r>
      <w:r w:rsidR="0054080D" w:rsidRPr="004359C0">
        <w:rPr>
          <w:rFonts w:ascii="Arial" w:eastAsia="Arial" w:hAnsi="Arial" w:cs="Arial"/>
        </w:rPr>
        <w:t xml:space="preserve"> </w:t>
      </w:r>
    </w:p>
    <w:p w14:paraId="7EE961E1" w14:textId="360ED320" w:rsidR="00F941E7" w:rsidRPr="004359C0" w:rsidRDefault="00C01695">
      <w:pPr>
        <w:numPr>
          <w:ilvl w:val="1"/>
          <w:numId w:val="8"/>
        </w:numPr>
        <w:pBdr>
          <w:top w:val="nil"/>
          <w:left w:val="nil"/>
          <w:bottom w:val="nil"/>
          <w:right w:val="nil"/>
          <w:between w:val="nil"/>
        </w:pBdr>
        <w:spacing w:after="113"/>
        <w:jc w:val="both"/>
        <w:rPr>
          <w:rFonts w:ascii="Arial" w:eastAsia="Arial" w:hAnsi="Arial" w:cs="Arial"/>
        </w:rPr>
      </w:pPr>
      <w:r w:rsidRPr="004359C0">
        <w:rPr>
          <w:rFonts w:ascii="Arial" w:eastAsia="Arial" w:hAnsi="Arial" w:cs="Arial"/>
        </w:rPr>
        <w:t xml:space="preserve">Odměna za poskytování Služeb bude Objednatelem placena měsíčně ve </w:t>
      </w:r>
      <w:r w:rsidR="002E5579" w:rsidRPr="004359C0">
        <w:rPr>
          <w:rFonts w:ascii="Arial" w:eastAsia="Arial" w:hAnsi="Arial" w:cs="Arial"/>
        </w:rPr>
        <w:t xml:space="preserve">výši 37.500 Kč (slovy </w:t>
      </w:r>
      <w:proofErr w:type="spellStart"/>
      <w:r w:rsidR="002E5579" w:rsidRPr="004359C0">
        <w:rPr>
          <w:rFonts w:ascii="Arial" w:eastAsia="Arial" w:hAnsi="Arial" w:cs="Arial"/>
        </w:rPr>
        <w:t>třicetsedmtisícpětset</w:t>
      </w:r>
      <w:proofErr w:type="spellEnd"/>
      <w:r w:rsidRPr="004359C0">
        <w:rPr>
          <w:rFonts w:ascii="Arial" w:eastAsia="Arial" w:hAnsi="Arial" w:cs="Arial"/>
        </w:rPr>
        <w:t xml:space="preserve"> korun českých) </w:t>
      </w:r>
      <w:r w:rsidR="004E5FD3">
        <w:rPr>
          <w:rFonts w:ascii="Arial" w:eastAsia="Arial" w:hAnsi="Arial" w:cs="Arial"/>
        </w:rPr>
        <w:t xml:space="preserve">bez DPH </w:t>
      </w:r>
      <w:r w:rsidRPr="004359C0">
        <w:rPr>
          <w:rFonts w:ascii="Arial" w:eastAsia="Arial" w:hAnsi="Arial" w:cs="Arial"/>
        </w:rPr>
        <w:t>na základě faktur vystavených Zhotovitelem vždy na začátku kalendářního měsíce příslušného měsíce, ve kterém budou Služby poskytovány.</w:t>
      </w:r>
      <w:r w:rsidR="006F0A34" w:rsidRPr="004359C0">
        <w:rPr>
          <w:rFonts w:ascii="Arial" w:eastAsia="Arial" w:hAnsi="Arial" w:cs="Arial"/>
        </w:rPr>
        <w:t xml:space="preserve"> Implementační náklady budou účtovány jednorázově, na základě rozpisu činností, předaného Zhotovitelem, k 1. 3. 2020.</w:t>
      </w:r>
    </w:p>
    <w:p w14:paraId="5A5CF431" w14:textId="21C7F217" w:rsidR="00F941E7" w:rsidRDefault="00C01695">
      <w:pPr>
        <w:numPr>
          <w:ilvl w:val="1"/>
          <w:numId w:val="8"/>
        </w:numPr>
        <w:pBdr>
          <w:top w:val="nil"/>
          <w:left w:val="nil"/>
          <w:bottom w:val="nil"/>
          <w:right w:val="nil"/>
          <w:between w:val="nil"/>
        </w:pBdr>
        <w:spacing w:after="113"/>
        <w:jc w:val="both"/>
        <w:rPr>
          <w:rFonts w:ascii="Arial" w:eastAsia="Arial" w:hAnsi="Arial" w:cs="Arial"/>
          <w:color w:val="000000"/>
        </w:rPr>
      </w:pPr>
      <w:r w:rsidRPr="004359C0">
        <w:rPr>
          <w:rFonts w:ascii="Arial" w:eastAsia="Arial" w:hAnsi="Arial" w:cs="Arial"/>
        </w:rPr>
        <w:t xml:space="preserve">Zhotovitel se zavazuje Objednateli zaslat fakturu v elektronické podobě ve formátu PDF, opatřenou uznávaným elektronickým podpisem založeným na certifikátu vydaném akreditovaným poskytovatelem certifikačních služeb nebo elektronickou značkou a zároveň připojit k faktuře její </w:t>
      </w:r>
      <w:r>
        <w:rPr>
          <w:rFonts w:ascii="Arial" w:eastAsia="Arial" w:hAnsi="Arial" w:cs="Arial"/>
          <w:color w:val="000000"/>
        </w:rPr>
        <w:t xml:space="preserve">datovou podobu např. ve formátu ISDOC nebo ISDOCX. Poskytovatel zašle tuto elektronickou fakturu na e-mailovou adresu </w:t>
      </w:r>
      <w:hyperlink r:id="rId8" w:history="1">
        <w:r w:rsidR="004359C0" w:rsidRPr="00947760">
          <w:rPr>
            <w:rStyle w:val="Hypertextovodkaz"/>
            <w:rFonts w:ascii="Arial" w:eastAsia="Arial" w:hAnsi="Arial" w:cs="Arial"/>
          </w:rPr>
          <w:t>irena.vernerova@slavosslany.cz</w:t>
        </w:r>
      </w:hyperlink>
      <w:r w:rsidR="004359C0">
        <w:rPr>
          <w:rFonts w:ascii="Arial" w:eastAsia="Arial" w:hAnsi="Arial" w:cs="Arial"/>
          <w:color w:val="000000"/>
        </w:rPr>
        <w:t xml:space="preserve"> </w:t>
      </w:r>
      <w:r>
        <w:rPr>
          <w:rFonts w:ascii="Arial" w:eastAsia="Arial" w:hAnsi="Arial" w:cs="Arial"/>
          <w:color w:val="000000"/>
        </w:rPr>
        <w:t>nebo prostřednictvím datové schránky.</w:t>
      </w:r>
      <w:r>
        <w:rPr>
          <w:color w:val="000000"/>
          <w:sz w:val="22"/>
          <w:szCs w:val="22"/>
        </w:rPr>
        <w:t xml:space="preserve"> </w:t>
      </w:r>
      <w:r>
        <w:rPr>
          <w:rFonts w:ascii="Arial" w:eastAsia="Arial" w:hAnsi="Arial" w:cs="Arial"/>
          <w:color w:val="000000"/>
        </w:rPr>
        <w:t>Splatnost faktur je 15 dnů ode dne doručení faktury Objednateli.</w:t>
      </w:r>
    </w:p>
    <w:p w14:paraId="3B10D497" w14:textId="28808A12" w:rsidR="00F941E7" w:rsidRDefault="00C01695">
      <w:pPr>
        <w:numPr>
          <w:ilvl w:val="1"/>
          <w:numId w:val="8"/>
        </w:num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Účetní doklady (faktury) musí obsahovat náležitosti daňového dokladu podle zákona č. 235/2004 Sb., o dani z přidané hodnoty, ve znění pozdějších předpisů, podle zákona č. 563/1991 Sb., o účetnictví, ve znění pozdějších předpisů a podle zákona č. 90/2012 Sb., o obchodních společnostech a družstvech (zákon o obchodních korporacích), ve znění pozdějších předpisů. V případě, že účetní doklady nebudou mít odpovídající náležitosti, je Objednatel oprávněn zaslat je ve lhůtě splatnosti zpět k</w:t>
      </w:r>
      <w:r w:rsidR="004359C0">
        <w:rPr>
          <w:rFonts w:ascii="Arial" w:eastAsia="Arial" w:hAnsi="Arial" w:cs="Arial"/>
          <w:color w:val="000000"/>
        </w:rPr>
        <w:t> </w:t>
      </w:r>
      <w:r>
        <w:rPr>
          <w:rFonts w:ascii="Arial" w:eastAsia="Arial" w:hAnsi="Arial" w:cs="Arial"/>
          <w:color w:val="000000"/>
        </w:rPr>
        <w:t>opravě</w:t>
      </w:r>
      <w:r w:rsidR="004359C0">
        <w:rPr>
          <w:rFonts w:ascii="Arial" w:eastAsia="Arial" w:hAnsi="Arial" w:cs="Arial"/>
          <w:color w:val="000000"/>
        </w:rPr>
        <w:t>,</w:t>
      </w:r>
      <w:r>
        <w:rPr>
          <w:rFonts w:ascii="Arial" w:eastAsia="Arial" w:hAnsi="Arial" w:cs="Arial"/>
          <w:color w:val="000000"/>
        </w:rPr>
        <w:t xml:space="preserve"> resp. doplnění, aniž se tak dostane do prodlení se splatností; lhůta splatnosti počíná běžet znovu od opětovného doručení náležitě doplněných či opravených dokladů. </w:t>
      </w:r>
    </w:p>
    <w:p w14:paraId="0FB88810" w14:textId="77777777" w:rsidR="00F941E7" w:rsidRDefault="00C01695">
      <w:pPr>
        <w:numPr>
          <w:ilvl w:val="1"/>
          <w:numId w:val="8"/>
        </w:num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 xml:space="preserve">V případě prodlení Objednatele s úhradou odměny vzniká Zhotoviteli nárok na úrok z prodlení ve výši </w:t>
      </w:r>
      <w:proofErr w:type="gramStart"/>
      <w:r>
        <w:rPr>
          <w:rFonts w:ascii="Arial" w:eastAsia="Arial" w:hAnsi="Arial" w:cs="Arial"/>
          <w:color w:val="000000"/>
        </w:rPr>
        <w:t>0,05%</w:t>
      </w:r>
      <w:proofErr w:type="gramEnd"/>
      <w:r>
        <w:rPr>
          <w:rFonts w:ascii="Arial" w:eastAsia="Arial" w:hAnsi="Arial" w:cs="Arial"/>
          <w:color w:val="000000"/>
        </w:rPr>
        <w:t xml:space="preserve"> za každý započatý den prodlení.</w:t>
      </w:r>
    </w:p>
    <w:p w14:paraId="3548942C" w14:textId="77777777" w:rsidR="00F941E7" w:rsidRDefault="00C01695">
      <w:pPr>
        <w:numPr>
          <w:ilvl w:val="1"/>
          <w:numId w:val="8"/>
        </w:num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V kalendářním roce následujícím po roce, ve kterém tato Smlouva nabude platnosti a účinnosti a každém dalším následujícím kalendářním roce je Zhotovitel oprávněn jednostranným úkonem automaticky navýšit poplatek za Služby o koeficient, který odpovídá míře inflace vyjádřené přírůstkem</w:t>
      </w:r>
      <w:r>
        <w:rPr>
          <w:rFonts w:ascii="Arial" w:eastAsia="Arial" w:hAnsi="Arial" w:cs="Arial"/>
          <w:b/>
          <w:color w:val="000000"/>
        </w:rPr>
        <w:t xml:space="preserve"> </w:t>
      </w:r>
      <w:r>
        <w:rPr>
          <w:rFonts w:ascii="Arial" w:eastAsia="Arial" w:hAnsi="Arial" w:cs="Arial"/>
          <w:color w:val="000000"/>
        </w:rPr>
        <w:t>průměrného ročního indexu</w:t>
      </w:r>
      <w:r>
        <w:rPr>
          <w:rFonts w:ascii="Arial" w:eastAsia="Arial" w:hAnsi="Arial" w:cs="Arial"/>
          <w:b/>
          <w:color w:val="000000"/>
        </w:rPr>
        <w:t xml:space="preserve"> </w:t>
      </w:r>
      <w:r>
        <w:rPr>
          <w:rFonts w:ascii="Arial" w:eastAsia="Arial" w:hAnsi="Arial" w:cs="Arial"/>
          <w:color w:val="000000"/>
        </w:rPr>
        <w:t>spotřebitelských cen vyhlášené Českým statistickým úřadem za rok, který tomuto zvýšení poplatku předcházel s účinností od prvního dne následujícího po zveřejnění Českým statistickým úřadem.</w:t>
      </w:r>
    </w:p>
    <w:p w14:paraId="3C6924F7" w14:textId="77777777" w:rsidR="00F941E7" w:rsidRDefault="00F941E7">
      <w:pPr>
        <w:pBdr>
          <w:top w:val="nil"/>
          <w:left w:val="nil"/>
          <w:bottom w:val="nil"/>
          <w:right w:val="nil"/>
          <w:between w:val="nil"/>
        </w:pBdr>
        <w:rPr>
          <w:rFonts w:ascii="Times New Roman" w:eastAsia="Times New Roman" w:hAnsi="Times New Roman" w:cs="Times New Roman"/>
          <w:color w:val="000000"/>
          <w:sz w:val="24"/>
          <w:szCs w:val="24"/>
        </w:rPr>
      </w:pPr>
    </w:p>
    <w:p w14:paraId="28BBEE6D"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t>Čl</w:t>
      </w:r>
      <w:r>
        <w:rPr>
          <w:rFonts w:ascii="Arial" w:eastAsia="Arial" w:hAnsi="Arial" w:cs="Arial"/>
          <w:b/>
          <w:smallCaps/>
          <w:color w:val="000000"/>
        </w:rPr>
        <w:t>. 4 - SANKCE</w:t>
      </w:r>
    </w:p>
    <w:p w14:paraId="4CB68524" w14:textId="77777777" w:rsidR="00F941E7" w:rsidRDefault="00F941E7">
      <w:pPr>
        <w:pBdr>
          <w:top w:val="nil"/>
          <w:left w:val="nil"/>
          <w:bottom w:val="nil"/>
          <w:right w:val="nil"/>
          <w:between w:val="nil"/>
        </w:pBdr>
        <w:jc w:val="both"/>
        <w:rPr>
          <w:rFonts w:ascii="Arial" w:eastAsia="Arial" w:hAnsi="Arial" w:cs="Arial"/>
          <w:color w:val="000000"/>
        </w:rPr>
      </w:pPr>
    </w:p>
    <w:p w14:paraId="111EA31A" w14:textId="663D8A43" w:rsidR="00F941E7" w:rsidRDefault="00C01695">
      <w:pPr>
        <w:numPr>
          <w:ilvl w:val="1"/>
          <w:numId w:val="2"/>
        </w:num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 xml:space="preserve">V případě prokázaného závažného porušení SLA je Objednatel oprávněn požadovat po Zhotoviteli sankci ve výši </w:t>
      </w:r>
      <w:bookmarkStart w:id="1" w:name="_GoBack"/>
      <w:bookmarkEnd w:id="1"/>
      <w:r>
        <w:rPr>
          <w:rFonts w:ascii="Arial" w:eastAsia="Arial" w:hAnsi="Arial" w:cs="Arial"/>
          <w:color w:val="000000"/>
        </w:rPr>
        <w:t>5.000 Kč bez DPH za každý případ takového porušení. Závažným porušením SLA se rozumí nedodržení kritické hranice kteréhokoliv výkonového ukazatele stanoveného SLA po dvě nebo více po sobě následujících vyhodnocovacích období stanovených v příloze A této Smlouvy.</w:t>
      </w:r>
    </w:p>
    <w:p w14:paraId="5F63DAEF" w14:textId="77777777" w:rsidR="00F941E7" w:rsidRDefault="00C01695">
      <w:pPr>
        <w:numPr>
          <w:ilvl w:val="1"/>
          <w:numId w:val="2"/>
        </w:num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Smluvní strany se zavazují aktivně vytvářet podmínky a vyvíjet úsilí k tomu, aby k porušováním SLA nedocházelo.</w:t>
      </w:r>
    </w:p>
    <w:p w14:paraId="14D2EF66" w14:textId="77777777" w:rsidR="00F941E7" w:rsidRDefault="00F941E7">
      <w:pPr>
        <w:pBdr>
          <w:top w:val="nil"/>
          <w:left w:val="nil"/>
          <w:bottom w:val="nil"/>
          <w:right w:val="nil"/>
          <w:between w:val="nil"/>
        </w:pBdr>
        <w:spacing w:after="113"/>
        <w:ind w:left="360"/>
        <w:jc w:val="both"/>
        <w:rPr>
          <w:rFonts w:ascii="Arial" w:eastAsia="Arial" w:hAnsi="Arial" w:cs="Arial"/>
          <w:color w:val="000000"/>
        </w:rPr>
      </w:pPr>
    </w:p>
    <w:p w14:paraId="7B36D718"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lastRenderedPageBreak/>
        <w:t>Čl. 5 – VYŠŠÍ MOC</w:t>
      </w:r>
    </w:p>
    <w:p w14:paraId="01E6B905" w14:textId="77777777" w:rsidR="00F941E7" w:rsidRDefault="00F941E7">
      <w:pPr>
        <w:pBdr>
          <w:top w:val="nil"/>
          <w:left w:val="nil"/>
          <w:bottom w:val="nil"/>
          <w:right w:val="nil"/>
          <w:between w:val="nil"/>
        </w:pBdr>
        <w:jc w:val="both"/>
        <w:rPr>
          <w:rFonts w:ascii="Arial" w:eastAsia="Arial" w:hAnsi="Arial" w:cs="Arial"/>
          <w:color w:val="000000"/>
        </w:rPr>
      </w:pPr>
    </w:p>
    <w:p w14:paraId="0B54ADB1" w14:textId="77777777" w:rsidR="00F941E7" w:rsidRDefault="00C01695">
      <w:pPr>
        <w:numPr>
          <w:ilvl w:val="1"/>
          <w:numId w:val="3"/>
        </w:numPr>
        <w:pBdr>
          <w:top w:val="nil"/>
          <w:left w:val="nil"/>
          <w:bottom w:val="nil"/>
          <w:right w:val="nil"/>
          <w:between w:val="nil"/>
        </w:pBdr>
        <w:spacing w:after="120"/>
        <w:ind w:left="426" w:hanging="426"/>
        <w:jc w:val="both"/>
        <w:rPr>
          <w:rFonts w:ascii="Arial" w:eastAsia="Arial" w:hAnsi="Arial" w:cs="Arial"/>
          <w:color w:val="000000"/>
        </w:rPr>
      </w:pPr>
      <w:r>
        <w:rPr>
          <w:rFonts w:ascii="Arial" w:eastAsia="Arial" w:hAnsi="Arial" w:cs="Arial"/>
          <w:color w:val="000000"/>
        </w:rPr>
        <w:t xml:space="preserve">Žádná ze smluvních stran nenese odpovědnost za prodlení při plnění povinností vyplývajících z této Smlouvy, prokáže-li, že jí ve splnění povinností ze Smlouvy dočasně nebo trvale zabránila mimořádná nepředvídatelná a nepřekonatelná překážka vzniklá nezávisle na její vůli (§ 2913 občanského zákoníku).  Za takovou překážku smluvní strany považují zejména případy vyšší moci jako války, povstání, úmyslného poškozování, požáru, zásahu vlády nebo veřejných orgánů, výpadku dodávky elektrické </w:t>
      </w:r>
      <w:proofErr w:type="gramStart"/>
      <w:r>
        <w:rPr>
          <w:rFonts w:ascii="Arial" w:eastAsia="Arial" w:hAnsi="Arial" w:cs="Arial"/>
          <w:color w:val="000000"/>
        </w:rPr>
        <w:t>energie,</w:t>
      </w:r>
      <w:proofErr w:type="gramEnd"/>
      <w:r>
        <w:rPr>
          <w:rFonts w:ascii="Arial" w:eastAsia="Arial" w:hAnsi="Arial" w:cs="Arial"/>
          <w:color w:val="000000"/>
        </w:rPr>
        <w:t xml:space="preserve"> atd. </w:t>
      </w:r>
    </w:p>
    <w:p w14:paraId="4A980D9C" w14:textId="77777777" w:rsidR="00F941E7" w:rsidRDefault="00C01695">
      <w:pPr>
        <w:numPr>
          <w:ilvl w:val="1"/>
          <w:numId w:val="3"/>
        </w:numPr>
        <w:pBdr>
          <w:top w:val="nil"/>
          <w:left w:val="nil"/>
          <w:bottom w:val="nil"/>
          <w:right w:val="nil"/>
          <w:between w:val="nil"/>
        </w:pBdr>
        <w:spacing w:after="120"/>
        <w:ind w:left="426" w:hanging="426"/>
        <w:jc w:val="both"/>
        <w:rPr>
          <w:rFonts w:ascii="Arial" w:eastAsia="Arial" w:hAnsi="Arial" w:cs="Arial"/>
          <w:color w:val="000000"/>
        </w:rPr>
      </w:pPr>
      <w:r>
        <w:rPr>
          <w:rFonts w:ascii="Arial" w:eastAsia="Arial" w:hAnsi="Arial" w:cs="Arial"/>
          <w:color w:val="000000"/>
        </w:rPr>
        <w:t xml:space="preserve">Je-li některé ze smluvních stran zabráněno plnit své smluvní povinnosti z této Smlouvy z některého z výše uvedených důvodů, je povinna oznámit tuto skutečnost druhé smluvní straně bez zbytečného odkladu včetně uvedení, v čem taková skutečnost spočívá. Smluvní strana postižena těmito překážkami nebude po dobu trvání překážek v prodlení s plněním této Smlouvy. </w:t>
      </w:r>
    </w:p>
    <w:p w14:paraId="464EEDE2"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5D08C7F3" w14:textId="77777777" w:rsidR="00F941E7" w:rsidRDefault="00C01695">
      <w:pPr>
        <w:pBdr>
          <w:top w:val="nil"/>
          <w:left w:val="nil"/>
          <w:bottom w:val="nil"/>
          <w:right w:val="nil"/>
          <w:between w:val="nil"/>
        </w:pBdr>
        <w:shd w:val="clear" w:color="auto" w:fill="D9D9D9"/>
        <w:jc w:val="center"/>
        <w:rPr>
          <w:rFonts w:ascii="Arial" w:eastAsia="Arial" w:hAnsi="Arial" w:cs="Arial"/>
          <w:color w:val="000000"/>
        </w:rPr>
      </w:pPr>
      <w:r>
        <w:rPr>
          <w:rFonts w:ascii="Arial" w:eastAsia="Arial" w:hAnsi="Arial" w:cs="Arial"/>
          <w:b/>
          <w:color w:val="000000"/>
        </w:rPr>
        <w:t xml:space="preserve">Čl. 6 - </w:t>
      </w:r>
      <w:r>
        <w:rPr>
          <w:rFonts w:ascii="Arial" w:eastAsia="Arial" w:hAnsi="Arial" w:cs="Arial"/>
          <w:b/>
          <w:smallCaps/>
          <w:color w:val="000000"/>
        </w:rPr>
        <w:t>PLATNOST A ÚČINNOST SMLOUVY</w:t>
      </w:r>
    </w:p>
    <w:p w14:paraId="34EB8EBE" w14:textId="77777777" w:rsidR="00F941E7" w:rsidRDefault="00F941E7">
      <w:pPr>
        <w:pBdr>
          <w:top w:val="nil"/>
          <w:left w:val="nil"/>
          <w:bottom w:val="nil"/>
          <w:right w:val="nil"/>
          <w:between w:val="nil"/>
        </w:pBdr>
        <w:jc w:val="both"/>
        <w:rPr>
          <w:rFonts w:ascii="Arial" w:eastAsia="Arial" w:hAnsi="Arial" w:cs="Arial"/>
          <w:color w:val="000000"/>
        </w:rPr>
      </w:pPr>
    </w:p>
    <w:p w14:paraId="4BCFE437" w14:textId="77777777" w:rsidR="00F941E7" w:rsidRDefault="00C01695">
      <w:pPr>
        <w:numPr>
          <w:ilvl w:val="1"/>
          <w:numId w:val="4"/>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Smlouva nabývá platnosti okamžikem jejího podpisu osobami oprávněnými podepisovat jménem obou s</w:t>
      </w:r>
      <w:r w:rsidR="002E5579">
        <w:rPr>
          <w:rFonts w:ascii="Arial" w:eastAsia="Arial" w:hAnsi="Arial" w:cs="Arial"/>
          <w:color w:val="000000"/>
        </w:rPr>
        <w:t>mluvních stran a účinnosti dnem 1. 3. 2020.</w:t>
      </w:r>
    </w:p>
    <w:p w14:paraId="0172FFFB" w14:textId="77777777" w:rsidR="00F941E7" w:rsidRDefault="00C01695">
      <w:pPr>
        <w:numPr>
          <w:ilvl w:val="1"/>
          <w:numId w:val="4"/>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Smlou</w:t>
      </w:r>
      <w:r w:rsidR="008E1DB7">
        <w:rPr>
          <w:rFonts w:ascii="Arial" w:eastAsia="Arial" w:hAnsi="Arial" w:cs="Arial"/>
          <w:color w:val="000000"/>
        </w:rPr>
        <w:t>va je uzavřená na dobu určitou od 1. 3. 2020 do 31. 12. 2020</w:t>
      </w:r>
      <w:r>
        <w:rPr>
          <w:rFonts w:ascii="Arial" w:eastAsia="Arial" w:hAnsi="Arial" w:cs="Arial"/>
          <w:color w:val="000000"/>
        </w:rPr>
        <w:t>. Kterákoliv ze smluvních stran je oprávněná tuto smlouvu písemně vypovědět bez uvedení důvodu, přičemž výpovědní lhůta v takovém případě činí 3 měsíce a počíná běžet prvního dne měsíce následujícího po doručení oznámení o výpovědi druhé smluvní straně.</w:t>
      </w:r>
    </w:p>
    <w:p w14:paraId="33D2E62C"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3CD50359"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t xml:space="preserve">Čl. 7 - </w:t>
      </w:r>
      <w:r>
        <w:rPr>
          <w:rFonts w:ascii="Arial" w:eastAsia="Arial" w:hAnsi="Arial" w:cs="Arial"/>
          <w:b/>
          <w:smallCaps/>
          <w:color w:val="000000"/>
        </w:rPr>
        <w:t>OSTATNÍ A ZÁVĚREČNÁ USTANOVENÍ</w:t>
      </w:r>
    </w:p>
    <w:p w14:paraId="52EE38BF" w14:textId="77777777" w:rsidR="00F941E7" w:rsidRDefault="00F941E7">
      <w:pPr>
        <w:pBdr>
          <w:top w:val="nil"/>
          <w:left w:val="nil"/>
          <w:bottom w:val="nil"/>
          <w:right w:val="nil"/>
          <w:between w:val="nil"/>
        </w:pBdr>
        <w:jc w:val="both"/>
        <w:rPr>
          <w:rFonts w:ascii="Arial" w:eastAsia="Arial" w:hAnsi="Arial" w:cs="Arial"/>
          <w:color w:val="000000"/>
        </w:rPr>
      </w:pPr>
    </w:p>
    <w:p w14:paraId="1803DD97"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Tato Smlouva je vyhotovena ve dvou stejnopisech, z nichž každý má platnost originálu. Každá smluvní strana obdrží po jednom stejnopisu.</w:t>
      </w:r>
    </w:p>
    <w:p w14:paraId="6758BA67"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 xml:space="preserve">Smluvní strany se zavazují udržovat veškeré informace vyplývající z této Smlouvy a jejího plnění v tajnosti, nezveřejňovat je ve vztahu k třetím osobám a chránit navzájem dobré obchodní jméno. </w:t>
      </w:r>
      <w:r w:rsidRPr="004359C0">
        <w:rPr>
          <w:rFonts w:ascii="Arial" w:eastAsia="Arial" w:hAnsi="Arial" w:cs="Arial"/>
        </w:rPr>
        <w:t xml:space="preserve">Tato povinnost mlčenlivosti však neplatí ke společnostem koncernu VEOLIA. Povinnost mlčenlivosti trvá i po </w:t>
      </w:r>
      <w:r>
        <w:rPr>
          <w:rFonts w:ascii="Arial" w:eastAsia="Arial" w:hAnsi="Arial" w:cs="Arial"/>
          <w:color w:val="000000"/>
        </w:rPr>
        <w:t>případném skončení smluvních vztahů vyplývajících z této Smlouvy.</w:t>
      </w:r>
    </w:p>
    <w:p w14:paraId="51F3E55F"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 xml:space="preserve">Smluvní strany jsou povinny se neprodleně vyrozumět o změnách veškerých skutečností týkajících se plnění této Smlouvy. Rovněž jsou povinny se neprodleně vyrozumět o tom, že proti nim bylo zahájeno insolvenční řízení, nebo že vstoupily do likvidace, anebo že proti nim je veden výkon rozhodnutí. </w:t>
      </w:r>
    </w:p>
    <w:p w14:paraId="14B35331"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Neplatnost či nevymahatelnost jakéhokoli ustanovení této Smlouvy nemá vliv na ostatní ustanovení, která zůstávají platná a účinná a smluvní strany se tímto zavazují k nahrazení neplatného či nevymahatelného ustanovení ustanovením platným a vymahatelným, jehož znění se bude co nejvíce blížit vůli smluvních stran vyjádřené v původním neplatném ustanovení tak, aby účel a podstata této Smlouvy byly zachovány.</w:t>
      </w:r>
    </w:p>
    <w:p w14:paraId="3E8B44EF"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Tato Smlouva a veškeré vztahy z ní vzniklé se řídí zákonem č. 89/2012 Sb., občanským zákoníkem, ve znění pozdějších předpisů.</w:t>
      </w:r>
    </w:p>
    <w:p w14:paraId="7FE05F42"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Jakékoli změny a doplňky této Smlouvy musí být učiněny písemnou formou dodatku, odsouhlaseny a podepsány osobami oprávněnými jednat za strany, jinak nejsou platné. Za písemnou formu nebude pro tento účel považována výměna e-mailových či jiných elektronických zpráv. Práva vzniklá z této Smlouvy nesmí být postoupena bez předchozího písemného souhlasu druhé smluvní strany.</w:t>
      </w:r>
    </w:p>
    <w:p w14:paraId="5DB37065" w14:textId="77777777" w:rsidR="00F941E7" w:rsidRPr="004359C0" w:rsidRDefault="00C01695">
      <w:pPr>
        <w:numPr>
          <w:ilvl w:val="1"/>
          <w:numId w:val="5"/>
        </w:numPr>
        <w:pBdr>
          <w:top w:val="nil"/>
          <w:left w:val="nil"/>
          <w:bottom w:val="nil"/>
          <w:right w:val="nil"/>
          <w:between w:val="nil"/>
        </w:pBdr>
        <w:spacing w:after="113"/>
        <w:ind w:left="426" w:hanging="426"/>
        <w:jc w:val="both"/>
        <w:rPr>
          <w:rFonts w:ascii="Arial" w:eastAsia="Arial" w:hAnsi="Arial" w:cs="Arial"/>
        </w:rPr>
      </w:pPr>
      <w:r w:rsidRPr="004359C0">
        <w:rPr>
          <w:rFonts w:ascii="Arial" w:eastAsia="Arial" w:hAnsi="Arial" w:cs="Arial"/>
        </w:rP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47EBB1A0"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 xml:space="preserve">Smluvní strany výslovně potvrzují, že jsou podnikateli a uzavírají tuto Smlouvu při svém podnikání. Smluvní strany výslovně potvrzují, že podmínky této Smlouvy jsou výsledkem jejich jednání a každá ze smluvních stran měla příležitost ovlivnit obsah podmínek této Smlouvy. Pro vyloučení pochybností smluvní strany vylučují aplikaci ustanovení § 1799 a § 1800 občanského zákoníku na tuto Smlouvu. </w:t>
      </w:r>
    </w:p>
    <w:p w14:paraId="380A2649"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lastRenderedPageBreak/>
        <w:t>Smluvní strany výslovně prohlašují a podpisem připojeným na závěr Smlouvy potvrzují, že jim nejsou známy žádné okolnosti, které by jim bránily v uzavření této Smlouvy, že si Smlouvu řádně a pozorně přečetly, porozuměly jejímu obsahu a že tato Smlouva je projevem jejich svobodné a pravé vůle.</w:t>
      </w:r>
    </w:p>
    <w:p w14:paraId="786B8C38"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Součástí smlouvy je následující příloha:</w:t>
      </w:r>
    </w:p>
    <w:p w14:paraId="50EF280B" w14:textId="77777777" w:rsidR="00F941E7" w:rsidRDefault="00C01695">
      <w:pPr>
        <w:pBdr>
          <w:top w:val="nil"/>
          <w:left w:val="nil"/>
          <w:bottom w:val="nil"/>
          <w:right w:val="nil"/>
          <w:between w:val="nil"/>
        </w:pBdr>
        <w:spacing w:after="113"/>
        <w:ind w:left="360"/>
        <w:jc w:val="both"/>
        <w:rPr>
          <w:rFonts w:ascii="Arial" w:eastAsia="Arial" w:hAnsi="Arial" w:cs="Arial"/>
          <w:color w:val="000000"/>
        </w:rPr>
      </w:pPr>
      <w:r>
        <w:rPr>
          <w:rFonts w:ascii="Arial" w:eastAsia="Arial" w:hAnsi="Arial" w:cs="Arial"/>
          <w:color w:val="000000"/>
        </w:rPr>
        <w:t xml:space="preserve">Příloha A – </w:t>
      </w:r>
      <w:proofErr w:type="spellStart"/>
      <w:r>
        <w:rPr>
          <w:rFonts w:ascii="Arial" w:eastAsia="Arial" w:hAnsi="Arial" w:cs="Arial"/>
          <w:color w:val="000000"/>
        </w:rPr>
        <w:t>Service</w:t>
      </w:r>
      <w:proofErr w:type="spellEnd"/>
      <w:r>
        <w:rPr>
          <w:rFonts w:ascii="Arial" w:eastAsia="Arial" w:hAnsi="Arial" w:cs="Arial"/>
          <w:color w:val="000000"/>
        </w:rPr>
        <w:t xml:space="preserve"> Level </w:t>
      </w:r>
      <w:proofErr w:type="spellStart"/>
      <w:r>
        <w:rPr>
          <w:rFonts w:ascii="Arial" w:eastAsia="Arial" w:hAnsi="Arial" w:cs="Arial"/>
          <w:color w:val="000000"/>
        </w:rPr>
        <w:t>Agreement</w:t>
      </w:r>
      <w:proofErr w:type="spellEnd"/>
      <w:r>
        <w:rPr>
          <w:rFonts w:ascii="Arial" w:eastAsia="Arial" w:hAnsi="Arial" w:cs="Arial"/>
          <w:color w:val="000000"/>
        </w:rPr>
        <w:t>.</w:t>
      </w:r>
    </w:p>
    <w:p w14:paraId="01E016D3" w14:textId="2DFC96BF" w:rsidR="00F941E7" w:rsidRDefault="00F941E7">
      <w:pPr>
        <w:pBdr>
          <w:top w:val="nil"/>
          <w:left w:val="nil"/>
          <w:bottom w:val="nil"/>
          <w:right w:val="nil"/>
          <w:between w:val="nil"/>
        </w:pBdr>
        <w:rPr>
          <w:rFonts w:ascii="Arial" w:eastAsia="Arial" w:hAnsi="Arial" w:cs="Arial"/>
          <w:color w:val="000000"/>
        </w:rPr>
      </w:pPr>
    </w:p>
    <w:p w14:paraId="4E2FEBC3" w14:textId="2EA9DD11" w:rsidR="00FF634C" w:rsidRDefault="00FF634C">
      <w:pPr>
        <w:pBdr>
          <w:top w:val="nil"/>
          <w:left w:val="nil"/>
          <w:bottom w:val="nil"/>
          <w:right w:val="nil"/>
          <w:between w:val="nil"/>
        </w:pBdr>
        <w:rPr>
          <w:rFonts w:ascii="Arial" w:eastAsia="Arial" w:hAnsi="Arial" w:cs="Arial"/>
          <w:color w:val="000000"/>
        </w:rPr>
      </w:pPr>
    </w:p>
    <w:p w14:paraId="45929ED5" w14:textId="672D4B91" w:rsidR="00FF634C" w:rsidRDefault="00FF634C">
      <w:pPr>
        <w:pBdr>
          <w:top w:val="nil"/>
          <w:left w:val="nil"/>
          <w:bottom w:val="nil"/>
          <w:right w:val="nil"/>
          <w:between w:val="nil"/>
        </w:pBdr>
        <w:rPr>
          <w:rFonts w:ascii="Arial" w:eastAsia="Arial" w:hAnsi="Arial" w:cs="Arial"/>
          <w:color w:val="000000"/>
        </w:rPr>
      </w:pPr>
    </w:p>
    <w:p w14:paraId="4FB8F5D5" w14:textId="77777777" w:rsidR="00FF634C" w:rsidRDefault="00FF634C">
      <w:pPr>
        <w:pBdr>
          <w:top w:val="nil"/>
          <w:left w:val="nil"/>
          <w:bottom w:val="nil"/>
          <w:right w:val="nil"/>
          <w:between w:val="nil"/>
        </w:pBdr>
        <w:rPr>
          <w:rFonts w:ascii="Arial" w:eastAsia="Arial" w:hAnsi="Arial" w:cs="Arial"/>
          <w:color w:val="000000"/>
        </w:rPr>
      </w:pPr>
    </w:p>
    <w:p w14:paraId="155E263D" w14:textId="77777777" w:rsidR="00FF634C" w:rsidRPr="00FF634C" w:rsidRDefault="00FF634C" w:rsidP="00FF634C">
      <w:pPr>
        <w:ind w:left="360"/>
        <w:jc w:val="both"/>
        <w:rPr>
          <w:rFonts w:ascii="Arial" w:eastAsia="Arial" w:hAnsi="Arial" w:cs="Arial"/>
        </w:rPr>
      </w:pPr>
      <w:r w:rsidRPr="00FF634C">
        <w:rPr>
          <w:rFonts w:ascii="Arial" w:eastAsia="Arial" w:hAnsi="Arial" w:cs="Arial"/>
        </w:rPr>
        <w:t>V Praze dne …………………………</w:t>
      </w:r>
      <w:r w:rsidRPr="00FF634C">
        <w:rPr>
          <w:rFonts w:ascii="Arial" w:eastAsia="Arial" w:hAnsi="Arial" w:cs="Arial"/>
        </w:rPr>
        <w:tab/>
      </w:r>
      <w:r w:rsidRPr="00FF634C">
        <w:rPr>
          <w:rFonts w:ascii="Arial" w:eastAsia="Arial" w:hAnsi="Arial" w:cs="Arial"/>
        </w:rPr>
        <w:tab/>
      </w:r>
      <w:r w:rsidRPr="00FF634C">
        <w:rPr>
          <w:rFonts w:ascii="Arial" w:eastAsia="Arial" w:hAnsi="Arial" w:cs="Arial"/>
        </w:rPr>
        <w:tab/>
      </w:r>
      <w:r w:rsidRPr="00FF634C">
        <w:rPr>
          <w:rFonts w:ascii="Arial" w:eastAsia="Arial" w:hAnsi="Arial" w:cs="Arial"/>
        </w:rPr>
        <w:tab/>
        <w:t>Ve Slaném dne ………………</w:t>
      </w:r>
      <w:proofErr w:type="gramStart"/>
      <w:r w:rsidRPr="00FF634C">
        <w:rPr>
          <w:rFonts w:ascii="Arial" w:eastAsia="Arial" w:hAnsi="Arial" w:cs="Arial"/>
        </w:rPr>
        <w:t>…….</w:t>
      </w:r>
      <w:proofErr w:type="gramEnd"/>
      <w:r w:rsidRPr="00FF634C">
        <w:rPr>
          <w:rFonts w:ascii="Arial" w:eastAsia="Arial" w:hAnsi="Arial" w:cs="Arial"/>
        </w:rPr>
        <w:t>.</w:t>
      </w:r>
    </w:p>
    <w:p w14:paraId="62306C08" w14:textId="77777777" w:rsidR="00F941E7" w:rsidRDefault="00F941E7">
      <w:pPr>
        <w:pBdr>
          <w:top w:val="nil"/>
          <w:left w:val="nil"/>
          <w:bottom w:val="nil"/>
          <w:right w:val="nil"/>
          <w:between w:val="nil"/>
        </w:pBdr>
        <w:rPr>
          <w:rFonts w:ascii="Arial" w:eastAsia="Arial" w:hAnsi="Arial" w:cs="Arial"/>
          <w:b/>
          <w:color w:val="000000"/>
        </w:rPr>
      </w:pPr>
    </w:p>
    <w:p w14:paraId="76AD5253" w14:textId="2DFF60C2" w:rsidR="00F941E7" w:rsidRDefault="00F941E7">
      <w:pPr>
        <w:pBdr>
          <w:top w:val="nil"/>
          <w:left w:val="nil"/>
          <w:bottom w:val="nil"/>
          <w:right w:val="nil"/>
          <w:between w:val="nil"/>
        </w:pBdr>
        <w:rPr>
          <w:rFonts w:ascii="Arial" w:eastAsia="Arial" w:hAnsi="Arial" w:cs="Arial"/>
          <w:b/>
          <w:color w:val="000000"/>
        </w:rPr>
      </w:pPr>
    </w:p>
    <w:p w14:paraId="392FACB2" w14:textId="77777777" w:rsidR="00FF634C" w:rsidRDefault="00FF634C">
      <w:pPr>
        <w:pBdr>
          <w:top w:val="nil"/>
          <w:left w:val="nil"/>
          <w:bottom w:val="nil"/>
          <w:right w:val="nil"/>
          <w:between w:val="nil"/>
        </w:pBdr>
        <w:rPr>
          <w:rFonts w:ascii="Arial" w:eastAsia="Arial" w:hAnsi="Arial" w:cs="Arial"/>
          <w:b/>
          <w:color w:val="000000"/>
        </w:rPr>
      </w:pPr>
    </w:p>
    <w:p w14:paraId="723C2C7D" w14:textId="77777777" w:rsidR="00F941E7" w:rsidRDefault="008E1DB7" w:rsidP="008E1DB7">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proofErr w:type="spellStart"/>
      <w:r w:rsidR="00C01695">
        <w:rPr>
          <w:rFonts w:ascii="Arial" w:eastAsia="Arial" w:hAnsi="Arial" w:cs="Arial"/>
          <w:b/>
          <w:color w:val="000000"/>
        </w:rPr>
        <w:t>Soluti</w:t>
      </w:r>
      <w:r>
        <w:rPr>
          <w:rFonts w:ascii="Arial" w:eastAsia="Arial" w:hAnsi="Arial" w:cs="Arial"/>
          <w:b/>
          <w:color w:val="000000"/>
        </w:rPr>
        <w:t>ons</w:t>
      </w:r>
      <w:proofErr w:type="spellEnd"/>
      <w:r>
        <w:rPr>
          <w:rFonts w:ascii="Arial" w:eastAsia="Arial" w:hAnsi="Arial" w:cs="Arial"/>
          <w:b/>
          <w:color w:val="000000"/>
        </w:rPr>
        <w:t xml:space="preserve"> and </w:t>
      </w:r>
      <w:proofErr w:type="spellStart"/>
      <w:r>
        <w:rPr>
          <w:rFonts w:ascii="Arial" w:eastAsia="Arial" w:hAnsi="Arial" w:cs="Arial"/>
          <w:b/>
          <w:color w:val="000000"/>
        </w:rPr>
        <w:t>Services</w:t>
      </w:r>
      <w:proofErr w:type="spellEnd"/>
      <w:r>
        <w:rPr>
          <w:rFonts w:ascii="Arial" w:eastAsia="Arial" w:hAnsi="Arial" w:cs="Arial"/>
          <w:b/>
          <w:color w:val="000000"/>
        </w:rPr>
        <w:t>, a.s.</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        </w:t>
      </w:r>
      <w:proofErr w:type="spellStart"/>
      <w:r w:rsidR="00C01695">
        <w:rPr>
          <w:rFonts w:ascii="Arial" w:eastAsia="Arial" w:hAnsi="Arial" w:cs="Arial"/>
          <w:b/>
          <w:color w:val="000000"/>
        </w:rPr>
        <w:t>Slavos</w:t>
      </w:r>
      <w:proofErr w:type="spellEnd"/>
      <w:r w:rsidR="00C01695">
        <w:rPr>
          <w:rFonts w:ascii="Arial" w:eastAsia="Arial" w:hAnsi="Arial" w:cs="Arial"/>
          <w:b/>
          <w:color w:val="000000"/>
        </w:rPr>
        <w:t xml:space="preserve"> Slaný, s. r. o.</w:t>
      </w:r>
    </w:p>
    <w:p w14:paraId="0983BECF" w14:textId="77777777" w:rsidR="00F941E7" w:rsidRDefault="00F941E7">
      <w:pPr>
        <w:pBdr>
          <w:top w:val="nil"/>
          <w:left w:val="nil"/>
          <w:bottom w:val="nil"/>
          <w:right w:val="nil"/>
          <w:between w:val="nil"/>
        </w:pBdr>
        <w:rPr>
          <w:rFonts w:ascii="Arial" w:eastAsia="Arial" w:hAnsi="Arial" w:cs="Arial"/>
          <w:color w:val="000000"/>
        </w:rPr>
      </w:pPr>
    </w:p>
    <w:p w14:paraId="1E3BC75E" w14:textId="77777777" w:rsidR="00F941E7" w:rsidRDefault="00F941E7">
      <w:pPr>
        <w:pBdr>
          <w:top w:val="nil"/>
          <w:left w:val="nil"/>
          <w:bottom w:val="nil"/>
          <w:right w:val="nil"/>
          <w:between w:val="nil"/>
        </w:pBdr>
        <w:rPr>
          <w:rFonts w:ascii="Arial" w:eastAsia="Arial" w:hAnsi="Arial" w:cs="Arial"/>
          <w:color w:val="000000"/>
        </w:rPr>
      </w:pPr>
    </w:p>
    <w:p w14:paraId="765C3584" w14:textId="77777777" w:rsidR="00F941E7" w:rsidRDefault="00F941E7">
      <w:pPr>
        <w:pBdr>
          <w:top w:val="nil"/>
          <w:left w:val="nil"/>
          <w:bottom w:val="nil"/>
          <w:right w:val="nil"/>
          <w:between w:val="nil"/>
        </w:pBdr>
        <w:rPr>
          <w:rFonts w:ascii="Arial" w:eastAsia="Arial" w:hAnsi="Arial" w:cs="Arial"/>
          <w:color w:val="000000"/>
        </w:rPr>
      </w:pPr>
    </w:p>
    <w:p w14:paraId="4A7DF706" w14:textId="77777777" w:rsidR="00F941E7" w:rsidRDefault="00C01695">
      <w:pPr>
        <w:pBdr>
          <w:top w:val="nil"/>
          <w:left w:val="nil"/>
          <w:bottom w:val="nil"/>
          <w:right w:val="nil"/>
          <w:between w:val="nil"/>
        </w:pBdr>
        <w:tabs>
          <w:tab w:val="left" w:pos="4680"/>
        </w:tabs>
        <w:jc w:val="center"/>
        <w:rPr>
          <w:rFonts w:ascii="Arial" w:eastAsia="Arial" w:hAnsi="Arial" w:cs="Arial"/>
          <w:color w:val="000000"/>
        </w:rPr>
      </w:pPr>
      <w:r>
        <w:rPr>
          <w:rFonts w:ascii="Arial" w:eastAsia="Arial" w:hAnsi="Arial" w:cs="Arial"/>
          <w:color w:val="000000"/>
        </w:rPr>
        <w:t>______________________________</w:t>
      </w:r>
      <w:r>
        <w:rPr>
          <w:rFonts w:ascii="Arial" w:eastAsia="Arial" w:hAnsi="Arial" w:cs="Arial"/>
          <w:color w:val="000000"/>
        </w:rPr>
        <w:tab/>
      </w:r>
      <w:r>
        <w:rPr>
          <w:rFonts w:ascii="Arial" w:eastAsia="Arial" w:hAnsi="Arial" w:cs="Arial"/>
          <w:color w:val="000000"/>
        </w:rPr>
        <w:tab/>
        <w:t>_______________________________</w:t>
      </w:r>
      <w:r>
        <w:rPr>
          <w:rFonts w:ascii="Arial" w:eastAsia="Arial" w:hAnsi="Arial" w:cs="Arial"/>
          <w:color w:val="000000"/>
        </w:rPr>
        <w:br/>
        <w:t xml:space="preserve">Robert </w:t>
      </w:r>
      <w:proofErr w:type="spellStart"/>
      <w:r>
        <w:rPr>
          <w:rFonts w:ascii="Arial" w:eastAsia="Arial" w:hAnsi="Arial" w:cs="Arial"/>
          <w:color w:val="000000"/>
        </w:rPr>
        <w:t>Talajka</w:t>
      </w:r>
      <w:proofErr w:type="spellEnd"/>
      <w:r>
        <w:rPr>
          <w:rFonts w:ascii="Arial" w:eastAsia="Arial" w:hAnsi="Arial" w:cs="Arial"/>
          <w:b/>
          <w:color w:val="000000"/>
        </w:rPr>
        <w:tab/>
      </w:r>
      <w:r w:rsidR="002E5579" w:rsidRPr="002E5579">
        <w:rPr>
          <w:rFonts w:ascii="Arial" w:eastAsia="Arial" w:hAnsi="Arial" w:cs="Arial"/>
        </w:rPr>
        <w:t>Ing. Irena Vernerová</w:t>
      </w:r>
    </w:p>
    <w:p w14:paraId="5D7A7493" w14:textId="46ED2271" w:rsidR="00F941E7" w:rsidRDefault="002E5579" w:rsidP="002E5579">
      <w:pPr>
        <w:pBdr>
          <w:top w:val="nil"/>
          <w:left w:val="nil"/>
          <w:bottom w:val="nil"/>
          <w:right w:val="nil"/>
          <w:between w:val="nil"/>
        </w:pBdr>
        <w:tabs>
          <w:tab w:val="left" w:pos="4680"/>
        </w:tabs>
        <w:rPr>
          <w:rFonts w:ascii="Arial" w:eastAsia="Arial" w:hAnsi="Arial" w:cs="Arial"/>
          <w:color w:val="000000"/>
        </w:rPr>
      </w:pPr>
      <w:r>
        <w:rPr>
          <w:rFonts w:ascii="Arial" w:eastAsia="Arial" w:hAnsi="Arial" w:cs="Arial"/>
          <w:color w:val="000000"/>
        </w:rPr>
        <w:t xml:space="preserve">                        </w:t>
      </w:r>
      <w:r w:rsidR="00955175">
        <w:rPr>
          <w:rFonts w:ascii="Arial" w:eastAsia="Arial" w:hAnsi="Arial" w:cs="Arial"/>
          <w:color w:val="000000"/>
        </w:rPr>
        <w:t xml:space="preserve">  </w:t>
      </w:r>
      <w:r w:rsidR="0031157C">
        <w:rPr>
          <w:rFonts w:ascii="Arial" w:eastAsia="Arial" w:hAnsi="Arial" w:cs="Arial"/>
          <w:color w:val="000000"/>
        </w:rPr>
        <w:t>Generální ředitel</w:t>
      </w:r>
      <w:r>
        <w:rPr>
          <w:rFonts w:ascii="Arial" w:eastAsia="Arial" w:hAnsi="Arial" w:cs="Arial"/>
          <w:color w:val="000000"/>
        </w:rPr>
        <w:tab/>
        <w:t xml:space="preserve">      </w:t>
      </w:r>
      <w:r w:rsidR="00955175">
        <w:rPr>
          <w:rFonts w:ascii="Arial" w:eastAsia="Arial" w:hAnsi="Arial" w:cs="Arial"/>
          <w:color w:val="000000"/>
        </w:rPr>
        <w:t xml:space="preserve">                               J</w:t>
      </w:r>
      <w:r>
        <w:rPr>
          <w:rFonts w:ascii="Arial" w:eastAsia="Arial" w:hAnsi="Arial" w:cs="Arial"/>
          <w:color w:val="000000"/>
        </w:rPr>
        <w:t>ednatel</w:t>
      </w:r>
    </w:p>
    <w:p w14:paraId="3DD70B9C" w14:textId="77777777" w:rsidR="00F941E7" w:rsidRDefault="00F941E7">
      <w:pPr>
        <w:pBdr>
          <w:top w:val="nil"/>
          <w:left w:val="nil"/>
          <w:bottom w:val="nil"/>
          <w:right w:val="nil"/>
          <w:between w:val="nil"/>
        </w:pBdr>
        <w:tabs>
          <w:tab w:val="left" w:pos="4680"/>
        </w:tabs>
        <w:rPr>
          <w:rFonts w:ascii="Arial" w:eastAsia="Arial" w:hAnsi="Arial" w:cs="Arial"/>
          <w:color w:val="000000"/>
        </w:rPr>
      </w:pPr>
    </w:p>
    <w:p w14:paraId="7DE54233" w14:textId="77777777" w:rsidR="00F941E7" w:rsidRDefault="00F941E7">
      <w:pPr>
        <w:pBdr>
          <w:top w:val="nil"/>
          <w:left w:val="nil"/>
          <w:bottom w:val="nil"/>
          <w:right w:val="nil"/>
          <w:between w:val="nil"/>
        </w:pBdr>
        <w:tabs>
          <w:tab w:val="left" w:pos="4680"/>
        </w:tabs>
        <w:rPr>
          <w:rFonts w:ascii="Arial" w:eastAsia="Arial" w:hAnsi="Arial" w:cs="Arial"/>
          <w:color w:val="000000"/>
        </w:rPr>
      </w:pPr>
    </w:p>
    <w:p w14:paraId="5F299942" w14:textId="77777777" w:rsidR="002E5579" w:rsidRDefault="002E5579" w:rsidP="002E5579">
      <w:pPr>
        <w:pBdr>
          <w:top w:val="nil"/>
          <w:left w:val="nil"/>
          <w:bottom w:val="nil"/>
          <w:right w:val="nil"/>
          <w:between w:val="nil"/>
        </w:pBdr>
        <w:rPr>
          <w:rFonts w:ascii="Arial" w:eastAsia="Arial" w:hAnsi="Arial" w:cs="Arial"/>
          <w:color w:val="000000"/>
        </w:rPr>
      </w:pPr>
    </w:p>
    <w:p w14:paraId="59E96732" w14:textId="246AD4FA" w:rsidR="002E5579" w:rsidRDefault="002E5579" w:rsidP="002E557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                            </w:t>
      </w:r>
    </w:p>
    <w:p w14:paraId="6A28CA6B" w14:textId="7DD187AA" w:rsidR="002E5579" w:rsidRDefault="002E5579" w:rsidP="002E557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39EA623C" w14:textId="7C504527" w:rsidR="00F941E7" w:rsidRDefault="002E5579" w:rsidP="002E557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sidR="00C01695">
        <w:rPr>
          <w:rFonts w:ascii="Arial" w:eastAsia="Arial" w:hAnsi="Arial" w:cs="Arial"/>
          <w:color w:val="000000"/>
        </w:rPr>
        <w:tab/>
      </w:r>
      <w:r w:rsidR="00C01695">
        <w:rPr>
          <w:rFonts w:ascii="Arial" w:eastAsia="Arial" w:hAnsi="Arial" w:cs="Arial"/>
          <w:color w:val="000000"/>
        </w:rPr>
        <w:tab/>
      </w:r>
      <w:r w:rsidR="00C01695">
        <w:rPr>
          <w:rFonts w:ascii="Arial" w:eastAsia="Arial" w:hAnsi="Arial" w:cs="Arial"/>
          <w:color w:val="000000"/>
        </w:rPr>
        <w:tab/>
      </w:r>
      <w:r w:rsidR="00C01695">
        <w:rPr>
          <w:rFonts w:ascii="Arial" w:eastAsia="Arial" w:hAnsi="Arial" w:cs="Arial"/>
          <w:color w:val="000000"/>
        </w:rPr>
        <w:tab/>
      </w:r>
    </w:p>
    <w:p w14:paraId="6FC758D5" w14:textId="77777777" w:rsidR="00F941E7" w:rsidRDefault="00F941E7">
      <w:pPr>
        <w:pBdr>
          <w:top w:val="nil"/>
          <w:left w:val="nil"/>
          <w:bottom w:val="nil"/>
          <w:right w:val="nil"/>
          <w:between w:val="nil"/>
        </w:pBdr>
        <w:tabs>
          <w:tab w:val="left" w:pos="4680"/>
        </w:tabs>
        <w:rPr>
          <w:rFonts w:ascii="Arial" w:eastAsia="Arial" w:hAnsi="Arial" w:cs="Arial"/>
          <w:color w:val="000000"/>
        </w:rPr>
      </w:pPr>
    </w:p>
    <w:p w14:paraId="4DA7D6B1" w14:textId="77777777" w:rsidR="00F941E7" w:rsidRDefault="00F941E7">
      <w:pPr>
        <w:pBdr>
          <w:top w:val="nil"/>
          <w:left w:val="nil"/>
          <w:bottom w:val="nil"/>
          <w:right w:val="nil"/>
          <w:between w:val="nil"/>
        </w:pBdr>
        <w:rPr>
          <w:rFonts w:ascii="Times New Roman" w:eastAsia="Times New Roman" w:hAnsi="Times New Roman" w:cs="Times New Roman"/>
          <w:color w:val="000000"/>
          <w:sz w:val="24"/>
          <w:szCs w:val="24"/>
        </w:rPr>
      </w:pPr>
    </w:p>
    <w:sectPr w:rsidR="00F941E7">
      <w:footerReference w:type="default" r:id="rId9"/>
      <w:pgSz w:w="11907" w:h="16840"/>
      <w:pgMar w:top="1418"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2A5DA" w14:textId="77777777" w:rsidR="007263D6" w:rsidRDefault="007263D6">
      <w:r>
        <w:separator/>
      </w:r>
    </w:p>
  </w:endnote>
  <w:endnote w:type="continuationSeparator" w:id="0">
    <w:p w14:paraId="4BAF589B" w14:textId="77777777" w:rsidR="007263D6" w:rsidRDefault="007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748D7" w14:textId="08608903" w:rsidR="00F941E7" w:rsidRDefault="00C01695">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rFonts w:ascii="Arial" w:eastAsia="Arial" w:hAnsi="Arial" w:cs="Arial"/>
        <w:color w:val="000000"/>
        <w:sz w:val="16"/>
        <w:szCs w:val="16"/>
      </w:rPr>
      <w:t xml:space="preserve">Strana </w:t>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sidR="00FF634C">
      <w:rPr>
        <w:rFonts w:ascii="Arial" w:eastAsia="Arial" w:hAnsi="Arial" w:cs="Arial"/>
        <w:b/>
        <w:noProof/>
        <w:color w:val="000000"/>
        <w:sz w:val="16"/>
        <w:szCs w:val="16"/>
      </w:rPr>
      <w:t>3</w:t>
    </w:r>
    <w:r>
      <w:rPr>
        <w:rFonts w:ascii="Arial" w:eastAsia="Arial" w:hAnsi="Arial" w:cs="Arial"/>
        <w:b/>
        <w:color w:val="000000"/>
        <w:sz w:val="16"/>
        <w:szCs w:val="16"/>
      </w:rPr>
      <w:fldChar w:fldCharType="end"/>
    </w:r>
    <w:r>
      <w:rPr>
        <w:rFonts w:ascii="Arial" w:eastAsia="Arial" w:hAnsi="Arial" w:cs="Arial"/>
        <w:color w:val="000000"/>
        <w:sz w:val="16"/>
        <w:szCs w:val="16"/>
      </w:rPr>
      <w:t xml:space="preserve"> z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Pr>
        <w:rFonts w:ascii="Arial" w:eastAsia="Arial" w:hAnsi="Arial" w:cs="Arial"/>
        <w:b/>
        <w:color w:val="000000"/>
        <w:sz w:val="16"/>
        <w:szCs w:val="16"/>
      </w:rPr>
      <w:fldChar w:fldCharType="separate"/>
    </w:r>
    <w:r w:rsidR="00FF634C">
      <w:rPr>
        <w:rFonts w:ascii="Arial" w:eastAsia="Arial" w:hAnsi="Arial" w:cs="Arial"/>
        <w:b/>
        <w:noProof/>
        <w:color w:val="000000"/>
        <w:sz w:val="16"/>
        <w:szCs w:val="16"/>
      </w:rPr>
      <w:t>4</w:t>
    </w:r>
    <w:r>
      <w:rPr>
        <w:rFonts w:ascii="Arial" w:eastAsia="Arial" w:hAnsi="Arial" w:cs="Arial"/>
        <w:b/>
        <w:color w:val="000000"/>
        <w:sz w:val="16"/>
        <w:szCs w:val="16"/>
      </w:rPr>
      <w:fldChar w:fldCharType="end"/>
    </w:r>
  </w:p>
  <w:p w14:paraId="50723C91" w14:textId="77777777" w:rsidR="00F941E7" w:rsidRDefault="00F941E7">
    <w:pPr>
      <w:pBdr>
        <w:top w:val="nil"/>
        <w:left w:val="nil"/>
        <w:bottom w:val="nil"/>
        <w:right w:val="nil"/>
        <w:between w:val="nil"/>
      </w:pBdr>
      <w:tabs>
        <w:tab w:val="center" w:pos="4536"/>
        <w:tab w:val="right" w:pos="9072"/>
      </w:tabs>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BA9E" w14:textId="77777777" w:rsidR="007263D6" w:rsidRDefault="007263D6">
      <w:r>
        <w:separator/>
      </w:r>
    </w:p>
  </w:footnote>
  <w:footnote w:type="continuationSeparator" w:id="0">
    <w:p w14:paraId="4A4E883F" w14:textId="77777777" w:rsidR="007263D6" w:rsidRDefault="0072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15D9"/>
    <w:multiLevelType w:val="multilevel"/>
    <w:tmpl w:val="950C6DAC"/>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upperLetter"/>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1A394260"/>
    <w:multiLevelType w:val="multilevel"/>
    <w:tmpl w:val="37FACEC4"/>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lowerLetter"/>
      <w:lvlText w:val="%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27436927"/>
    <w:multiLevelType w:val="multilevel"/>
    <w:tmpl w:val="9B20941E"/>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47803449"/>
    <w:multiLevelType w:val="multilevel"/>
    <w:tmpl w:val="3D3EC728"/>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upperLetter"/>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6D9666E1"/>
    <w:multiLevelType w:val="multilevel"/>
    <w:tmpl w:val="28D82EA6"/>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73043BA3"/>
    <w:multiLevelType w:val="multilevel"/>
    <w:tmpl w:val="3042DFDA"/>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73083E4A"/>
    <w:multiLevelType w:val="multilevel"/>
    <w:tmpl w:val="CB10C8A6"/>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785221A9"/>
    <w:multiLevelType w:val="multilevel"/>
    <w:tmpl w:val="3550A4A2"/>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upperLetter"/>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
  </w:num>
  <w:num w:numId="2">
    <w:abstractNumId w:val="6"/>
  </w:num>
  <w:num w:numId="3">
    <w:abstractNumId w:val="0"/>
  </w:num>
  <w:num w:numId="4">
    <w:abstractNumId w:val="7"/>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E7"/>
    <w:rsid w:val="00002A63"/>
    <w:rsid w:val="00072BC5"/>
    <w:rsid w:val="00170E6F"/>
    <w:rsid w:val="002E5579"/>
    <w:rsid w:val="0031157C"/>
    <w:rsid w:val="003F0A32"/>
    <w:rsid w:val="004359C0"/>
    <w:rsid w:val="004400B7"/>
    <w:rsid w:val="004C77F7"/>
    <w:rsid w:val="004E5FD3"/>
    <w:rsid w:val="0054080D"/>
    <w:rsid w:val="00662FED"/>
    <w:rsid w:val="006F0A34"/>
    <w:rsid w:val="006F46B0"/>
    <w:rsid w:val="007263D6"/>
    <w:rsid w:val="008E1DB7"/>
    <w:rsid w:val="00942B43"/>
    <w:rsid w:val="00955175"/>
    <w:rsid w:val="00A471FD"/>
    <w:rsid w:val="00C01695"/>
    <w:rsid w:val="00ED612E"/>
    <w:rsid w:val="00F941E7"/>
    <w:rsid w:val="00FE442F"/>
    <w:rsid w:val="00FF6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6D30"/>
  <w15:docId w15:val="{6C001A98-251F-42AF-9DC9-EF2FD3EF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character" w:styleId="Hypertextovodkaz">
    <w:name w:val="Hyperlink"/>
    <w:basedOn w:val="Standardnpsmoodstavce"/>
    <w:uiPriority w:val="99"/>
    <w:unhideWhenUsed/>
    <w:rsid w:val="00C01695"/>
    <w:rPr>
      <w:color w:val="0000FF" w:themeColor="hyperlink"/>
      <w:u w:val="single"/>
    </w:rPr>
  </w:style>
  <w:style w:type="character" w:styleId="Odkaznakoment">
    <w:name w:val="annotation reference"/>
    <w:basedOn w:val="Standardnpsmoodstavce"/>
    <w:uiPriority w:val="99"/>
    <w:semiHidden/>
    <w:unhideWhenUsed/>
    <w:rsid w:val="00002A63"/>
    <w:rPr>
      <w:sz w:val="16"/>
      <w:szCs w:val="16"/>
    </w:rPr>
  </w:style>
  <w:style w:type="paragraph" w:styleId="Textkomente">
    <w:name w:val="annotation text"/>
    <w:basedOn w:val="Normln"/>
    <w:link w:val="TextkomenteChar"/>
    <w:uiPriority w:val="99"/>
    <w:semiHidden/>
    <w:unhideWhenUsed/>
    <w:rsid w:val="00002A63"/>
  </w:style>
  <w:style w:type="character" w:customStyle="1" w:styleId="TextkomenteChar">
    <w:name w:val="Text komentáře Char"/>
    <w:basedOn w:val="Standardnpsmoodstavce"/>
    <w:link w:val="Textkomente"/>
    <w:uiPriority w:val="99"/>
    <w:semiHidden/>
    <w:rsid w:val="00002A63"/>
  </w:style>
  <w:style w:type="paragraph" w:styleId="Pedmtkomente">
    <w:name w:val="annotation subject"/>
    <w:basedOn w:val="Textkomente"/>
    <w:next w:val="Textkomente"/>
    <w:link w:val="PedmtkomenteChar"/>
    <w:uiPriority w:val="99"/>
    <w:semiHidden/>
    <w:unhideWhenUsed/>
    <w:rsid w:val="00002A63"/>
    <w:rPr>
      <w:b/>
      <w:bCs/>
    </w:rPr>
  </w:style>
  <w:style w:type="character" w:customStyle="1" w:styleId="PedmtkomenteChar">
    <w:name w:val="Předmět komentáře Char"/>
    <w:basedOn w:val="TextkomenteChar"/>
    <w:link w:val="Pedmtkomente"/>
    <w:uiPriority w:val="99"/>
    <w:semiHidden/>
    <w:rsid w:val="00002A63"/>
    <w:rPr>
      <w:b/>
      <w:bCs/>
    </w:rPr>
  </w:style>
  <w:style w:type="paragraph" w:styleId="Textbubliny">
    <w:name w:val="Balloon Text"/>
    <w:basedOn w:val="Normln"/>
    <w:link w:val="TextbublinyChar"/>
    <w:uiPriority w:val="99"/>
    <w:semiHidden/>
    <w:unhideWhenUsed/>
    <w:rsid w:val="00002A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2A63"/>
    <w:rPr>
      <w:rFonts w:ascii="Segoe UI" w:hAnsi="Segoe UI" w:cs="Segoe UI"/>
      <w:sz w:val="18"/>
      <w:szCs w:val="18"/>
    </w:rPr>
  </w:style>
  <w:style w:type="character" w:styleId="Nevyeenzmnka">
    <w:name w:val="Unresolved Mention"/>
    <w:basedOn w:val="Standardnpsmoodstavce"/>
    <w:uiPriority w:val="99"/>
    <w:semiHidden/>
    <w:unhideWhenUsed/>
    <w:rsid w:val="00435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rena.vernerova@slavosslan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6377-171D-4DBA-94D1-2F198D2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9242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Michal</dc:creator>
  <cp:lastModifiedBy>Uživatel systému Windows</cp:lastModifiedBy>
  <cp:revision>2</cp:revision>
  <dcterms:created xsi:type="dcterms:W3CDTF">2020-02-10T12:58:00Z</dcterms:created>
  <dcterms:modified xsi:type="dcterms:W3CDTF">2020-02-10T12:58:00Z</dcterms:modified>
</cp:coreProperties>
</file>