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EE" w:rsidRPr="000402EE" w:rsidRDefault="000402EE" w:rsidP="000402EE">
      <w:pPr>
        <w:spacing w:after="60" w:line="240" w:lineRule="auto"/>
        <w:rPr>
          <w:rStyle w:val="platne1"/>
          <w:rFonts w:eastAsia="Calibri" w:cstheme="minorHAnsi"/>
        </w:rPr>
      </w:pPr>
      <w:r w:rsidRPr="000402EE">
        <w:rPr>
          <w:rStyle w:val="platne1"/>
          <w:rFonts w:eastAsia="Calibri" w:cstheme="minorHAnsi"/>
        </w:rPr>
        <w:t>Příloha č. 1</w:t>
      </w:r>
    </w:p>
    <w:p w:rsidR="000402EE" w:rsidRPr="000402EE" w:rsidRDefault="00F97BE0" w:rsidP="000402EE">
      <w:pPr>
        <w:spacing w:after="60" w:line="240" w:lineRule="auto"/>
        <w:rPr>
          <w:rStyle w:val="platne1"/>
          <w:rFonts w:eastAsia="Calibri" w:cstheme="minorHAnsi"/>
        </w:rPr>
      </w:pPr>
      <w:r>
        <w:rPr>
          <w:rStyle w:val="platne1"/>
          <w:rFonts w:eastAsia="Calibri" w:cstheme="minorHAnsi"/>
        </w:rPr>
        <w:t>T</w:t>
      </w:r>
      <w:r w:rsidR="000402EE" w:rsidRPr="000402EE">
        <w:rPr>
          <w:rStyle w:val="platne1"/>
          <w:rFonts w:eastAsia="Calibri" w:cstheme="minorHAnsi"/>
        </w:rPr>
        <w:t xml:space="preserve">echnická specifikace </w:t>
      </w:r>
      <w:proofErr w:type="spellStart"/>
      <w:r w:rsidR="000402EE" w:rsidRPr="000402EE">
        <w:rPr>
          <w:rStyle w:val="platne1"/>
          <w:rFonts w:eastAsia="Calibri" w:cstheme="minorHAnsi"/>
        </w:rPr>
        <w:t>InBody</w:t>
      </w:r>
      <w:proofErr w:type="spellEnd"/>
      <w:r w:rsidR="000402EE" w:rsidRPr="000402EE">
        <w:rPr>
          <w:rStyle w:val="platne1"/>
          <w:rFonts w:eastAsia="Calibri" w:cstheme="minorHAnsi"/>
        </w:rPr>
        <w:t xml:space="preserve"> 270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2"/>
        <w:gridCol w:w="6160"/>
      </w:tblGrid>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Metoda měření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Metoda přímé analýzy segmentové </w:t>
            </w:r>
            <w:proofErr w:type="spellStart"/>
            <w:r w:rsidRPr="000402EE">
              <w:rPr>
                <w:rFonts w:eastAsia="Times New Roman" w:cstheme="minorHAnsi"/>
                <w:color w:val="628090"/>
                <w:sz w:val="19"/>
                <w:szCs w:val="19"/>
                <w:lang w:eastAsia="cs-CZ"/>
              </w:rPr>
              <w:t>multi</w:t>
            </w:r>
            <w:proofErr w:type="spellEnd"/>
            <w:r w:rsidRPr="000402EE">
              <w:rPr>
                <w:rFonts w:eastAsia="Times New Roman" w:cstheme="minorHAnsi"/>
                <w:color w:val="628090"/>
                <w:sz w:val="19"/>
                <w:szCs w:val="19"/>
                <w:lang w:eastAsia="cs-CZ"/>
              </w:rPr>
              <w:t xml:space="preserve">-frekvenční bioelektrické impedance (Metoda DSM-BIA), Metoda simultánní </w:t>
            </w:r>
            <w:proofErr w:type="spellStart"/>
            <w:r w:rsidRPr="000402EE">
              <w:rPr>
                <w:rFonts w:eastAsia="Times New Roman" w:cstheme="minorHAnsi"/>
                <w:color w:val="628090"/>
                <w:sz w:val="19"/>
                <w:szCs w:val="19"/>
                <w:lang w:eastAsia="cs-CZ"/>
              </w:rPr>
              <w:t>multi</w:t>
            </w:r>
            <w:proofErr w:type="spellEnd"/>
            <w:r w:rsidRPr="000402EE">
              <w:rPr>
                <w:rFonts w:eastAsia="Times New Roman" w:cstheme="minorHAnsi"/>
                <w:color w:val="628090"/>
                <w:sz w:val="19"/>
                <w:szCs w:val="19"/>
                <w:lang w:eastAsia="cs-CZ"/>
              </w:rPr>
              <w:t xml:space="preserve"> - frekvenční bioelektrické impedance (Metoda (SMF-BIA)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Jednotlivé položky měření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Impedance (Z) : 10 měření impedance za použití 2 různých frekvencí (20kHz, 100kHz,) na každém z 5ti segmentů (pravá paže, levá paže, trup, pravá noha, levá noha)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Metoda umístění elektrod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Čtyř polární, 8mi bodový dotykový systém elektrod.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Metoda výpočtu složení těla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Žádný empirický odhad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Typy výsledků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Termální tiskárna LookinBody120 </w:t>
            </w:r>
            <w:proofErr w:type="spellStart"/>
            <w:r w:rsidRPr="000402EE">
              <w:rPr>
                <w:rFonts w:eastAsia="Times New Roman" w:cstheme="minorHAnsi"/>
                <w:color w:val="628090"/>
                <w:sz w:val="19"/>
                <w:szCs w:val="19"/>
                <w:lang w:eastAsia="cs-CZ"/>
              </w:rPr>
              <w:t>BodyVision</w:t>
            </w:r>
            <w:proofErr w:type="spellEnd"/>
            <w:r w:rsidRPr="000402EE">
              <w:rPr>
                <w:rFonts w:eastAsia="Times New Roman" w:cstheme="minorHAnsi"/>
                <w:color w:val="628090"/>
                <w:sz w:val="19"/>
                <w:szCs w:val="19"/>
                <w:lang w:eastAsia="cs-CZ"/>
              </w:rPr>
              <w:t xml:space="preserve"> Dětský lístek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Výstupy (termální tiskárna)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Složení těla (celková voda, voda vnitrobuněčné, voda mimobuněčná, bílkoviny, minerální látky, hmotnost tuku, hmotnost) Analýza obezity – BMI, procento tuku Analýza sval-tuk (hmotnost, hmotnost kosterních svalů, hmotnost tuku) Segmentální analýza svaloviny (levá ruka, pravá ruka, trup, levá noha, pravá noha) Segmentální analýza tuku (levá ruka, pravá ruka, trup, levá noha, pravá noha) Fitness skóre Kontrola hmotnosti (doporučená hmotnost, kontrola tuků, kontrola svalů) Zkoumané parametry (bazální metabolismus, bazální metabolický věk, WHR index, viscerální tuk vcm2 (VFA), ABSI index Interpretace pomocí QR kódu Impedance každého segmentu a frekvence zvlášť Historie měření, grafové vyhodnocení historie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Výstupy ze softwaru LookinBody120 a Body Visionu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Složení těla (celková voda, voda vnitrobuněčné, voda mimobuněčná, bílkoviny, minerální látky, hmotnost tuku, hmotnost) Analýza sval-tuk (hmotnost, hmotnost kosterních svalů, hmotnost tuku) Segmentální analýza svaloviny (levá ruka, pravá ruka, trup, levá noha, pravá noha) Segmentální analýza tuku (levá ruka, pravá ruka, trup, levá noha, pravá noha) Fitness skóre Kontrola hmotnosti (doporučená hmotnost, kontrola tuků, kontrola svalů) Zkoumané parametry (bazální metabolismus, bazální metabolický věk, WHR index, viscerální tuk vcm2 (VFA), ABSI index</w:t>
            </w:r>
            <w:r w:rsidR="00A2246F">
              <w:rPr>
                <w:rFonts w:eastAsia="Times New Roman" w:cstheme="minorHAnsi"/>
                <w:color w:val="628090"/>
                <w:sz w:val="19"/>
                <w:szCs w:val="19"/>
                <w:lang w:eastAsia="cs-CZ"/>
              </w:rPr>
              <w:t xml:space="preserve"> Obvody těla</w:t>
            </w:r>
            <w:r w:rsidRPr="000402EE">
              <w:rPr>
                <w:rFonts w:eastAsia="Times New Roman" w:cstheme="minorHAnsi"/>
                <w:color w:val="628090"/>
                <w:sz w:val="19"/>
                <w:szCs w:val="19"/>
                <w:lang w:eastAsia="cs-CZ"/>
              </w:rPr>
              <w:t xml:space="preserve"> Celková hmotnost buněčné hmoty Celková hmotnost kosterních minerálů Obvod levé paže bez tuku Ukázky stravy – ukázkový jídelníček</w:t>
            </w:r>
            <w:r w:rsidR="00A2246F">
              <w:rPr>
                <w:rFonts w:eastAsia="Times New Roman" w:cstheme="minorHAnsi"/>
                <w:color w:val="628090"/>
                <w:sz w:val="19"/>
                <w:szCs w:val="19"/>
                <w:lang w:eastAsia="cs-CZ"/>
              </w:rPr>
              <w:t xml:space="preserve"> </w:t>
            </w:r>
            <w:proofErr w:type="spellStart"/>
            <w:r w:rsidR="00A2246F">
              <w:rPr>
                <w:rFonts w:eastAsia="Times New Roman" w:cstheme="minorHAnsi"/>
                <w:color w:val="628090"/>
                <w:sz w:val="19"/>
                <w:szCs w:val="19"/>
                <w:lang w:eastAsia="cs-CZ"/>
              </w:rPr>
              <w:t>Prediction</w:t>
            </w:r>
            <w:proofErr w:type="spellEnd"/>
            <w:r w:rsidR="00A2246F">
              <w:rPr>
                <w:rFonts w:eastAsia="Times New Roman" w:cstheme="minorHAnsi"/>
                <w:color w:val="628090"/>
                <w:sz w:val="19"/>
                <w:szCs w:val="19"/>
                <w:lang w:eastAsia="cs-CZ"/>
              </w:rPr>
              <w:t xml:space="preserve"> index</w:t>
            </w:r>
            <w:r w:rsidRPr="000402EE">
              <w:rPr>
                <w:rFonts w:eastAsia="Times New Roman" w:cstheme="minorHAnsi"/>
                <w:color w:val="628090"/>
                <w:sz w:val="19"/>
                <w:szCs w:val="19"/>
                <w:lang w:eastAsia="cs-CZ"/>
              </w:rPr>
              <w:t xml:space="preserve"> Interpretace pomocí QR kódu Impedance každého segmentu a frekvence zvlášť Historie měření, grafové vyhodnocení historie, porovnávání jednotlivých parametrů mezi sebou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Výstup dětský lístek + </w:t>
            </w:r>
            <w:proofErr w:type="spellStart"/>
            <w:r w:rsidRPr="000402EE">
              <w:rPr>
                <w:rFonts w:eastAsia="Times New Roman" w:cstheme="minorHAnsi"/>
                <w:color w:val="003163"/>
                <w:sz w:val="19"/>
                <w:szCs w:val="19"/>
                <w:lang w:eastAsia="cs-CZ"/>
              </w:rPr>
              <w:t>BodyVision</w:t>
            </w:r>
            <w:proofErr w:type="spellEnd"/>
            <w:r w:rsidRPr="000402EE">
              <w:rPr>
                <w:rFonts w:eastAsia="Times New Roman" w:cstheme="minorHAnsi"/>
                <w:color w:val="003163"/>
                <w:sz w:val="19"/>
                <w:szCs w:val="19"/>
                <w:lang w:eastAsia="cs-CZ"/>
              </w:rPr>
              <w:t xml:space="preserve">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Složení těla (celková voda, voda vnitrobuněčné, voda mimobuněčná, bílkoviny, minerální látky, hmotnost tuku, hmotnost) Analýza sval-tuk (hmotnost, hmotnost kosterních svalů, hmotnost tuku) Percentilové grafy Výsledek růstu Zkoumané parametry (bazální metabolismus, bazální metabolický věk, WHR index, viscerální tuk vcm2 (VFA), ABSI index Stupeň dětské obezity</w:t>
            </w:r>
            <w:r w:rsidR="00A2246F">
              <w:rPr>
                <w:rFonts w:eastAsia="Times New Roman" w:cstheme="minorHAnsi"/>
                <w:color w:val="628090"/>
                <w:sz w:val="19"/>
                <w:szCs w:val="19"/>
                <w:lang w:eastAsia="cs-CZ"/>
              </w:rPr>
              <w:t xml:space="preserve"> </w:t>
            </w:r>
            <w:r w:rsidR="00A2246F">
              <w:rPr>
                <w:rFonts w:eastAsia="Times New Roman" w:cstheme="minorHAnsi"/>
                <w:color w:val="628090"/>
                <w:sz w:val="19"/>
                <w:szCs w:val="19"/>
                <w:lang w:eastAsia="cs-CZ"/>
              </w:rPr>
              <w:t>Obvody těla</w:t>
            </w:r>
            <w:r w:rsidRPr="000402EE">
              <w:rPr>
                <w:rFonts w:eastAsia="Times New Roman" w:cstheme="minorHAnsi"/>
                <w:color w:val="628090"/>
                <w:sz w:val="19"/>
                <w:szCs w:val="19"/>
                <w:lang w:eastAsia="cs-CZ"/>
              </w:rPr>
              <w:t xml:space="preserve"> Celková hmotnost buněčné hmoty Celková hmotnost kosterních minerálů Obvod levé paže bez tuku Ukázky stravy – ukázkový jídelníček</w:t>
            </w:r>
            <w:r w:rsidR="00A2246F">
              <w:rPr>
                <w:rFonts w:eastAsia="Times New Roman" w:cstheme="minorHAnsi"/>
                <w:color w:val="628090"/>
                <w:sz w:val="19"/>
                <w:szCs w:val="19"/>
                <w:lang w:eastAsia="cs-CZ"/>
              </w:rPr>
              <w:t xml:space="preserve"> </w:t>
            </w:r>
            <w:proofErr w:type="spellStart"/>
            <w:r w:rsidR="00A2246F">
              <w:rPr>
                <w:rFonts w:eastAsia="Times New Roman" w:cstheme="minorHAnsi"/>
                <w:color w:val="628090"/>
                <w:sz w:val="19"/>
                <w:szCs w:val="19"/>
                <w:lang w:eastAsia="cs-CZ"/>
              </w:rPr>
              <w:t>Prediction</w:t>
            </w:r>
            <w:proofErr w:type="spellEnd"/>
            <w:r w:rsidR="00A2246F">
              <w:rPr>
                <w:rFonts w:eastAsia="Times New Roman" w:cstheme="minorHAnsi"/>
                <w:color w:val="628090"/>
                <w:sz w:val="19"/>
                <w:szCs w:val="19"/>
                <w:lang w:eastAsia="cs-CZ"/>
              </w:rPr>
              <w:t xml:space="preserve"> index</w:t>
            </w:r>
            <w:bookmarkStart w:id="0" w:name="_GoBack"/>
            <w:bookmarkEnd w:id="0"/>
            <w:r w:rsidRPr="000402EE">
              <w:rPr>
                <w:rFonts w:eastAsia="Times New Roman" w:cstheme="minorHAnsi"/>
                <w:color w:val="628090"/>
                <w:sz w:val="19"/>
                <w:szCs w:val="19"/>
                <w:lang w:eastAsia="cs-CZ"/>
              </w:rPr>
              <w:t xml:space="preserve"> Interpretace pomocí QR kódu Impedance každého segmentu a frekvence zvlášť </w:t>
            </w:r>
            <w:r w:rsidRPr="000402EE">
              <w:rPr>
                <w:rFonts w:eastAsia="Times New Roman" w:cstheme="minorHAnsi"/>
                <w:color w:val="628090"/>
                <w:sz w:val="19"/>
                <w:szCs w:val="19"/>
                <w:lang w:eastAsia="cs-CZ"/>
              </w:rPr>
              <w:lastRenderedPageBreak/>
              <w:t xml:space="preserve">Historie měření, grafové vyhodnocení historie, porovnávání jednotlivých parametrů mezi sebou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lastRenderedPageBreak/>
              <w:t xml:space="preserve">Hlasová navigace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Akustická signalizace při probíhání analýzy, při dokončení analýzy a při úspěšném uložení dat v nastavení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Databáze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Až 100 000 výsledků může být uloženo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Testování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proofErr w:type="spellStart"/>
            <w:r w:rsidRPr="000402EE">
              <w:rPr>
                <w:rFonts w:eastAsia="Times New Roman" w:cstheme="minorHAnsi"/>
                <w:color w:val="628090"/>
                <w:sz w:val="19"/>
                <w:szCs w:val="19"/>
                <w:lang w:eastAsia="cs-CZ"/>
              </w:rPr>
              <w:t>Self</w:t>
            </w:r>
            <w:proofErr w:type="spellEnd"/>
            <w:r w:rsidRPr="000402EE">
              <w:rPr>
                <w:rFonts w:eastAsia="Times New Roman" w:cstheme="minorHAnsi"/>
                <w:color w:val="628090"/>
                <w:sz w:val="19"/>
                <w:szCs w:val="19"/>
                <w:lang w:eastAsia="cs-CZ"/>
              </w:rPr>
              <w:t xml:space="preserve"> Mode, Professional Mode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Logo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Vaše jméno, adresa a kontaktní údaje mohou být zobrazeny na výstupném listu a softwaru Body Vision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Čtečka čárových kódů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Data budou automaticky vloženy, když je ID čárový kód naskenován.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Zálohování dat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Zálohování dat uložených v </w:t>
            </w:r>
            <w:proofErr w:type="spellStart"/>
            <w:r w:rsidRPr="000402EE">
              <w:rPr>
                <w:rFonts w:eastAsia="Times New Roman" w:cstheme="minorHAnsi"/>
                <w:color w:val="628090"/>
                <w:sz w:val="19"/>
                <w:szCs w:val="19"/>
                <w:lang w:eastAsia="cs-CZ"/>
              </w:rPr>
              <w:t>InBody</w:t>
            </w:r>
            <w:proofErr w:type="spellEnd"/>
            <w:r w:rsidRPr="000402EE">
              <w:rPr>
                <w:rFonts w:eastAsia="Times New Roman" w:cstheme="minorHAnsi"/>
                <w:color w:val="628090"/>
                <w:sz w:val="19"/>
                <w:szCs w:val="19"/>
                <w:lang w:eastAsia="cs-CZ"/>
              </w:rPr>
              <w:t xml:space="preserve"> pomocí USB disku.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USB </w:t>
            </w:r>
            <w:proofErr w:type="spellStart"/>
            <w:r w:rsidRPr="000402EE">
              <w:rPr>
                <w:rFonts w:eastAsia="Times New Roman" w:cstheme="minorHAnsi"/>
                <w:color w:val="003163"/>
                <w:sz w:val="19"/>
                <w:szCs w:val="19"/>
                <w:lang w:eastAsia="cs-CZ"/>
              </w:rPr>
              <w:t>Thumb</w:t>
            </w:r>
            <w:proofErr w:type="spellEnd"/>
            <w:r w:rsidRPr="000402EE">
              <w:rPr>
                <w:rFonts w:eastAsia="Times New Roman" w:cstheme="minorHAnsi"/>
                <w:color w:val="003163"/>
                <w:sz w:val="19"/>
                <w:szCs w:val="19"/>
                <w:lang w:eastAsia="cs-CZ"/>
              </w:rPr>
              <w:t xml:space="preserve"> Drive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Kopírování, zálohování nebo obnovené data testu </w:t>
            </w:r>
            <w:proofErr w:type="spellStart"/>
            <w:r w:rsidRPr="000402EE">
              <w:rPr>
                <w:rFonts w:eastAsia="Times New Roman" w:cstheme="minorHAnsi"/>
                <w:color w:val="628090"/>
                <w:sz w:val="19"/>
                <w:szCs w:val="19"/>
                <w:lang w:eastAsia="cs-CZ"/>
              </w:rPr>
              <w:t>InBody</w:t>
            </w:r>
            <w:proofErr w:type="spellEnd"/>
            <w:r w:rsidRPr="000402EE">
              <w:rPr>
                <w:rFonts w:eastAsia="Times New Roman" w:cstheme="minorHAnsi"/>
                <w:color w:val="628090"/>
                <w:sz w:val="19"/>
                <w:szCs w:val="19"/>
                <w:lang w:eastAsia="cs-CZ"/>
              </w:rPr>
              <w:t xml:space="preserve"> (data lze prohlížet v softwaru nebo v Excelu)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Proud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250µA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Zdroj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Továrna - </w:t>
            </w:r>
            <w:proofErr w:type="spellStart"/>
            <w:r w:rsidRPr="000402EE">
              <w:rPr>
                <w:rFonts w:eastAsia="Times New Roman" w:cstheme="minorHAnsi"/>
                <w:color w:val="628090"/>
                <w:sz w:val="19"/>
                <w:szCs w:val="19"/>
                <w:lang w:eastAsia="cs-CZ"/>
              </w:rPr>
              <w:t>BridgePower</w:t>
            </w:r>
            <w:proofErr w:type="spellEnd"/>
            <w:r w:rsidRPr="000402EE">
              <w:rPr>
                <w:rFonts w:eastAsia="Times New Roman" w:cstheme="minorHAnsi"/>
                <w:color w:val="628090"/>
                <w:sz w:val="19"/>
                <w:szCs w:val="19"/>
                <w:lang w:eastAsia="cs-CZ"/>
              </w:rPr>
              <w:t xml:space="preserve"> </w:t>
            </w:r>
            <w:proofErr w:type="spellStart"/>
            <w:r w:rsidRPr="000402EE">
              <w:rPr>
                <w:rFonts w:eastAsia="Times New Roman" w:cstheme="minorHAnsi"/>
                <w:color w:val="628090"/>
                <w:sz w:val="19"/>
                <w:szCs w:val="19"/>
                <w:lang w:eastAsia="cs-CZ"/>
              </w:rPr>
              <w:t>Corp</w:t>
            </w:r>
            <w:proofErr w:type="spellEnd"/>
            <w:r w:rsidRPr="000402EE">
              <w:rPr>
                <w:rFonts w:eastAsia="Times New Roman" w:cstheme="minorHAnsi"/>
                <w:color w:val="628090"/>
                <w:sz w:val="19"/>
                <w:szCs w:val="19"/>
                <w:lang w:eastAsia="cs-CZ"/>
              </w:rPr>
              <w:t xml:space="preserve"> Model: BPM040S12F07 Vstup: AC 100 - 240V, 50 - 60Hz, 1.2A Výstup: DC 12V, 3.4A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Typ displeje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Dotyková obrazovka s pod-svícením, 600 x 1024, 7 palcový barevný LCD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Kompatibilní tiskárna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Kompatibilní tiskárna: laserová/inkoustová (doporučená výrobcem) http://www.inbodyservice.com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Rozměry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356 šířka x 796 délk</w:t>
            </w:r>
            <w:r w:rsidR="007D6348">
              <w:rPr>
                <w:rFonts w:eastAsia="Times New Roman" w:cstheme="minorHAnsi"/>
                <w:color w:val="628090"/>
                <w:sz w:val="19"/>
                <w:szCs w:val="19"/>
                <w:lang w:eastAsia="cs-CZ"/>
              </w:rPr>
              <w:t>a</w:t>
            </w:r>
            <w:r w:rsidRPr="000402EE">
              <w:rPr>
                <w:rFonts w:eastAsia="Times New Roman" w:cstheme="minorHAnsi"/>
                <w:color w:val="628090"/>
                <w:sz w:val="19"/>
                <w:szCs w:val="19"/>
                <w:lang w:eastAsia="cs-CZ"/>
              </w:rPr>
              <w:t xml:space="preserve"> x 995 výška: mm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Váha stroje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14,0 kg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Doba měření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Asi 15 vteřin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Provozní prostředí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10 ~ 40°C, 30 ~ 75% RH, 70 ~ 106kPa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Skladovací prostředí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-10 ~ 70°C, 10 ~ 80% RH, 50 ~ 106kPa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Rozsah váhy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10 - 250kg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Rozsah věku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3 ~ 99 let </w:t>
            </w:r>
          </w:p>
        </w:tc>
      </w:tr>
      <w:tr w:rsidR="000402EE" w:rsidRPr="000402EE" w:rsidTr="000F30D1">
        <w:tc>
          <w:tcPr>
            <w:tcW w:w="1601" w:type="pct"/>
            <w:shd w:val="clear" w:color="auto" w:fill="E6EBEF"/>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003163"/>
                <w:sz w:val="19"/>
                <w:szCs w:val="19"/>
                <w:lang w:eastAsia="cs-CZ"/>
              </w:rPr>
            </w:pPr>
            <w:r w:rsidRPr="000402EE">
              <w:rPr>
                <w:rFonts w:eastAsia="Times New Roman" w:cstheme="minorHAnsi"/>
                <w:color w:val="003163"/>
                <w:sz w:val="19"/>
                <w:szCs w:val="19"/>
                <w:lang w:eastAsia="cs-CZ"/>
              </w:rPr>
              <w:t xml:space="preserve">Rozsah výšky </w:t>
            </w:r>
          </w:p>
        </w:tc>
        <w:tc>
          <w:tcPr>
            <w:tcW w:w="0" w:type="auto"/>
            <w:shd w:val="clear" w:color="auto" w:fill="auto"/>
            <w:tcMar>
              <w:top w:w="180" w:type="dxa"/>
              <w:left w:w="360" w:type="dxa"/>
              <w:bottom w:w="180" w:type="dxa"/>
              <w:right w:w="360" w:type="dxa"/>
            </w:tcMar>
            <w:vAlign w:val="bottom"/>
            <w:hideMark/>
          </w:tcPr>
          <w:p w:rsidR="000402EE" w:rsidRPr="000402EE" w:rsidRDefault="000402EE" w:rsidP="000402EE">
            <w:pPr>
              <w:spacing w:after="0" w:line="240" w:lineRule="auto"/>
              <w:rPr>
                <w:rFonts w:eastAsia="Times New Roman" w:cstheme="minorHAnsi"/>
                <w:color w:val="628090"/>
                <w:sz w:val="19"/>
                <w:szCs w:val="19"/>
                <w:lang w:eastAsia="cs-CZ"/>
              </w:rPr>
            </w:pPr>
            <w:r w:rsidRPr="000402EE">
              <w:rPr>
                <w:rFonts w:eastAsia="Times New Roman" w:cstheme="minorHAnsi"/>
                <w:color w:val="628090"/>
                <w:sz w:val="19"/>
                <w:szCs w:val="19"/>
                <w:lang w:eastAsia="cs-CZ"/>
              </w:rPr>
              <w:t xml:space="preserve">95 ~ 220 cm </w:t>
            </w:r>
          </w:p>
        </w:tc>
      </w:tr>
    </w:tbl>
    <w:p w:rsidR="00C659F4" w:rsidRDefault="00C659F4">
      <w:pPr>
        <w:rPr>
          <w:rFonts w:cstheme="minorHAnsi"/>
        </w:rPr>
      </w:pPr>
    </w:p>
    <w:p w:rsidR="00EE4152" w:rsidRDefault="00EE4152">
      <w:pPr>
        <w:rPr>
          <w:rFonts w:cstheme="minorHAnsi"/>
        </w:rPr>
      </w:pPr>
      <w:r>
        <w:rPr>
          <w:rFonts w:cstheme="minorHAnsi"/>
        </w:rPr>
        <w:lastRenderedPageBreak/>
        <w:t>Příslušenství:</w:t>
      </w:r>
    </w:p>
    <w:p w:rsidR="00EE4152" w:rsidRDefault="006B796D" w:rsidP="00EE4152">
      <w:pPr>
        <w:pStyle w:val="Odstavecseseznamem"/>
        <w:numPr>
          <w:ilvl w:val="0"/>
          <w:numId w:val="1"/>
        </w:numPr>
        <w:rPr>
          <w:rFonts w:cstheme="minorHAnsi"/>
        </w:rPr>
      </w:pPr>
      <w:r>
        <w:rPr>
          <w:rFonts w:cstheme="minorHAnsi"/>
        </w:rPr>
        <w:t>Pevný, k</w:t>
      </w:r>
      <w:r w:rsidR="00EE4152">
        <w:rPr>
          <w:rFonts w:cstheme="minorHAnsi"/>
        </w:rPr>
        <w:t>ompatibilní ochranný uzavíratelný přepravní</w:t>
      </w:r>
      <w:r>
        <w:rPr>
          <w:rFonts w:cstheme="minorHAnsi"/>
        </w:rPr>
        <w:t xml:space="preserve"> a přenosný</w:t>
      </w:r>
      <w:r w:rsidR="00EE4152">
        <w:rPr>
          <w:rFonts w:cstheme="minorHAnsi"/>
        </w:rPr>
        <w:t xml:space="preserve"> obal</w:t>
      </w:r>
    </w:p>
    <w:p w:rsidR="00EE4152" w:rsidRDefault="00EE4152" w:rsidP="00EE4152">
      <w:pPr>
        <w:pStyle w:val="Odstavecseseznamem"/>
        <w:numPr>
          <w:ilvl w:val="0"/>
          <w:numId w:val="1"/>
        </w:numPr>
        <w:rPr>
          <w:rFonts w:cstheme="minorHAnsi"/>
        </w:rPr>
      </w:pPr>
      <w:r>
        <w:rPr>
          <w:rFonts w:cstheme="minorHAnsi"/>
        </w:rPr>
        <w:t>Kompatibilní</w:t>
      </w:r>
      <w:r w:rsidR="00BF7F33">
        <w:rPr>
          <w:rFonts w:cstheme="minorHAnsi"/>
        </w:rPr>
        <w:t xml:space="preserve"> laserová</w:t>
      </w:r>
      <w:r>
        <w:rPr>
          <w:rFonts w:cstheme="minorHAnsi"/>
        </w:rPr>
        <w:t xml:space="preserve"> </w:t>
      </w:r>
      <w:r w:rsidR="00BF7F33">
        <w:rPr>
          <w:rFonts w:cstheme="minorHAnsi"/>
        </w:rPr>
        <w:t>tiskárna, výstupy formátu A4, včetně kabeláže</w:t>
      </w:r>
    </w:p>
    <w:p w:rsidR="00A2246F" w:rsidRPr="00EE4152" w:rsidRDefault="00A2246F" w:rsidP="00A2246F">
      <w:pPr>
        <w:pStyle w:val="Odstavecseseznamem"/>
        <w:numPr>
          <w:ilvl w:val="0"/>
          <w:numId w:val="1"/>
        </w:numPr>
        <w:rPr>
          <w:rFonts w:cstheme="minorHAnsi"/>
        </w:rPr>
      </w:pPr>
      <w:r>
        <w:rPr>
          <w:rFonts w:cstheme="minorHAnsi"/>
        </w:rPr>
        <w:t>Softwarové vybavení Lookin´Body120 a Body-vision</w:t>
      </w:r>
    </w:p>
    <w:p w:rsidR="00A2246F" w:rsidRPr="00EE4152" w:rsidRDefault="00A2246F" w:rsidP="00A2246F">
      <w:pPr>
        <w:pStyle w:val="Odstavecseseznamem"/>
        <w:rPr>
          <w:rFonts w:cstheme="minorHAnsi"/>
        </w:rPr>
      </w:pPr>
    </w:p>
    <w:sectPr w:rsidR="00A2246F" w:rsidRPr="00EE4152" w:rsidSect="00533DC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15E"/>
    <w:multiLevelType w:val="hybridMultilevel"/>
    <w:tmpl w:val="398C30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EE"/>
    <w:rsid w:val="000402EE"/>
    <w:rsid w:val="000F30D1"/>
    <w:rsid w:val="004108FF"/>
    <w:rsid w:val="004F4D5B"/>
    <w:rsid w:val="00533DC5"/>
    <w:rsid w:val="006B796D"/>
    <w:rsid w:val="007D6348"/>
    <w:rsid w:val="00A2246F"/>
    <w:rsid w:val="00BF7F33"/>
    <w:rsid w:val="00C659F4"/>
    <w:rsid w:val="00EE4152"/>
    <w:rsid w:val="00F97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FA1C"/>
  <w15:chartTrackingRefBased/>
  <w15:docId w15:val="{8D3AC88E-9A5F-4BE9-8E8F-F29AE9D6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402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402EE"/>
    <w:rPr>
      <w:rFonts w:ascii="Times New Roman" w:eastAsia="Times New Roman" w:hAnsi="Times New Roman" w:cs="Times New Roman"/>
      <w:b/>
      <w:bCs/>
      <w:sz w:val="36"/>
      <w:szCs w:val="36"/>
      <w:lang w:eastAsia="cs-CZ"/>
    </w:rPr>
  </w:style>
  <w:style w:type="character" w:customStyle="1" w:styleId="platne1">
    <w:name w:val="platne1"/>
    <w:basedOn w:val="Standardnpsmoodstavce"/>
    <w:rsid w:val="000402EE"/>
  </w:style>
  <w:style w:type="paragraph" w:styleId="Odstavecseseznamem">
    <w:name w:val="List Paragraph"/>
    <w:basedOn w:val="Normln"/>
    <w:uiPriority w:val="34"/>
    <w:qFormat/>
    <w:rsid w:val="00EE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646</Words>
  <Characters>3816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Martinková Silvie</dc:creator>
  <cp:keywords/>
  <dc:description/>
  <cp:lastModifiedBy>Martinková Silvie</cp:lastModifiedBy>
  <cp:revision>6</cp:revision>
  <dcterms:created xsi:type="dcterms:W3CDTF">2020-01-28T09:22:00Z</dcterms:created>
  <dcterms:modified xsi:type="dcterms:W3CDTF">2020-02-18T13:45:00Z</dcterms:modified>
</cp:coreProperties>
</file>