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rsidR="00F258FA" w:rsidRPr="00F258FA" w:rsidRDefault="00F258FA" w:rsidP="00F258FA">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w:t>
      </w:r>
      <w:r w:rsidR="0053182B" w:rsidRPr="00F258FA">
        <w:rPr>
          <w:rFonts w:ascii="Calibri" w:hAnsi="Calibri" w:cs="Calibri"/>
          <w:bCs/>
        </w:rPr>
        <w:t>Slezská Ostrava</w:t>
      </w:r>
      <w:r w:rsidR="00A11BA5">
        <w:rPr>
          <w:rFonts w:ascii="Calibri" w:hAnsi="Calibri" w:cs="Calibri"/>
          <w:bCs/>
        </w:rPr>
        <w:t>,</w:t>
      </w:r>
      <w:r w:rsidR="0053182B" w:rsidRPr="00F258FA">
        <w:rPr>
          <w:rFonts w:ascii="Calibri" w:hAnsi="Calibri" w:cs="Calibri"/>
          <w:bCs/>
        </w:rPr>
        <w:t xml:space="preserve"> </w:t>
      </w:r>
      <w:r w:rsidRPr="00F258FA">
        <w:rPr>
          <w:rFonts w:ascii="Calibri" w:hAnsi="Calibri" w:cs="Calibri"/>
          <w:bCs/>
        </w:rPr>
        <w:t xml:space="preserve">710 </w:t>
      </w:r>
      <w:r w:rsidR="00D11FF7">
        <w:rPr>
          <w:rFonts w:ascii="Calibri" w:hAnsi="Calibri" w:cs="Calibri"/>
          <w:bCs/>
        </w:rPr>
        <w:t>00</w:t>
      </w:r>
      <w:r w:rsidRPr="00F258FA">
        <w:rPr>
          <w:rFonts w:ascii="Calibri" w:hAnsi="Calibri" w:cs="Calibri"/>
          <w:bCs/>
        </w:rPr>
        <w:t xml:space="preserve"> </w:t>
      </w:r>
      <w:r w:rsidR="003C778E">
        <w:rPr>
          <w:rFonts w:ascii="Calibri" w:hAnsi="Calibri" w:cs="Calibri"/>
          <w:bCs/>
        </w:rPr>
        <w:t>Ostrava</w:t>
      </w:r>
      <w:r w:rsidR="00A63877">
        <w:rPr>
          <w:rFonts w:ascii="Calibri" w:hAnsi="Calibri" w:cs="Calibri"/>
          <w:bCs/>
        </w:rPr>
        <w:t xml:space="preserve">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IČ</w:t>
      </w:r>
      <w:r w:rsidR="0053182B">
        <w:rPr>
          <w:rFonts w:ascii="Calibri" w:hAnsi="Calibri" w:cs="Calibri"/>
          <w:bCs/>
        </w:rPr>
        <w:t>O</w:t>
      </w:r>
      <w:r w:rsidRPr="00F258FA">
        <w:rPr>
          <w:rFonts w:ascii="Calibri" w:hAnsi="Calibri" w:cs="Calibri"/>
          <w:bCs/>
        </w:rPr>
        <w:t xml:space="preserve">: </w:t>
      </w:r>
      <w:r w:rsidR="000F4F16">
        <w:rPr>
          <w:rFonts w:ascii="Calibri" w:hAnsi="Calibri" w:cs="Calibri"/>
          <w:bCs/>
        </w:rPr>
        <w:t xml:space="preserve"> </w:t>
      </w:r>
      <w:r w:rsidRPr="00F258FA">
        <w:rPr>
          <w:rFonts w:ascii="Calibri" w:hAnsi="Calibri" w:cs="Calibri"/>
          <w:bCs/>
        </w:rPr>
        <w:t>47673036</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B365FB" w:rsidRDefault="00B365FB" w:rsidP="00CD4CE7">
      <w:pPr>
        <w:jc w:val="both"/>
        <w:rPr>
          <w:rFonts w:cstheme="minorHAnsi"/>
          <w:b/>
          <w:bCs/>
        </w:rPr>
      </w:pPr>
      <w:r w:rsidRPr="00F73B58">
        <w:rPr>
          <w:rFonts w:cstheme="minorHAnsi"/>
          <w:b/>
        </w:rPr>
        <w:t xml:space="preserve">Green </w:t>
      </w:r>
      <w:proofErr w:type="spellStart"/>
      <w:r w:rsidRPr="00F73B58">
        <w:rPr>
          <w:rFonts w:cstheme="minorHAnsi"/>
          <w:b/>
        </w:rPr>
        <w:t>Gas</w:t>
      </w:r>
      <w:proofErr w:type="spellEnd"/>
      <w:r w:rsidRPr="00F73B58">
        <w:rPr>
          <w:rFonts w:cstheme="minorHAnsi"/>
          <w:b/>
        </w:rPr>
        <w:t xml:space="preserve"> DPB, a.s</w:t>
      </w:r>
      <w:r w:rsidDel="00B365FB">
        <w:rPr>
          <w:rFonts w:cstheme="minorHAnsi"/>
          <w:b/>
          <w:bCs/>
        </w:rPr>
        <w:t xml:space="preserve"> </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r w:rsidR="00453DD4">
        <w:t>Rudé armády 637, 739 21 Paskov</w:t>
      </w:r>
    </w:p>
    <w:p w:rsidR="00453DD4" w:rsidRDefault="00CD4CE7" w:rsidP="00453DD4">
      <w:pPr>
        <w:rPr>
          <w:rFonts w:cstheme="minorHAnsi"/>
        </w:rPr>
      </w:pPr>
      <w:r>
        <w:rPr>
          <w:rFonts w:cstheme="minorHAnsi"/>
          <w:bCs/>
        </w:rPr>
        <w:t>zastoupená:</w:t>
      </w:r>
      <w:r w:rsidRPr="000B5E22">
        <w:rPr>
          <w:rFonts w:cstheme="minorHAnsi"/>
          <w:bCs/>
        </w:rPr>
        <w:t xml:space="preserve"> </w:t>
      </w:r>
      <w:r>
        <w:rPr>
          <w:rFonts w:cstheme="minorHAnsi"/>
          <w:bCs/>
        </w:rPr>
        <w:t xml:space="preserve"> </w:t>
      </w:r>
      <w:proofErr w:type="spellStart"/>
      <w:r w:rsidR="000E127A" w:rsidRPr="000E127A">
        <w:rPr>
          <w:rFonts w:cstheme="minorHAnsi"/>
          <w:highlight w:val="black"/>
        </w:rPr>
        <w:t>xxxxxxxxxxx</w:t>
      </w:r>
      <w:proofErr w:type="spellEnd"/>
    </w:p>
    <w:p w:rsidR="00453DD4" w:rsidRPr="00F73B58" w:rsidRDefault="00453DD4" w:rsidP="00453DD4">
      <w:pPr>
        <w:ind w:left="709"/>
        <w:rPr>
          <w:rFonts w:cstheme="minorHAnsi"/>
        </w:rPr>
      </w:pPr>
      <w:r>
        <w:rPr>
          <w:rFonts w:cstheme="minorHAnsi"/>
        </w:rPr>
        <w:t xml:space="preserve">           </w:t>
      </w:r>
      <w:proofErr w:type="spellStart"/>
      <w:r w:rsidR="000E127A" w:rsidRPr="000E127A">
        <w:rPr>
          <w:rFonts w:cstheme="minorHAnsi"/>
          <w:highlight w:val="black"/>
        </w:rPr>
        <w:t>xxxxxxxxxxx</w:t>
      </w:r>
      <w:proofErr w:type="spellEnd"/>
    </w:p>
    <w:p w:rsidR="00B365FB" w:rsidRPr="00F73B58" w:rsidRDefault="00B365FB" w:rsidP="00B365FB">
      <w:pPr>
        <w:rPr>
          <w:rFonts w:cstheme="minorHAnsi"/>
        </w:rPr>
      </w:pPr>
    </w:p>
    <w:p w:rsidR="00CD4CE7" w:rsidRPr="000B5E22" w:rsidRDefault="00CD4CE7" w:rsidP="00CD4CE7">
      <w:pPr>
        <w:rPr>
          <w:rFonts w:cstheme="minorHAnsi"/>
          <w:bCs/>
        </w:rPr>
      </w:pPr>
      <w:r w:rsidRPr="000B5E22">
        <w:rPr>
          <w:rFonts w:cstheme="minorHAnsi"/>
          <w:bCs/>
        </w:rPr>
        <w:t>IČ</w:t>
      </w:r>
      <w:r w:rsidR="0053182B">
        <w:rPr>
          <w:rFonts w:cstheme="minorHAnsi"/>
          <w:bCs/>
        </w:rPr>
        <w:t>O</w:t>
      </w:r>
      <w:r w:rsidRPr="000B5E22">
        <w:rPr>
          <w:rFonts w:cstheme="minorHAnsi"/>
          <w:bCs/>
        </w:rPr>
        <w:t xml:space="preserve">: </w:t>
      </w:r>
      <w:r w:rsidR="00B365FB" w:rsidRPr="00F73B58">
        <w:rPr>
          <w:rFonts w:cstheme="minorHAnsi"/>
        </w:rPr>
        <w:t>00494356</w:t>
      </w:r>
      <w:r w:rsidR="001920FB">
        <w:rPr>
          <w:rFonts w:cstheme="minorHAnsi"/>
          <w:bCs/>
        </w:rPr>
        <w:t xml:space="preserve"> </w:t>
      </w:r>
      <w:r w:rsidR="006A06B1" w:rsidRPr="002B1671">
        <w:rPr>
          <w:rFonts w:cstheme="minorHAnsi"/>
        </w:rPr>
        <w:t xml:space="preserve">        </w:t>
      </w:r>
      <w:r>
        <w:rPr>
          <w:rFonts w:cstheme="minorHAnsi"/>
          <w:bCs/>
        </w:rPr>
        <w:t xml:space="preserve">   </w:t>
      </w:r>
    </w:p>
    <w:p w:rsidR="00CD4CE7" w:rsidRPr="000B5E22" w:rsidRDefault="00ED162C" w:rsidP="00CD4CE7">
      <w:pPr>
        <w:rPr>
          <w:rFonts w:cstheme="minorHAnsi"/>
          <w:bCs/>
        </w:rPr>
      </w:pPr>
      <w:r>
        <w:rPr>
          <w:rFonts w:cstheme="minorHAnsi"/>
          <w:bCs/>
        </w:rPr>
        <w:t xml:space="preserve">DIČ: </w:t>
      </w:r>
      <w:r w:rsidR="00012126" w:rsidRPr="00233362">
        <w:rPr>
          <w:rFonts w:cstheme="minorHAnsi"/>
        </w:rPr>
        <w:t>CZ</w:t>
      </w:r>
      <w:r w:rsidR="00B365FB" w:rsidRPr="00F73B58">
        <w:rPr>
          <w:rFonts w:cstheme="minorHAnsi"/>
        </w:rPr>
        <w:t>00494356</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bookmarkStart w:id="0" w:name="_GoBack"/>
      <w:bookmarkEnd w:id="0"/>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rsidR="00F258FA" w:rsidRDefault="00F258FA" w:rsidP="00F258FA">
      <w:pPr>
        <w:autoSpaceDE w:val="0"/>
        <w:autoSpaceDN w:val="0"/>
        <w:adjustRightInd w:val="0"/>
        <w:ind w:left="426" w:right="-6" w:hanging="426"/>
        <w:jc w:val="both"/>
        <w:rPr>
          <w:rFonts w:ascii="Calibri" w:hAnsi="Calibri" w:cs="Calibri"/>
        </w:rPr>
      </w:pPr>
    </w:p>
    <w:p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F258FA" w:rsidRPr="00F258FA" w:rsidRDefault="00F258FA" w:rsidP="00F258FA">
      <w:pPr>
        <w:autoSpaceDE w:val="0"/>
        <w:autoSpaceDN w:val="0"/>
        <w:adjustRightInd w:val="0"/>
        <w:ind w:left="426" w:right="-6" w:hanging="426"/>
        <w:jc w:val="both"/>
        <w:rPr>
          <w:rFonts w:ascii="Calibri" w:hAnsi="Calibri" w:cs="Calibri"/>
        </w:rPr>
      </w:pPr>
    </w:p>
    <w:p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 xml:space="preserve">až tří možností lokalit, kde bude pojištěnec dle své volby čerpat rekondiční služby. RBP a objednatel se dohodli, že 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w:t>
      </w:r>
      <w:proofErr w:type="gramStart"/>
      <w:r w:rsidR="0075016C">
        <w:rPr>
          <w:rFonts w:ascii="Calibri" w:hAnsi="Calibri" w:cs="Calibri"/>
        </w:rPr>
        <w:t xml:space="preserve">nařízení“) </w:t>
      </w:r>
      <w:r w:rsidR="00F21EE7">
        <w:rPr>
          <w:rFonts w:ascii="Calibri" w:hAnsi="Calibri" w:cs="Calibri"/>
        </w:rPr>
        <w:t xml:space="preserve">           </w:t>
      </w:r>
      <w:r w:rsidR="0075016C">
        <w:rPr>
          <w:rFonts w:ascii="Calibri" w:hAnsi="Calibri" w:cs="Calibri"/>
        </w:rPr>
        <w:t>a dále</w:t>
      </w:r>
      <w:proofErr w:type="gramEnd"/>
      <w:r w:rsidR="0075016C">
        <w:rPr>
          <w:rFonts w:ascii="Calibri" w:hAnsi="Calibri" w:cs="Calibri"/>
        </w:rPr>
        <w:t xml:space="preserv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rsidR="00F72EC0" w:rsidRDefault="00F72EC0" w:rsidP="00F72EC0">
      <w:pPr>
        <w:pStyle w:val="Odstavecseseznamem"/>
        <w:rPr>
          <w:rFonts w:ascii="Calibri" w:hAnsi="Calibri" w:cs="Calibri"/>
        </w:rPr>
      </w:pPr>
    </w:p>
    <w:p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F258FA" w:rsidRPr="00F258FA" w:rsidRDefault="00F258FA" w:rsidP="00F258FA">
      <w:pPr>
        <w:autoSpaceDE w:val="0"/>
        <w:autoSpaceDN w:val="0"/>
        <w:adjustRightInd w:val="0"/>
        <w:ind w:right="329"/>
        <w:jc w:val="both"/>
        <w:rPr>
          <w:rFonts w:ascii="Calibri" w:hAnsi="Calibri" w:cs="Calibri"/>
        </w:rPr>
      </w:pPr>
    </w:p>
    <w:p w:rsidR="00BF31E5" w:rsidRDefault="00BF31E5" w:rsidP="00F258FA">
      <w:pPr>
        <w:autoSpaceDE w:val="0"/>
        <w:autoSpaceDN w:val="0"/>
        <w:adjustRightInd w:val="0"/>
        <w:ind w:right="329"/>
        <w:jc w:val="both"/>
        <w:rPr>
          <w:rFonts w:ascii="Calibri" w:hAnsi="Calibri" w:cs="Calibri"/>
        </w:rPr>
      </w:pPr>
    </w:p>
    <w:p w:rsidR="00DE1C50" w:rsidRDefault="00DE1C50"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Pr="00F258FA" w:rsidRDefault="00C03C64" w:rsidP="00F258FA">
      <w:pPr>
        <w:autoSpaceDE w:val="0"/>
        <w:autoSpaceDN w:val="0"/>
        <w:adjustRightInd w:val="0"/>
        <w:ind w:right="329"/>
        <w:jc w:val="both"/>
        <w:rPr>
          <w:rFonts w:ascii="Calibri" w:hAnsi="Calibri" w:cs="Calibri"/>
        </w:rPr>
      </w:pPr>
    </w:p>
    <w:p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lastRenderedPageBreak/>
        <w:t>II.</w:t>
      </w:r>
    </w:p>
    <w:p w:rsidR="00F72EC0" w:rsidRDefault="00F72EC0" w:rsidP="00F72EC0">
      <w:pPr>
        <w:autoSpaceDE w:val="0"/>
        <w:autoSpaceDN w:val="0"/>
        <w:adjustRightInd w:val="0"/>
        <w:ind w:right="329"/>
        <w:rPr>
          <w:rFonts w:ascii="Calibri" w:hAnsi="Calibri" w:cs="Calibri"/>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proofErr w:type="gramStart"/>
      <w:r w:rsidR="00C03C64">
        <w:rPr>
          <w:rFonts w:ascii="Calibri" w:hAnsi="Calibri" w:cs="Calibri"/>
        </w:rPr>
        <w:t>31.12.2020</w:t>
      </w:r>
      <w:proofErr w:type="gramEnd"/>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B75D8C" w:rsidRDefault="00B75D8C" w:rsidP="00B75D8C">
      <w:pPr>
        <w:autoSpaceDE w:val="0"/>
        <w:autoSpaceDN w:val="0"/>
        <w:adjustRightInd w:val="0"/>
        <w:ind w:left="426" w:right="-6"/>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w:t>
      </w:r>
      <w:r w:rsidR="00CB607A">
        <w:rPr>
          <w:rFonts w:ascii="Calibri" w:hAnsi="Calibri" w:cs="Calibri"/>
        </w:rPr>
        <w:t> </w:t>
      </w:r>
      <w:r w:rsidRPr="00F258FA">
        <w:rPr>
          <w:rFonts w:ascii="Calibri" w:hAnsi="Calibri" w:cs="Calibri"/>
        </w:rPr>
        <w:t>Ostravě</w:t>
      </w:r>
      <w:r w:rsidR="00CB607A">
        <w:rPr>
          <w:rFonts w:ascii="Calibri" w:hAnsi="Calibri" w:cs="Calibri"/>
        </w:rPr>
        <w:t>,</w:t>
      </w:r>
      <w:r w:rsidRPr="00F258FA">
        <w:rPr>
          <w:rFonts w:ascii="Calibri" w:hAnsi="Calibri" w:cs="Calibri"/>
        </w:rPr>
        <w:t xml:space="preserve">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w:t>
      </w:r>
      <w:r w:rsidR="00CB607A">
        <w:rPr>
          <w:rFonts w:ascii="Calibri" w:hAnsi="Calibri" w:cs="Calibri"/>
        </w:rPr>
        <w:t> </w:t>
      </w:r>
      <w:r w:rsidR="0053182B">
        <w:rPr>
          <w:rFonts w:ascii="Calibri" w:hAnsi="Calibri" w:cs="Calibri"/>
        </w:rPr>
        <w:t>Paskově</w:t>
      </w:r>
      <w:r w:rsidR="00CB607A">
        <w:rPr>
          <w:rFonts w:ascii="Calibri" w:hAnsi="Calibri" w:cs="Calibri"/>
        </w:rPr>
        <w:t>,</w:t>
      </w:r>
      <w:r w:rsidRPr="00F258FA">
        <w:rPr>
          <w:rFonts w:ascii="Calibri" w:hAnsi="Calibri" w:cs="Calibri"/>
        </w:rPr>
        <w:t xml:space="preserve"> dne:</w:t>
      </w:r>
    </w:p>
    <w:p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rsidR="00685C6B" w:rsidRDefault="00685C6B" w:rsidP="00F258FA">
      <w:pPr>
        <w:rPr>
          <w:rFonts w:ascii="Calibri" w:hAnsi="Calibri" w:cs="Calibri"/>
        </w:rPr>
      </w:pPr>
    </w:p>
    <w:p w:rsidR="00685C6B" w:rsidRDefault="00685C6B" w:rsidP="00F258FA">
      <w:pPr>
        <w:rPr>
          <w:rFonts w:ascii="Calibri" w:hAnsi="Calibri" w:cs="Calibri"/>
        </w:rPr>
      </w:pPr>
    </w:p>
    <w:p w:rsidR="00E928F4" w:rsidRDefault="00E928F4" w:rsidP="00F258FA">
      <w:pPr>
        <w:rPr>
          <w:rFonts w:ascii="Calibri" w:hAnsi="Calibri" w:cs="Calibri"/>
        </w:rPr>
      </w:pPr>
    </w:p>
    <w:p w:rsidR="00E928F4" w:rsidRDefault="00E928F4" w:rsidP="00F258FA">
      <w:pPr>
        <w:rPr>
          <w:rFonts w:ascii="Calibri" w:hAnsi="Calibri" w:cs="Calibri"/>
        </w:rPr>
      </w:pPr>
    </w:p>
    <w:p w:rsidR="00685C6B" w:rsidRDefault="00685C6B" w:rsidP="00F258FA">
      <w:pPr>
        <w:rPr>
          <w:rFonts w:ascii="Calibri" w:hAnsi="Calibri" w:cs="Calibri"/>
        </w:rPr>
      </w:pPr>
    </w:p>
    <w:p w:rsidR="00CB607A" w:rsidRDefault="00CB607A" w:rsidP="00CB607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rsidR="00CB607A" w:rsidRDefault="00CB607A" w:rsidP="00CB607A">
      <w:pPr>
        <w:rPr>
          <w:rFonts w:cstheme="minorHAnsi"/>
        </w:rPr>
      </w:pPr>
      <w:r>
        <w:rPr>
          <w:rFonts w:ascii="Calibri" w:hAnsi="Calibri" w:cs="Calibri"/>
        </w:rPr>
        <w:t xml:space="preserve">Ing. Antonín </w:t>
      </w:r>
      <w:proofErr w:type="spellStart"/>
      <w:r>
        <w:rPr>
          <w:rFonts w:ascii="Calibri" w:hAnsi="Calibri" w:cs="Calibri"/>
        </w:rPr>
        <w:t>Klimša</w:t>
      </w:r>
      <w:proofErr w:type="spellEnd"/>
      <w:r>
        <w:rPr>
          <w:rFonts w:ascii="Calibri" w:hAnsi="Calibri" w:cs="Calibri"/>
        </w:rPr>
        <w:t>, MBA</w:t>
      </w:r>
      <w:r>
        <w:rPr>
          <w:rFonts w:ascii="Calibri" w:hAnsi="Calibri" w:cs="Calibri"/>
        </w:rPr>
        <w:tab/>
      </w:r>
      <w:r>
        <w:rPr>
          <w:rFonts w:ascii="Calibri" w:hAnsi="Calibri" w:cs="Calibri"/>
        </w:rPr>
        <w:tab/>
      </w:r>
      <w:r>
        <w:rPr>
          <w:rFonts w:ascii="Calibri" w:hAnsi="Calibri" w:cs="Calibri"/>
        </w:rPr>
        <w:tab/>
      </w:r>
      <w:proofErr w:type="spellStart"/>
      <w:r w:rsidR="000E127A" w:rsidRPr="000E127A">
        <w:rPr>
          <w:rFonts w:cstheme="minorHAnsi"/>
          <w:highlight w:val="black"/>
        </w:rPr>
        <w:t>xxxxxxxxxxx</w:t>
      </w:r>
      <w:proofErr w:type="spellEnd"/>
    </w:p>
    <w:p w:rsidR="00CB607A" w:rsidRDefault="00CB607A" w:rsidP="00CB607A">
      <w:pPr>
        <w:rPr>
          <w:rFonts w:cstheme="minorHAnsi"/>
        </w:rPr>
      </w:pPr>
      <w:r>
        <w:rPr>
          <w:rFonts w:cstheme="minorHAnsi"/>
        </w:rPr>
        <w:t>výkonný ředitel</w:t>
      </w:r>
      <w:r w:rsidRPr="00B95FA5">
        <w:rPr>
          <w:rFonts w:cstheme="minorHAnsi"/>
        </w:rPr>
        <w:t xml:space="preserve"> </w:t>
      </w:r>
      <w:r>
        <w:rPr>
          <w:rFonts w:cstheme="minorHAnsi"/>
        </w:rPr>
        <w:tab/>
      </w:r>
      <w:r>
        <w:rPr>
          <w:rFonts w:cstheme="minorHAnsi"/>
        </w:rPr>
        <w:tab/>
      </w:r>
      <w:r>
        <w:rPr>
          <w:rFonts w:cstheme="minorHAnsi"/>
        </w:rPr>
        <w:tab/>
      </w:r>
      <w:r>
        <w:rPr>
          <w:rFonts w:cstheme="minorHAnsi"/>
        </w:rPr>
        <w:tab/>
      </w:r>
      <w:proofErr w:type="spellStart"/>
      <w:r w:rsidR="000E127A" w:rsidRPr="000E127A">
        <w:rPr>
          <w:rFonts w:cstheme="minorHAnsi"/>
          <w:highlight w:val="black"/>
        </w:rPr>
        <w:t>xxxxxxxxxxx</w:t>
      </w:r>
      <w:proofErr w:type="spellEnd"/>
    </w:p>
    <w:p w:rsidR="00CB607A" w:rsidRDefault="00CB607A" w:rsidP="00CB607A">
      <w:pPr>
        <w:rPr>
          <w:rFonts w:cstheme="minorHAnsi"/>
        </w:rPr>
      </w:pPr>
    </w:p>
    <w:p w:rsidR="00CB607A" w:rsidRDefault="00CB607A" w:rsidP="00CB607A">
      <w:pPr>
        <w:rPr>
          <w:rFonts w:cstheme="minorHAnsi"/>
        </w:rPr>
      </w:pPr>
    </w:p>
    <w:p w:rsidR="00CB607A" w:rsidRDefault="00CB607A" w:rsidP="00CB607A">
      <w:pPr>
        <w:rPr>
          <w:rFonts w:cstheme="minorHAnsi"/>
        </w:rPr>
      </w:pPr>
    </w:p>
    <w:p w:rsidR="00CB607A" w:rsidRDefault="00CB607A" w:rsidP="00CB607A">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w:t>
      </w:r>
    </w:p>
    <w:p w:rsidR="00CB607A" w:rsidRDefault="00CB607A" w:rsidP="00CB607A">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roofErr w:type="spellStart"/>
      <w:r w:rsidR="000E127A" w:rsidRPr="000E127A">
        <w:rPr>
          <w:rFonts w:cstheme="minorHAnsi"/>
          <w:highlight w:val="black"/>
        </w:rPr>
        <w:t>xxxxxxxxxxx</w:t>
      </w:r>
      <w:proofErr w:type="spellEnd"/>
    </w:p>
    <w:p w:rsidR="00E928F4" w:rsidRPr="00F258FA" w:rsidRDefault="00CB607A" w:rsidP="00CB607A">
      <w:pPr>
        <w:rPr>
          <w:rFonts w:ascii="Calibri" w:hAnsi="Calibri" w:cs="Calibr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0E127A" w:rsidRPr="000E127A">
        <w:rPr>
          <w:rFonts w:cstheme="minorHAnsi"/>
          <w:highlight w:val="black"/>
        </w:rPr>
        <w:t>xxxxxxxxxxx</w:t>
      </w:r>
    </w:p>
    <w:sectPr w:rsidR="00E928F4" w:rsidRPr="00F258FA" w:rsidSect="0049241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hyphenationZone w:val="425"/>
  <w:characterSpacingControl w:val="doNotCompress"/>
  <w:compat/>
  <w:rsids>
    <w:rsidRoot w:val="00F258FA"/>
    <w:rsid w:val="0001057A"/>
    <w:rsid w:val="00012126"/>
    <w:rsid w:val="0004070E"/>
    <w:rsid w:val="00054C77"/>
    <w:rsid w:val="000E127A"/>
    <w:rsid w:val="000E1759"/>
    <w:rsid w:val="000F4F16"/>
    <w:rsid w:val="0016650B"/>
    <w:rsid w:val="001920FB"/>
    <w:rsid w:val="001B3341"/>
    <w:rsid w:val="001D7324"/>
    <w:rsid w:val="001E3CBF"/>
    <w:rsid w:val="00296031"/>
    <w:rsid w:val="002B47DA"/>
    <w:rsid w:val="002C114C"/>
    <w:rsid w:val="0039296A"/>
    <w:rsid w:val="003C778E"/>
    <w:rsid w:val="003F15D0"/>
    <w:rsid w:val="004003C0"/>
    <w:rsid w:val="00453DD4"/>
    <w:rsid w:val="00485B2E"/>
    <w:rsid w:val="0049241A"/>
    <w:rsid w:val="004C6324"/>
    <w:rsid w:val="005025A9"/>
    <w:rsid w:val="0053182B"/>
    <w:rsid w:val="00567C83"/>
    <w:rsid w:val="00582E71"/>
    <w:rsid w:val="005C0DCA"/>
    <w:rsid w:val="006130F5"/>
    <w:rsid w:val="0064151B"/>
    <w:rsid w:val="00685C6B"/>
    <w:rsid w:val="00697F4E"/>
    <w:rsid w:val="006A06B1"/>
    <w:rsid w:val="0075016C"/>
    <w:rsid w:val="007B2DA5"/>
    <w:rsid w:val="007C5545"/>
    <w:rsid w:val="0093051F"/>
    <w:rsid w:val="00950445"/>
    <w:rsid w:val="00976F6E"/>
    <w:rsid w:val="009B3869"/>
    <w:rsid w:val="009E01FC"/>
    <w:rsid w:val="00A11BA5"/>
    <w:rsid w:val="00A4291E"/>
    <w:rsid w:val="00A46571"/>
    <w:rsid w:val="00A63877"/>
    <w:rsid w:val="00B365FB"/>
    <w:rsid w:val="00B75D8C"/>
    <w:rsid w:val="00B95FA5"/>
    <w:rsid w:val="00BE7EBF"/>
    <w:rsid w:val="00BF31E5"/>
    <w:rsid w:val="00BF648D"/>
    <w:rsid w:val="00C03C64"/>
    <w:rsid w:val="00C55D51"/>
    <w:rsid w:val="00CB607A"/>
    <w:rsid w:val="00CD4CE7"/>
    <w:rsid w:val="00D11FF7"/>
    <w:rsid w:val="00DE1C50"/>
    <w:rsid w:val="00E908E3"/>
    <w:rsid w:val="00E928F4"/>
    <w:rsid w:val="00ED162C"/>
    <w:rsid w:val="00F038B3"/>
    <w:rsid w:val="00F066D6"/>
    <w:rsid w:val="00F21EE7"/>
    <w:rsid w:val="00F258FA"/>
    <w:rsid w:val="00F72E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character" w:styleId="Siln">
    <w:name w:val="Strong"/>
    <w:basedOn w:val="Standardnpsmoodstavce"/>
    <w:uiPriority w:val="22"/>
    <w:qFormat/>
    <w:rsid w:val="004C6324"/>
    <w:rPr>
      <w:b/>
      <w:bCs/>
    </w:rPr>
  </w:style>
  <w:style w:type="paragraph" w:styleId="Textbubliny">
    <w:name w:val="Balloon Text"/>
    <w:basedOn w:val="Normln"/>
    <w:link w:val="TextbublinyChar"/>
    <w:uiPriority w:val="99"/>
    <w:semiHidden/>
    <w:unhideWhenUsed/>
    <w:rsid w:val="004C6324"/>
    <w:rPr>
      <w:rFonts w:ascii="Tahoma" w:hAnsi="Tahoma" w:cs="Tahoma"/>
      <w:sz w:val="16"/>
      <w:szCs w:val="16"/>
    </w:rPr>
  </w:style>
  <w:style w:type="character" w:customStyle="1" w:styleId="TextbublinyChar">
    <w:name w:val="Text bubliny Char"/>
    <w:basedOn w:val="Standardnpsmoodstavce"/>
    <w:link w:val="Textbubliny"/>
    <w:uiPriority w:val="99"/>
    <w:semiHidden/>
    <w:rsid w:val="004C6324"/>
    <w:rPr>
      <w:rFonts w:ascii="Tahoma" w:hAnsi="Tahoma" w:cs="Tahoma"/>
      <w:sz w:val="16"/>
      <w:szCs w:val="16"/>
    </w:rPr>
  </w:style>
  <w:style w:type="character" w:styleId="Odkaznakoment">
    <w:name w:val="annotation reference"/>
    <w:basedOn w:val="Standardnpsmoodstavce"/>
    <w:uiPriority w:val="99"/>
    <w:semiHidden/>
    <w:unhideWhenUsed/>
    <w:rsid w:val="00B95FA5"/>
    <w:rPr>
      <w:sz w:val="16"/>
      <w:szCs w:val="16"/>
    </w:rPr>
  </w:style>
  <w:style w:type="paragraph" w:styleId="Textkomente">
    <w:name w:val="annotation text"/>
    <w:basedOn w:val="Normln"/>
    <w:link w:val="TextkomenteChar"/>
    <w:uiPriority w:val="99"/>
    <w:semiHidden/>
    <w:unhideWhenUsed/>
    <w:rsid w:val="00B95FA5"/>
    <w:rPr>
      <w:sz w:val="20"/>
      <w:szCs w:val="20"/>
    </w:rPr>
  </w:style>
  <w:style w:type="character" w:customStyle="1" w:styleId="TextkomenteChar">
    <w:name w:val="Text komentáře Char"/>
    <w:basedOn w:val="Standardnpsmoodstavce"/>
    <w:link w:val="Textkomente"/>
    <w:uiPriority w:val="99"/>
    <w:semiHidden/>
    <w:rsid w:val="00B95FA5"/>
    <w:rPr>
      <w:sz w:val="20"/>
      <w:szCs w:val="20"/>
    </w:rPr>
  </w:style>
  <w:style w:type="paragraph" w:styleId="Pedmtkomente">
    <w:name w:val="annotation subject"/>
    <w:basedOn w:val="Textkomente"/>
    <w:next w:val="Textkomente"/>
    <w:link w:val="PedmtkomenteChar"/>
    <w:uiPriority w:val="99"/>
    <w:semiHidden/>
    <w:unhideWhenUsed/>
    <w:rsid w:val="00B95FA5"/>
    <w:rPr>
      <w:b/>
      <w:bCs/>
    </w:rPr>
  </w:style>
  <w:style w:type="character" w:customStyle="1" w:styleId="PedmtkomenteChar">
    <w:name w:val="Předmět komentáře Char"/>
    <w:basedOn w:val="TextkomenteChar"/>
    <w:link w:val="Pedmtkomente"/>
    <w:uiPriority w:val="99"/>
    <w:semiHidden/>
    <w:rsid w:val="00B95FA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910</Words>
  <Characters>5374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58</cp:revision>
  <dcterms:created xsi:type="dcterms:W3CDTF">2019-12-11T20:19:00Z</dcterms:created>
  <dcterms:modified xsi:type="dcterms:W3CDTF">2020-03-06T09:54:00Z</dcterms:modified>
</cp:coreProperties>
</file>