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352" w:rsidRDefault="009552FD">
      <w:pPr>
        <w:pStyle w:val="Heading10"/>
        <w:framePr w:w="9970" w:h="840" w:hRule="exact" w:wrap="none" w:vAnchor="page" w:hAnchor="page" w:x="1347" w:y="954"/>
        <w:shd w:val="clear" w:color="auto" w:fill="auto"/>
      </w:pPr>
      <w:bookmarkStart w:id="0" w:name="bookmark0"/>
      <w:bookmarkStart w:id="1" w:name="_GoBack"/>
      <w:bookmarkEnd w:id="1"/>
      <w:r>
        <w:t>ČESKA</w:t>
      </w:r>
      <w:bookmarkEnd w:id="0"/>
    </w:p>
    <w:p w:rsidR="00843352" w:rsidRDefault="009552FD">
      <w:pPr>
        <w:pStyle w:val="Heading20"/>
        <w:framePr w:w="9970" w:h="840" w:hRule="exact" w:wrap="none" w:vAnchor="page" w:hAnchor="page" w:x="1347" w:y="954"/>
        <w:shd w:val="clear" w:color="auto" w:fill="auto"/>
        <w:spacing w:after="0"/>
      </w:pPr>
      <w:bookmarkStart w:id="2" w:name="bookmark1"/>
      <w:r>
        <w:t>SPOŘITELNA</w:t>
      </w:r>
      <w:bookmarkEnd w:id="2"/>
    </w:p>
    <w:p w:rsidR="00843352" w:rsidRDefault="009552FD">
      <w:pPr>
        <w:pStyle w:val="Bodytext30"/>
        <w:framePr w:w="9970" w:h="3351" w:hRule="exact" w:wrap="none" w:vAnchor="page" w:hAnchor="page" w:x="1347" w:y="2179"/>
        <w:shd w:val="clear" w:color="auto" w:fill="auto"/>
        <w:spacing w:before="0"/>
        <w:ind w:right="60"/>
      </w:pPr>
      <w:r>
        <w:rPr>
          <w:rStyle w:val="Bodytext3Bold"/>
        </w:rPr>
        <w:t xml:space="preserve">DODATEK č. 4 </w:t>
      </w:r>
      <w:r>
        <w:t>(dále jen Dodatek)</w:t>
      </w:r>
    </w:p>
    <w:p w:rsidR="00843352" w:rsidRDefault="009552FD">
      <w:pPr>
        <w:pStyle w:val="Bodytext30"/>
        <w:framePr w:w="9970" w:h="3351" w:hRule="exact" w:wrap="none" w:vAnchor="page" w:hAnchor="page" w:x="1347" w:y="2179"/>
        <w:shd w:val="clear" w:color="auto" w:fill="auto"/>
        <w:spacing w:before="0"/>
        <w:ind w:right="60"/>
      </w:pPr>
      <w:r>
        <w:t>ke Smlouvě o přijímání platebních karet při placení zboží a služeb a výpůjčce platebního</w:t>
      </w:r>
    </w:p>
    <w:p w:rsidR="00843352" w:rsidRDefault="009552FD">
      <w:pPr>
        <w:pStyle w:val="Bodytext30"/>
        <w:framePr w:w="9970" w:h="3351" w:hRule="exact" w:wrap="none" w:vAnchor="page" w:hAnchor="page" w:x="1347" w:y="2179"/>
        <w:shd w:val="clear" w:color="auto" w:fill="auto"/>
        <w:spacing w:before="0"/>
        <w:ind w:right="60"/>
      </w:pPr>
      <w:r>
        <w:t>terminálu s příslušenstvím</w:t>
      </w:r>
    </w:p>
    <w:p w:rsidR="00843352" w:rsidRDefault="009552FD">
      <w:pPr>
        <w:pStyle w:val="Heading30"/>
        <w:framePr w:w="9970" w:h="3351" w:hRule="exact" w:wrap="none" w:vAnchor="page" w:hAnchor="page" w:x="1347" w:y="2179"/>
        <w:shd w:val="clear" w:color="auto" w:fill="auto"/>
        <w:spacing w:after="239"/>
        <w:ind w:right="60"/>
      </w:pPr>
      <w:bookmarkStart w:id="3" w:name="bookmark2"/>
      <w:r>
        <w:t>účinné dnem 14.10.2013 (dále jen Smlouva) uzavřené mezi:</w:t>
      </w:r>
      <w:bookmarkEnd w:id="3"/>
    </w:p>
    <w:p w:rsidR="00843352" w:rsidRDefault="009552FD">
      <w:pPr>
        <w:pStyle w:val="Bodytext40"/>
        <w:framePr w:w="9970" w:h="3351" w:hRule="exact" w:wrap="none" w:vAnchor="page" w:hAnchor="page" w:x="1347" w:y="2179"/>
        <w:shd w:val="clear" w:color="auto" w:fill="auto"/>
        <w:spacing w:before="0"/>
        <w:ind w:left="420"/>
      </w:pPr>
      <w:r>
        <w:t>Česká spořitelna, a.s., Praha 4, Olbrachtova 1929/62, PSČ 140 00, IČ: 45 24 47 82, DIČ: CZ 45244782</w:t>
      </w:r>
    </w:p>
    <w:p w:rsidR="00843352" w:rsidRDefault="009552FD">
      <w:pPr>
        <w:pStyle w:val="Bodytext20"/>
        <w:framePr w:w="9970" w:h="3351" w:hRule="exact" w:wrap="none" w:vAnchor="page" w:hAnchor="page" w:x="1347" w:y="2179"/>
        <w:shd w:val="clear" w:color="auto" w:fill="auto"/>
        <w:spacing w:after="206"/>
        <w:ind w:right="1700" w:firstLine="0"/>
      </w:pPr>
      <w:r>
        <w:t>zapsaná v obchodním rejstříku vedeném Městským soudem v Praze, oddíl B, vložka 1171 (dále jen ČS)</w:t>
      </w:r>
    </w:p>
    <w:p w:rsidR="00843352" w:rsidRDefault="009552FD">
      <w:pPr>
        <w:pStyle w:val="Bodytext20"/>
        <w:framePr w:w="9970" w:h="3351" w:hRule="exact" w:wrap="none" w:vAnchor="page" w:hAnchor="page" w:x="1347" w:y="2179"/>
        <w:shd w:val="clear" w:color="auto" w:fill="auto"/>
        <w:spacing w:after="175" w:line="190" w:lineRule="exact"/>
        <w:ind w:left="420"/>
        <w:jc w:val="both"/>
      </w:pPr>
      <w:r>
        <w:t>a</w:t>
      </w:r>
    </w:p>
    <w:p w:rsidR="00843352" w:rsidRDefault="009552FD">
      <w:pPr>
        <w:pStyle w:val="Bodytext40"/>
        <w:framePr w:w="9970" w:h="3351" w:hRule="exact" w:wrap="none" w:vAnchor="page" w:hAnchor="page" w:x="1347" w:y="2179"/>
        <w:shd w:val="clear" w:color="auto" w:fill="auto"/>
        <w:spacing w:before="0" w:line="221" w:lineRule="exact"/>
        <w:ind w:right="1700" w:firstLine="0"/>
        <w:jc w:val="left"/>
      </w:pPr>
      <w:r>
        <w:t>Hudební divadlo v Karlině, příspěvková organizace Křižíkova 283/10, 186 00, Praha - Karlín IČ: 00064335</w:t>
      </w:r>
    </w:p>
    <w:p w:rsidR="00843352" w:rsidRDefault="009552FD">
      <w:pPr>
        <w:pStyle w:val="Bodytext50"/>
        <w:framePr w:w="9970" w:h="3351" w:hRule="exact" w:wrap="none" w:vAnchor="page" w:hAnchor="page" w:x="1347" w:y="2179"/>
        <w:shd w:val="clear" w:color="auto" w:fill="auto"/>
        <w:spacing w:after="0"/>
      </w:pPr>
      <w:r>
        <w:t>Zřizovatel Hlavní město Praha, magistrát hlavního města Prahy, odbor kultury, památkové péče a cestovního ruchu (dále jen obchodní partner)</w:t>
      </w:r>
    </w:p>
    <w:p w:rsidR="00843352" w:rsidRDefault="009552FD">
      <w:pPr>
        <w:pStyle w:val="Bodytext60"/>
        <w:framePr w:w="9970" w:h="1496" w:hRule="exact" w:wrap="none" w:vAnchor="page" w:hAnchor="page" w:x="1347" w:y="5680"/>
        <w:shd w:val="clear" w:color="auto" w:fill="auto"/>
        <w:spacing w:before="0"/>
        <w:ind w:right="60"/>
      </w:pPr>
      <w:r>
        <w:t>I.</w:t>
      </w:r>
    </w:p>
    <w:p w:rsidR="00843352" w:rsidRDefault="009552FD">
      <w:pPr>
        <w:pStyle w:val="Bodytext40"/>
        <w:framePr w:w="9970" w:h="1496" w:hRule="exact" w:wrap="none" w:vAnchor="page" w:hAnchor="page" w:x="1347" w:y="5680"/>
        <w:shd w:val="clear" w:color="auto" w:fill="auto"/>
        <w:spacing w:before="0" w:line="190" w:lineRule="exact"/>
        <w:ind w:right="60" w:firstLine="0"/>
        <w:jc w:val="center"/>
      </w:pPr>
      <w:r>
        <w:t>Předmět dodatku</w:t>
      </w:r>
    </w:p>
    <w:p w:rsidR="00843352" w:rsidRDefault="009552FD">
      <w:pPr>
        <w:pStyle w:val="Bodytext20"/>
        <w:framePr w:w="9970" w:h="1496" w:hRule="exact" w:wrap="none" w:vAnchor="page" w:hAnchor="page" w:x="1347" w:y="5680"/>
        <w:shd w:val="clear" w:color="auto" w:fill="auto"/>
        <w:spacing w:after="206"/>
        <w:ind w:left="420"/>
        <w:jc w:val="both"/>
      </w:pPr>
      <w:r>
        <w:t xml:space="preserve">1. Kapitola D čl. IV. a čl. V, Smlouvy se mění tak, že dochází k rozšíření počtu obchodních míst, zrušení vybraných obchodních míst, nebo ke změnám v údajích obchodních míst realizujících bezhotovostní platby platebními kartami prostřednictvím POS terminálu/ imprinteru, u kterých bude postupováno dle kapitoly B. článku </w:t>
      </w:r>
      <w:r>
        <w:rPr>
          <w:lang w:val="en-US" w:eastAsia="en-US" w:bidi="en-US"/>
        </w:rPr>
        <w:t xml:space="preserve">III. </w:t>
      </w:r>
      <w:r>
        <w:t>Smlouvy o:</w:t>
      </w:r>
    </w:p>
    <w:p w:rsidR="00843352" w:rsidRDefault="009552FD">
      <w:pPr>
        <w:pStyle w:val="Bodytext40"/>
        <w:framePr w:w="9970" w:h="1496" w:hRule="exact" w:wrap="none" w:vAnchor="page" w:hAnchor="page" w:x="1347" w:y="5680"/>
        <w:shd w:val="clear" w:color="auto" w:fill="auto"/>
        <w:spacing w:before="0" w:line="190" w:lineRule="exact"/>
        <w:ind w:right="60" w:firstLine="0"/>
        <w:jc w:val="center"/>
      </w:pPr>
      <w:r>
        <w:t>Seznam změn obchodních míst podle kapitoly D, čl. IV Smlouvy:</w:t>
      </w:r>
    </w:p>
    <w:p w:rsidR="00843352" w:rsidRDefault="009552FD">
      <w:pPr>
        <w:pStyle w:val="Tablecaption0"/>
        <w:framePr w:wrap="none" w:vAnchor="page" w:hAnchor="page" w:x="1395" w:y="7321"/>
        <w:shd w:val="clear" w:color="auto" w:fill="auto"/>
        <w:ind w:firstLine="0"/>
      </w:pPr>
      <w:r>
        <w:t>Rozšíření obchodních míst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0"/>
        <w:gridCol w:w="3288"/>
        <w:gridCol w:w="2342"/>
        <w:gridCol w:w="1368"/>
      </w:tblGrid>
      <w:tr w:rsidR="00843352">
        <w:trPr>
          <w:trHeight w:hRule="exact" w:val="365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352" w:rsidRDefault="009552FD">
            <w:pPr>
              <w:pStyle w:val="Bodytext20"/>
              <w:framePr w:w="9888" w:h="1032" w:wrap="none" w:vAnchor="page" w:hAnchor="page" w:x="1395" w:y="7535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2Bold"/>
              </w:rPr>
              <w:t>OBCHODNÍ MÍSTO</w:t>
            </w:r>
          </w:p>
        </w:tc>
        <w:tc>
          <w:tcPr>
            <w:tcW w:w="699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843352" w:rsidRDefault="00843352">
            <w:pPr>
              <w:framePr w:w="9888" w:h="1032" w:wrap="none" w:vAnchor="page" w:hAnchor="page" w:x="1395" w:y="7535"/>
              <w:rPr>
                <w:sz w:val="10"/>
                <w:szCs w:val="10"/>
              </w:rPr>
            </w:pPr>
          </w:p>
        </w:tc>
      </w:tr>
      <w:tr w:rsidR="00843352">
        <w:trPr>
          <w:trHeight w:hRule="exact" w:val="418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352" w:rsidRDefault="009552FD">
            <w:pPr>
              <w:pStyle w:val="Bodytext20"/>
              <w:framePr w:w="9888" w:h="1032" w:wrap="none" w:vAnchor="page" w:hAnchor="page" w:x="1395" w:y="7535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2Bold"/>
              </w:rPr>
              <w:t>název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352" w:rsidRDefault="009552FD">
            <w:pPr>
              <w:pStyle w:val="Bodytext20"/>
              <w:framePr w:w="9888" w:h="1032" w:wrap="none" w:vAnchor="page" w:hAnchor="page" w:x="1395" w:y="7535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2Bold"/>
              </w:rPr>
              <w:t>adresa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352" w:rsidRDefault="009552FD">
            <w:pPr>
              <w:pStyle w:val="Bodytext20"/>
              <w:framePr w:w="9888" w:h="1032" w:wrap="none" w:vAnchor="page" w:hAnchor="page" w:x="1395" w:y="7535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2Bold"/>
              </w:rPr>
              <w:t>POP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3352" w:rsidRDefault="009552FD">
            <w:pPr>
              <w:pStyle w:val="Bodytext20"/>
              <w:framePr w:w="9888" w:h="1032" w:wrap="none" w:vAnchor="page" w:hAnchor="page" w:x="1395" w:y="7535"/>
              <w:shd w:val="clear" w:color="auto" w:fill="auto"/>
              <w:spacing w:after="0"/>
              <w:ind w:left="220" w:firstLine="0"/>
            </w:pPr>
            <w:r>
              <w:rPr>
                <w:rStyle w:val="Bodytext2Bold"/>
              </w:rPr>
              <w:t>ident. číslo obch. místa</w:t>
            </w:r>
          </w:p>
        </w:tc>
      </w:tr>
      <w:tr w:rsidR="00843352">
        <w:trPr>
          <w:trHeight w:hRule="exact" w:val="250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3352" w:rsidRDefault="009552FD">
            <w:pPr>
              <w:pStyle w:val="Bodytext20"/>
              <w:framePr w:w="9888" w:h="1032" w:wrap="none" w:vAnchor="page" w:hAnchor="page" w:x="1395" w:y="7535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Bodytext21"/>
              </w:rPr>
              <w:t>Hudební divadlo v Karlině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3352" w:rsidRDefault="009552FD">
            <w:pPr>
              <w:pStyle w:val="Bodytext20"/>
              <w:framePr w:w="9888" w:h="1032" w:wrap="none" w:vAnchor="page" w:hAnchor="page" w:x="1395" w:y="7535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Bodytext21"/>
              </w:rPr>
              <w:t>Křižíkova 10, Praha 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3352" w:rsidRDefault="009552FD">
            <w:pPr>
              <w:pStyle w:val="Bodytext20"/>
              <w:framePr w:w="9888" w:h="1032" w:wrap="none" w:vAnchor="page" w:hAnchor="page" w:x="1395" w:y="7535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Bodytext21"/>
              </w:rPr>
              <w:t>5.000,-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352" w:rsidRDefault="009552FD">
            <w:pPr>
              <w:pStyle w:val="Bodytext20"/>
              <w:framePr w:w="9888" w:h="1032" w:wrap="none" w:vAnchor="page" w:hAnchor="page" w:x="1395" w:y="7535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Bodytext21"/>
              </w:rPr>
              <w:t>507S08</w:t>
            </w:r>
          </w:p>
        </w:tc>
      </w:tr>
    </w:tbl>
    <w:p w:rsidR="00843352" w:rsidRDefault="009552FD">
      <w:pPr>
        <w:pStyle w:val="Tablecaption0"/>
        <w:framePr w:w="9922" w:h="459" w:hRule="exact" w:wrap="none" w:vAnchor="page" w:hAnchor="page" w:x="1395" w:y="8943"/>
        <w:shd w:val="clear" w:color="auto" w:fill="auto"/>
        <w:tabs>
          <w:tab w:val="left" w:leader="underscore" w:pos="8170"/>
        </w:tabs>
        <w:spacing w:line="197" w:lineRule="exact"/>
        <w:ind w:left="360"/>
      </w:pPr>
      <w:r>
        <w:t xml:space="preserve">2. Kapitola B čl. II, bod 2 Smlouvy se mění tak, že stávajícím/rozšířeným obchodním místům realizujícím bezhotovostní platby </w:t>
      </w:r>
      <w:r>
        <w:rPr>
          <w:rStyle w:val="Tablecaption1"/>
        </w:rPr>
        <w:t>platebními kartami prostřednictvím POS terminálu/ imprinteru, se stanovuje poplatek na: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0"/>
        <w:gridCol w:w="1392"/>
        <w:gridCol w:w="1392"/>
        <w:gridCol w:w="1061"/>
        <w:gridCol w:w="1262"/>
        <w:gridCol w:w="1526"/>
      </w:tblGrid>
      <w:tr w:rsidR="00843352">
        <w:trPr>
          <w:trHeight w:hRule="exact" w:val="614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352" w:rsidRDefault="009552FD">
            <w:pPr>
              <w:pStyle w:val="Bodytext20"/>
              <w:framePr w:w="7944" w:h="840" w:wrap="none" w:vAnchor="page" w:hAnchor="page" w:x="1664" w:y="9355"/>
              <w:shd w:val="clear" w:color="auto" w:fill="auto"/>
              <w:spacing w:after="0"/>
              <w:ind w:firstLine="0"/>
              <w:jc w:val="both"/>
            </w:pPr>
            <w:r>
              <w:rPr>
                <w:rStyle w:val="Bodytext2Bold"/>
              </w:rPr>
              <w:t>ident. číslo obch. místa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352" w:rsidRDefault="009552FD">
            <w:pPr>
              <w:pStyle w:val="Bodytext20"/>
              <w:framePr w:w="7944" w:h="840" w:wrap="none" w:vAnchor="page" w:hAnchor="page" w:x="1664" w:y="9355"/>
              <w:shd w:val="clear" w:color="auto" w:fill="auto"/>
              <w:spacing w:after="0"/>
              <w:ind w:firstLine="0"/>
              <w:jc w:val="center"/>
            </w:pPr>
            <w:r>
              <w:rPr>
                <w:rStyle w:val="Bodytext2Bold"/>
              </w:rPr>
              <w:t>VISA CS, MC ČS &lt;%)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352" w:rsidRDefault="009552FD">
            <w:pPr>
              <w:pStyle w:val="Bodytext20"/>
              <w:framePr w:w="7944" w:h="840" w:wrap="none" w:vAnchor="page" w:hAnchor="page" w:x="1664" w:y="9355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Bodytext2Bold"/>
              </w:rPr>
              <w:t>VISA (%)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352" w:rsidRDefault="009552FD">
            <w:pPr>
              <w:pStyle w:val="Bodytext20"/>
              <w:framePr w:w="7944" w:h="840" w:wrap="none" w:vAnchor="page" w:hAnchor="page" w:x="1664" w:y="9355"/>
              <w:shd w:val="clear" w:color="auto" w:fill="auto"/>
              <w:spacing w:after="0" w:line="190" w:lineRule="exact"/>
              <w:ind w:left="260" w:firstLine="0"/>
            </w:pPr>
            <w:r>
              <w:rPr>
                <w:rStyle w:val="Bodytext2Bold"/>
              </w:rPr>
              <w:t>MC (%)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352" w:rsidRDefault="009552FD">
            <w:pPr>
              <w:pStyle w:val="Bodytext20"/>
              <w:framePr w:w="7944" w:h="840" w:wrap="none" w:vAnchor="page" w:hAnchor="page" w:x="1664" w:y="9355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Bodytext2Bold"/>
                <w:lang w:val="en-US" w:eastAsia="en-US" w:bidi="en-US"/>
              </w:rPr>
              <w:t xml:space="preserve">DC </w:t>
            </w:r>
            <w:r>
              <w:rPr>
                <w:rStyle w:val="Bodytext2Bold"/>
              </w:rPr>
              <w:t>(%)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352" w:rsidRDefault="009552FD">
            <w:pPr>
              <w:pStyle w:val="Bodytext20"/>
              <w:framePr w:w="7944" w:h="840" w:wrap="none" w:vAnchor="page" w:hAnchor="page" w:x="1664" w:y="9355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Bodytext2Bold"/>
              </w:rPr>
              <w:t>JCB (%)</w:t>
            </w:r>
          </w:p>
        </w:tc>
      </w:tr>
      <w:tr w:rsidR="00843352">
        <w:trPr>
          <w:trHeight w:hRule="exact" w:val="22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3352" w:rsidRDefault="009552FD">
            <w:pPr>
              <w:pStyle w:val="Bodytext20"/>
              <w:framePr w:w="7944" w:h="840" w:wrap="none" w:vAnchor="page" w:hAnchor="page" w:x="1664" w:y="9355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Bodytext2Bold"/>
              </w:rPr>
              <w:t>507908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3352" w:rsidRDefault="009552FD">
            <w:pPr>
              <w:pStyle w:val="Bodytext20"/>
              <w:framePr w:w="7944" w:h="840" w:wrap="none" w:vAnchor="page" w:hAnchor="page" w:x="1664" w:y="9355"/>
              <w:shd w:val="clear" w:color="auto" w:fill="auto"/>
              <w:spacing w:after="0" w:line="190" w:lineRule="exact"/>
              <w:ind w:right="140" w:firstLine="0"/>
              <w:jc w:val="right"/>
            </w:pPr>
            <w:r>
              <w:rPr>
                <w:rStyle w:val="Bodytext2Bold"/>
              </w:rPr>
              <w:t>1,40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3352" w:rsidRDefault="009552FD">
            <w:pPr>
              <w:pStyle w:val="Bodytext20"/>
              <w:framePr w:w="7944" w:h="840" w:wrap="none" w:vAnchor="page" w:hAnchor="page" w:x="1664" w:y="9355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Bodytext2Bold"/>
              </w:rPr>
              <w:t>1,50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3352" w:rsidRDefault="009552FD">
            <w:pPr>
              <w:pStyle w:val="Bodytext20"/>
              <w:framePr w:w="7944" w:h="840" w:wrap="none" w:vAnchor="page" w:hAnchor="page" w:x="1664" w:y="9355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Bodytext2Bold"/>
              </w:rPr>
              <w:t>1,50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3352" w:rsidRDefault="009552FD">
            <w:pPr>
              <w:pStyle w:val="Bodytext20"/>
              <w:framePr w:w="7944" w:h="840" w:wrap="none" w:vAnchor="page" w:hAnchor="page" w:x="1664" w:y="9355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Bodytext2Bold"/>
              </w:rPr>
              <w:t>2,80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3352" w:rsidRDefault="009552FD">
            <w:pPr>
              <w:pStyle w:val="Bodytext20"/>
              <w:framePr w:w="7944" w:h="840" w:wrap="none" w:vAnchor="page" w:hAnchor="page" w:x="1664" w:y="9355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Bodytext2Bold"/>
              </w:rPr>
              <w:t>2,80</w:t>
            </w:r>
          </w:p>
        </w:tc>
      </w:tr>
    </w:tbl>
    <w:p w:rsidR="00843352" w:rsidRDefault="009552FD">
      <w:pPr>
        <w:pStyle w:val="Bodytext20"/>
        <w:framePr w:w="9970" w:h="836" w:hRule="exact" w:wrap="none" w:vAnchor="page" w:hAnchor="page" w:x="1347" w:y="10421"/>
        <w:shd w:val="clear" w:color="auto" w:fill="auto"/>
        <w:spacing w:after="0" w:line="389" w:lineRule="exact"/>
        <w:ind w:right="1100" w:firstLine="0"/>
      </w:pPr>
      <w:r>
        <w:t>3. Tento dodatek je vyhotoven ve dvou stejnopisech s tím, že každá ze smluvních stran obdrží jedno vyhotovení. Tento dodatek nabývá účinnosti dne 12.11.2014 , konec účinnosti dodatku je 25.12.2014</w:t>
      </w:r>
    </w:p>
    <w:p w:rsidR="00843352" w:rsidRDefault="009552FD">
      <w:pPr>
        <w:pStyle w:val="Bodytext20"/>
        <w:framePr w:wrap="none" w:vAnchor="page" w:hAnchor="page" w:x="1347" w:y="11560"/>
        <w:shd w:val="clear" w:color="auto" w:fill="auto"/>
        <w:spacing w:after="0" w:line="190" w:lineRule="exact"/>
        <w:ind w:left="444" w:right="7718"/>
        <w:jc w:val="both"/>
      </w:pPr>
      <w:r>
        <w:t>V(e): Praze dne: 12.11.2014</w:t>
      </w:r>
    </w:p>
    <w:p w:rsidR="00843352" w:rsidRDefault="009552FD" w:rsidP="00AC2D2C">
      <w:pPr>
        <w:pStyle w:val="Picturecaption0"/>
        <w:framePr w:w="8011" w:h="653" w:hRule="exact" w:wrap="none" w:vAnchor="page" w:hAnchor="page" w:x="2739" w:y="12969"/>
        <w:shd w:val="clear" w:color="auto" w:fill="auto"/>
      </w:pPr>
      <w:r>
        <w:t>za Českou spořitelnu, a.s.</w:t>
      </w:r>
      <w:r w:rsidR="00AC2D2C">
        <w:t xml:space="preserve">                                                  za Obchodního partnera</w:t>
      </w:r>
    </w:p>
    <w:p w:rsidR="00843352" w:rsidRDefault="00AC2D2C" w:rsidP="00AC2D2C">
      <w:pPr>
        <w:pStyle w:val="Picturecaption0"/>
        <w:framePr w:w="8011" w:h="653" w:hRule="exact" w:wrap="none" w:vAnchor="page" w:hAnchor="page" w:x="2739" w:y="12969"/>
        <w:shd w:val="clear" w:color="auto" w:fill="auto"/>
      </w:pPr>
      <w:r>
        <w:t xml:space="preserve">      </w:t>
      </w:r>
      <w:r w:rsidR="009552FD">
        <w:t>Jakub Vocetka</w:t>
      </w:r>
      <w:r>
        <w:t xml:space="preserve">                                                                    Bc. Egon Kulhánek </w:t>
      </w:r>
      <w:r w:rsidR="009552FD">
        <w:br/>
        <w:t>specialista platebních karet</w:t>
      </w:r>
      <w:r>
        <w:t xml:space="preserve">                                                                ředitel</w:t>
      </w:r>
    </w:p>
    <w:p w:rsidR="00843352" w:rsidRDefault="009552FD">
      <w:pPr>
        <w:pStyle w:val="Picturecaption0"/>
        <w:framePr w:wrap="none" w:vAnchor="page" w:hAnchor="page" w:x="6416" w:y="11565"/>
        <w:shd w:val="clear" w:color="auto" w:fill="auto"/>
        <w:spacing w:line="190" w:lineRule="exact"/>
      </w:pPr>
      <w:r>
        <w:t>V(e): Praze dne: 12.11.2014</w:t>
      </w:r>
    </w:p>
    <w:p w:rsidR="00843352" w:rsidRDefault="009552FD">
      <w:pPr>
        <w:pStyle w:val="Bodytext70"/>
        <w:framePr w:w="9970" w:h="426" w:hRule="exact" w:wrap="none" w:vAnchor="page" w:hAnchor="page" w:x="1347" w:y="15512"/>
        <w:shd w:val="clear" w:color="auto" w:fill="auto"/>
        <w:ind w:right="3374"/>
      </w:pPr>
      <w:r>
        <w:rPr>
          <w:rStyle w:val="Bodytext7SmallCaps"/>
        </w:rPr>
        <w:t>Tento dokument je považován za důvěrný a slouží pouze potřebám obchodního místa a ČS. Jeho další šíření je zakázáno</w:t>
      </w:r>
      <w:r>
        <w:rPr>
          <w:rStyle w:val="Bodytext7SmallCaps"/>
        </w:rPr>
        <w:br/>
      </w:r>
      <w:r>
        <w:rPr>
          <w:rStyle w:val="Bodytext7Arial"/>
        </w:rPr>
        <w:t>Dodatek: Rozšíření počtu obchodních míst 09/2010</w:t>
      </w:r>
    </w:p>
    <w:p w:rsidR="00843352" w:rsidRDefault="009552FD">
      <w:pPr>
        <w:pStyle w:val="Bodytext80"/>
        <w:framePr w:wrap="none" w:vAnchor="page" w:hAnchor="page" w:x="11053" w:y="15712"/>
        <w:shd w:val="clear" w:color="auto" w:fill="auto"/>
      </w:pPr>
      <w:r>
        <w:t>1/1</w:t>
      </w:r>
    </w:p>
    <w:p w:rsidR="00843352" w:rsidRDefault="00843352">
      <w:pPr>
        <w:rPr>
          <w:sz w:val="2"/>
          <w:szCs w:val="2"/>
        </w:rPr>
      </w:pPr>
    </w:p>
    <w:sectPr w:rsidR="00843352" w:rsidSect="0084335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FEC" w:rsidRDefault="00D92FEC" w:rsidP="00843352">
      <w:r>
        <w:separator/>
      </w:r>
    </w:p>
  </w:endnote>
  <w:endnote w:type="continuationSeparator" w:id="0">
    <w:p w:rsidR="00D92FEC" w:rsidRDefault="00D92FEC" w:rsidP="0084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Nirmala UI">
    <w:altName w:val="Times New Roman"/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FEC" w:rsidRDefault="00D92FEC"/>
  </w:footnote>
  <w:footnote w:type="continuationSeparator" w:id="0">
    <w:p w:rsidR="00D92FEC" w:rsidRDefault="00D92FE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52"/>
    <w:rsid w:val="00686B7E"/>
    <w:rsid w:val="00843352"/>
    <w:rsid w:val="009552FD"/>
    <w:rsid w:val="00AC2D2C"/>
    <w:rsid w:val="00D9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3D61B-26F8-4204-8653-9FE11089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rsid w:val="0084335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sid w:val="00843352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Heading2">
    <w:name w:val="Heading #2_"/>
    <w:basedOn w:val="Standardnpsmoodstavce"/>
    <w:link w:val="Heading20"/>
    <w:rsid w:val="00843352"/>
    <w:rPr>
      <w:rFonts w:ascii="Candara" w:eastAsia="Candara" w:hAnsi="Candara" w:cs="Candar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3">
    <w:name w:val="Body text (3)_"/>
    <w:basedOn w:val="Standardnpsmoodstavce"/>
    <w:link w:val="Bodytext30"/>
    <w:rsid w:val="0084335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Bold">
    <w:name w:val="Body text (3) + Bold"/>
    <w:basedOn w:val="Bodytext3"/>
    <w:rsid w:val="008433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sid w:val="0084335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Standardnpsmoodstavce"/>
    <w:link w:val="Bodytext40"/>
    <w:rsid w:val="0084335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 (2)_"/>
    <w:basedOn w:val="Standardnpsmoodstavce"/>
    <w:link w:val="Bodytext20"/>
    <w:rsid w:val="0084335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">
    <w:name w:val="Body text (5)_"/>
    <w:basedOn w:val="Standardnpsmoodstavce"/>
    <w:link w:val="Bodytext50"/>
    <w:rsid w:val="0084335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">
    <w:name w:val="Body text (6)_"/>
    <w:basedOn w:val="Standardnpsmoodstavce"/>
    <w:link w:val="Bodytext60"/>
    <w:rsid w:val="00843352"/>
    <w:rPr>
      <w:rFonts w:ascii="Nirmala UI" w:eastAsia="Nirmala UI" w:hAnsi="Nirmala UI" w:cs="Nirmala UI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ablecaption">
    <w:name w:val="Table caption_"/>
    <w:basedOn w:val="Standardnpsmoodstavce"/>
    <w:link w:val="Tablecaption0"/>
    <w:rsid w:val="0084335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">
    <w:name w:val="Body text (2) + Bold"/>
    <w:basedOn w:val="Bodytext2"/>
    <w:rsid w:val="008433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">
    <w:name w:val="Body text (2)"/>
    <w:basedOn w:val="Bodytext2"/>
    <w:rsid w:val="008433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ablecaption1">
    <w:name w:val="Table caption"/>
    <w:basedOn w:val="Tablecaption"/>
    <w:rsid w:val="008433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sid w:val="0084335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">
    <w:name w:val="Body text (7)_"/>
    <w:basedOn w:val="Standardnpsmoodstavce"/>
    <w:link w:val="Bodytext70"/>
    <w:rsid w:val="00843352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7SmallCaps">
    <w:name w:val="Body text (7) + Small Caps"/>
    <w:basedOn w:val="Bodytext7"/>
    <w:rsid w:val="0084335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7Arial">
    <w:name w:val="Body text (7) + Arial"/>
    <w:basedOn w:val="Bodytext7"/>
    <w:rsid w:val="008433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sid w:val="0084335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10">
    <w:name w:val="Heading #1"/>
    <w:basedOn w:val="Normln"/>
    <w:link w:val="Heading1"/>
    <w:rsid w:val="00843352"/>
    <w:pPr>
      <w:shd w:val="clear" w:color="auto" w:fill="FFFFFF"/>
      <w:spacing w:line="492" w:lineRule="exact"/>
      <w:outlineLvl w:val="0"/>
    </w:pPr>
    <w:rPr>
      <w:rFonts w:ascii="Arial" w:eastAsia="Arial" w:hAnsi="Arial" w:cs="Arial"/>
      <w:b/>
      <w:bCs/>
      <w:sz w:val="44"/>
      <w:szCs w:val="44"/>
    </w:rPr>
  </w:style>
  <w:style w:type="paragraph" w:customStyle="1" w:styleId="Heading20">
    <w:name w:val="Heading #2"/>
    <w:basedOn w:val="Normln"/>
    <w:link w:val="Heading2"/>
    <w:rsid w:val="00843352"/>
    <w:pPr>
      <w:shd w:val="clear" w:color="auto" w:fill="FFFFFF"/>
      <w:spacing w:after="400" w:line="312" w:lineRule="exact"/>
      <w:outlineLvl w:val="1"/>
    </w:pPr>
    <w:rPr>
      <w:rFonts w:ascii="Candara" w:eastAsia="Candara" w:hAnsi="Candara" w:cs="Candara"/>
      <w:b/>
      <w:bCs/>
      <w:sz w:val="32"/>
      <w:szCs w:val="32"/>
    </w:rPr>
  </w:style>
  <w:style w:type="paragraph" w:customStyle="1" w:styleId="Bodytext30">
    <w:name w:val="Body text (3)"/>
    <w:basedOn w:val="Normln"/>
    <w:link w:val="Bodytext3"/>
    <w:rsid w:val="00843352"/>
    <w:pPr>
      <w:shd w:val="clear" w:color="auto" w:fill="FFFFFF"/>
      <w:spacing w:before="400" w:line="240" w:lineRule="exact"/>
      <w:jc w:val="center"/>
    </w:pPr>
    <w:rPr>
      <w:rFonts w:ascii="Arial" w:eastAsia="Arial" w:hAnsi="Arial" w:cs="Arial"/>
      <w:sz w:val="22"/>
      <w:szCs w:val="22"/>
    </w:rPr>
  </w:style>
  <w:style w:type="paragraph" w:customStyle="1" w:styleId="Heading30">
    <w:name w:val="Heading #3"/>
    <w:basedOn w:val="Normln"/>
    <w:link w:val="Heading3"/>
    <w:rsid w:val="00843352"/>
    <w:pPr>
      <w:shd w:val="clear" w:color="auto" w:fill="FFFFFF"/>
      <w:spacing w:after="200" w:line="246" w:lineRule="exact"/>
      <w:jc w:val="center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rsid w:val="00843352"/>
    <w:pPr>
      <w:shd w:val="clear" w:color="auto" w:fill="FFFFFF"/>
      <w:spacing w:before="200" w:line="197" w:lineRule="exact"/>
      <w:ind w:hanging="420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0">
    <w:name w:val="Body text (2)"/>
    <w:basedOn w:val="Normln"/>
    <w:link w:val="Bodytext2"/>
    <w:rsid w:val="00843352"/>
    <w:pPr>
      <w:shd w:val="clear" w:color="auto" w:fill="FFFFFF"/>
      <w:spacing w:after="200" w:line="197" w:lineRule="exact"/>
      <w:ind w:hanging="420"/>
    </w:pPr>
    <w:rPr>
      <w:rFonts w:ascii="Arial" w:eastAsia="Arial" w:hAnsi="Arial" w:cs="Arial"/>
      <w:sz w:val="17"/>
      <w:szCs w:val="17"/>
    </w:rPr>
  </w:style>
  <w:style w:type="paragraph" w:customStyle="1" w:styleId="Bodytext50">
    <w:name w:val="Body text (5)"/>
    <w:basedOn w:val="Normln"/>
    <w:link w:val="Bodytext5"/>
    <w:rsid w:val="00843352"/>
    <w:pPr>
      <w:shd w:val="clear" w:color="auto" w:fill="FFFFFF"/>
      <w:spacing w:after="200" w:line="221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60">
    <w:name w:val="Body text (6)"/>
    <w:basedOn w:val="Normln"/>
    <w:link w:val="Bodytext6"/>
    <w:rsid w:val="00843352"/>
    <w:pPr>
      <w:shd w:val="clear" w:color="auto" w:fill="FFFFFF"/>
      <w:spacing w:before="200" w:line="190" w:lineRule="exact"/>
      <w:jc w:val="center"/>
    </w:pPr>
    <w:rPr>
      <w:rFonts w:ascii="Nirmala UI" w:eastAsia="Nirmala UI" w:hAnsi="Nirmala UI" w:cs="Nirmala UI"/>
      <w:b/>
      <w:bCs/>
      <w:sz w:val="13"/>
      <w:szCs w:val="13"/>
    </w:rPr>
  </w:style>
  <w:style w:type="paragraph" w:customStyle="1" w:styleId="Tablecaption0">
    <w:name w:val="Table caption"/>
    <w:basedOn w:val="Normln"/>
    <w:link w:val="Tablecaption"/>
    <w:rsid w:val="00843352"/>
    <w:pPr>
      <w:shd w:val="clear" w:color="auto" w:fill="FFFFFF"/>
      <w:spacing w:line="190" w:lineRule="exact"/>
      <w:ind w:hanging="360"/>
    </w:pPr>
    <w:rPr>
      <w:rFonts w:ascii="Arial" w:eastAsia="Arial" w:hAnsi="Arial" w:cs="Arial"/>
      <w:sz w:val="17"/>
      <w:szCs w:val="17"/>
    </w:rPr>
  </w:style>
  <w:style w:type="paragraph" w:customStyle="1" w:styleId="Picturecaption0">
    <w:name w:val="Picture caption"/>
    <w:basedOn w:val="Normln"/>
    <w:link w:val="Picturecaption"/>
    <w:rsid w:val="00843352"/>
    <w:pPr>
      <w:shd w:val="clear" w:color="auto" w:fill="FFFFFF"/>
      <w:spacing w:line="197" w:lineRule="exact"/>
    </w:pPr>
    <w:rPr>
      <w:rFonts w:ascii="Arial" w:eastAsia="Arial" w:hAnsi="Arial" w:cs="Arial"/>
      <w:sz w:val="17"/>
      <w:szCs w:val="17"/>
    </w:rPr>
  </w:style>
  <w:style w:type="paragraph" w:customStyle="1" w:styleId="Bodytext70">
    <w:name w:val="Body text (7)"/>
    <w:basedOn w:val="Normln"/>
    <w:link w:val="Bodytext7"/>
    <w:rsid w:val="00843352"/>
    <w:pPr>
      <w:shd w:val="clear" w:color="auto" w:fill="FFFFFF"/>
      <w:spacing w:line="187" w:lineRule="exact"/>
      <w:jc w:val="both"/>
    </w:pPr>
    <w:rPr>
      <w:sz w:val="11"/>
      <w:szCs w:val="11"/>
    </w:rPr>
  </w:style>
  <w:style w:type="paragraph" w:customStyle="1" w:styleId="Bodytext80">
    <w:name w:val="Body text (8)"/>
    <w:basedOn w:val="Normln"/>
    <w:link w:val="Bodytext8"/>
    <w:rsid w:val="00843352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2017-01-18T10:30:00Z</dcterms:created>
  <dcterms:modified xsi:type="dcterms:W3CDTF">2017-01-18T10:30:00Z</dcterms:modified>
</cp:coreProperties>
</file>