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5F" w:rsidRDefault="00B4545F">
      <w:pPr>
        <w:pStyle w:val="Heading40"/>
        <w:keepNext/>
        <w:keepLines/>
        <w:shd w:val="clear" w:color="auto" w:fill="auto"/>
        <w:jc w:val="both"/>
      </w:pPr>
      <w:bookmarkStart w:id="0" w:name="bookmark3"/>
    </w:p>
    <w:p w:rsidR="008B33DB" w:rsidRDefault="008B33DB">
      <w:pPr>
        <w:pStyle w:val="Heading40"/>
        <w:keepNext/>
        <w:keepLines/>
        <w:shd w:val="clear" w:color="auto" w:fill="auto"/>
        <w:jc w:val="both"/>
      </w:pPr>
    </w:p>
    <w:p w:rsidR="00397355" w:rsidRDefault="00380055">
      <w:pPr>
        <w:pStyle w:val="Heading40"/>
        <w:keepNext/>
        <w:keepLines/>
        <w:shd w:val="clear" w:color="auto" w:fill="auto"/>
        <w:jc w:val="both"/>
      </w:pPr>
      <w:r>
        <w:t>Smluvní strany:</w:t>
      </w:r>
      <w:bookmarkEnd w:id="0"/>
    </w:p>
    <w:p w:rsidR="00397355" w:rsidRDefault="00380055">
      <w:pPr>
        <w:pStyle w:val="Heading40"/>
        <w:keepNext/>
        <w:keepLines/>
        <w:shd w:val="clear" w:color="auto" w:fill="auto"/>
        <w:spacing w:after="260"/>
        <w:jc w:val="both"/>
      </w:pPr>
      <w:bookmarkStart w:id="1" w:name="bookmark4"/>
      <w:r>
        <w:t>Národní zemědělské muzeum, s. p. o.</w:t>
      </w:r>
      <w:bookmarkEnd w:id="1"/>
    </w:p>
    <w:p w:rsidR="00397355" w:rsidRDefault="00380055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se sídlem</w:t>
      </w:r>
      <w:r>
        <w:tab/>
        <w:t>Kostelní 1300/44, Holešovice, 170 00 Praha 7</w:t>
      </w:r>
    </w:p>
    <w:p w:rsidR="00397355" w:rsidRDefault="00380055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IČO:</w:t>
      </w:r>
      <w:r>
        <w:tab/>
        <w:t>75075741,</w:t>
      </w:r>
    </w:p>
    <w:p w:rsidR="00397355" w:rsidRDefault="00380055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DIČ:</w:t>
      </w:r>
      <w:r>
        <w:tab/>
        <w:t>CZ75075741</w:t>
      </w:r>
    </w:p>
    <w:p w:rsidR="00397355" w:rsidRDefault="00380055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bankovní spojení:</w:t>
      </w:r>
      <w:r>
        <w:tab/>
      </w:r>
      <w:proofErr w:type="spellStart"/>
      <w:r w:rsidR="00D359F0">
        <w:t>xxx</w:t>
      </w:r>
      <w:proofErr w:type="spellEnd"/>
    </w:p>
    <w:p w:rsidR="00397355" w:rsidRDefault="00380055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číslo účtu:</w:t>
      </w:r>
      <w:r>
        <w:tab/>
      </w:r>
      <w:proofErr w:type="spellStart"/>
      <w:r w:rsidR="00D359F0">
        <w:t>xxx</w:t>
      </w:r>
      <w:proofErr w:type="spellEnd"/>
    </w:p>
    <w:p w:rsidR="00397355" w:rsidRDefault="00380055" w:rsidP="00D359F0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zastoupená:</w:t>
      </w:r>
      <w:r>
        <w:tab/>
      </w:r>
      <w:proofErr w:type="spellStart"/>
      <w:r w:rsidR="00D359F0">
        <w:t>xxx</w:t>
      </w:r>
      <w:proofErr w:type="spellEnd"/>
    </w:p>
    <w:p w:rsidR="00397355" w:rsidRDefault="00380055" w:rsidP="00D359F0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kontaktní osoba:</w:t>
      </w:r>
      <w:r>
        <w:tab/>
      </w:r>
      <w:proofErr w:type="spellStart"/>
      <w:r w:rsidR="00D359F0">
        <w:t>xxx</w:t>
      </w:r>
      <w:proofErr w:type="spellEnd"/>
    </w:p>
    <w:p w:rsidR="00397355" w:rsidRDefault="00380055">
      <w:pPr>
        <w:pStyle w:val="Bodytext30"/>
        <w:shd w:val="clear" w:color="auto" w:fill="auto"/>
        <w:spacing w:after="1240" w:line="240" w:lineRule="auto"/>
      </w:pPr>
      <w:r>
        <w:t>(dále jako „NZM“)</w:t>
      </w:r>
    </w:p>
    <w:p w:rsidR="00397355" w:rsidRDefault="00380055">
      <w:pPr>
        <w:pStyle w:val="Heading40"/>
        <w:keepNext/>
        <w:keepLines/>
        <w:shd w:val="clear" w:color="auto" w:fill="auto"/>
        <w:spacing w:after="0" w:line="480" w:lineRule="auto"/>
        <w:jc w:val="both"/>
      </w:pPr>
      <w:bookmarkStart w:id="2" w:name="bookmark5"/>
      <w:r>
        <w:t xml:space="preserve">Lesy České republiky, </w:t>
      </w:r>
      <w:proofErr w:type="spellStart"/>
      <w:proofErr w:type="gramStart"/>
      <w:r>
        <w:t>s.p</w:t>
      </w:r>
      <w:proofErr w:type="spellEnd"/>
      <w:r>
        <w:t>.</w:t>
      </w:r>
      <w:bookmarkEnd w:id="2"/>
      <w:proofErr w:type="gramEnd"/>
    </w:p>
    <w:p w:rsidR="00397355" w:rsidRDefault="00380055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se sídlem</w:t>
      </w:r>
      <w:r>
        <w:tab/>
        <w:t>Přemyslova 1106/19, Nový Hradec Králové, 500 08 Hradec Králové</w:t>
      </w:r>
    </w:p>
    <w:p w:rsidR="00397355" w:rsidRDefault="00380055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IČO:</w:t>
      </w:r>
      <w:r>
        <w:tab/>
        <w:t>42196451</w:t>
      </w:r>
    </w:p>
    <w:p w:rsidR="00397355" w:rsidRDefault="00380055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DIČ:</w:t>
      </w:r>
      <w:r>
        <w:tab/>
        <w:t>CZ42196451</w:t>
      </w:r>
    </w:p>
    <w:p w:rsidR="00397355" w:rsidRDefault="00380055">
      <w:pPr>
        <w:pStyle w:val="Bodytext30"/>
        <w:shd w:val="clear" w:color="auto" w:fill="auto"/>
        <w:tabs>
          <w:tab w:val="left" w:pos="2077"/>
        </w:tabs>
        <w:spacing w:after="0" w:line="240" w:lineRule="auto"/>
      </w:pPr>
      <w:r>
        <w:t>zapsaný:</w:t>
      </w:r>
      <w:r>
        <w:tab/>
        <w:t>v obchodním rejstříku vedeném Krajským soudem v Hradci Králové,</w:t>
      </w:r>
    </w:p>
    <w:p w:rsidR="00397355" w:rsidRDefault="00380055">
      <w:pPr>
        <w:pStyle w:val="Bodytext30"/>
        <w:shd w:val="clear" w:color="auto" w:fill="auto"/>
        <w:spacing w:after="0" w:line="240" w:lineRule="auto"/>
        <w:ind w:left="2080" w:firstLine="20"/>
        <w:jc w:val="left"/>
      </w:pPr>
      <w:r>
        <w:t>oddíl AXII, vložka 540</w:t>
      </w:r>
    </w:p>
    <w:p w:rsidR="00397355" w:rsidRDefault="00380055">
      <w:pPr>
        <w:pStyle w:val="Bodytext30"/>
        <w:shd w:val="clear" w:color="auto" w:fill="auto"/>
        <w:tabs>
          <w:tab w:val="left" w:pos="2077"/>
          <w:tab w:val="right" w:pos="6566"/>
        </w:tabs>
        <w:spacing w:after="0" w:line="533" w:lineRule="auto"/>
      </w:pPr>
      <w:r>
        <w:t>zastoupený:</w:t>
      </w:r>
      <w:r>
        <w:tab/>
      </w:r>
      <w:proofErr w:type="spellStart"/>
      <w:r w:rsidR="005754DC">
        <w:t>xxx</w:t>
      </w:r>
      <w:proofErr w:type="spellEnd"/>
    </w:p>
    <w:p w:rsidR="00397355" w:rsidRDefault="00380055">
      <w:pPr>
        <w:pStyle w:val="Bodytext30"/>
        <w:shd w:val="clear" w:color="auto" w:fill="auto"/>
        <w:spacing w:after="0" w:line="533" w:lineRule="auto"/>
      </w:pPr>
      <w:r>
        <w:t>(dále jako „LČR“)</w:t>
      </w:r>
    </w:p>
    <w:p w:rsidR="00397355" w:rsidRDefault="00380055">
      <w:pPr>
        <w:pStyle w:val="Bodytext30"/>
        <w:shd w:val="clear" w:color="auto" w:fill="auto"/>
        <w:spacing w:after="220" w:line="533" w:lineRule="auto"/>
      </w:pPr>
      <w:r>
        <w:t>(NZM a LČR dále též společně jako „smluvní strany“ a každý jednotlivě jako „smluvní strana“) uzavřely níže uvedeného dne, měsíce a roku tuto</w:t>
      </w:r>
    </w:p>
    <w:p w:rsidR="00397355" w:rsidRDefault="00380055">
      <w:pPr>
        <w:pStyle w:val="Bodytext30"/>
        <w:shd w:val="clear" w:color="auto" w:fill="auto"/>
        <w:spacing w:after="500" w:line="240" w:lineRule="auto"/>
        <w:jc w:val="center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SMLOUVU O SPOLUPRÁCI </w:t>
      </w:r>
      <w:r>
        <w:rPr>
          <w:b/>
          <w:bCs/>
          <w:sz w:val="18"/>
          <w:szCs w:val="18"/>
        </w:rPr>
        <w:t>(DÁLE JEN „SMLOUVA“)</w:t>
      </w:r>
    </w:p>
    <w:p w:rsidR="00397355" w:rsidRDefault="00380055">
      <w:pPr>
        <w:pStyle w:val="Bodytext30"/>
        <w:shd w:val="clear" w:color="auto" w:fill="auto"/>
        <w:spacing w:after="0"/>
        <w:jc w:val="center"/>
      </w:pPr>
      <w:r>
        <w:t>dle ustanovení § 1746, odst. 2 zákona č. 89/2012 Sb., občanský zákoník, ve znění pozdějších</w:t>
      </w:r>
      <w:r>
        <w:br/>
        <w:t>předpisů (dále jen „občanský zákoník“)</w:t>
      </w:r>
    </w:p>
    <w:p w:rsidR="008B33DB" w:rsidRDefault="008B33DB">
      <w:pPr>
        <w:pStyle w:val="Bodytext30"/>
        <w:shd w:val="clear" w:color="auto" w:fill="auto"/>
        <w:spacing w:after="0"/>
        <w:jc w:val="center"/>
      </w:pPr>
    </w:p>
    <w:p w:rsidR="00397355" w:rsidRDefault="00380055">
      <w:pPr>
        <w:spacing w:line="14" w:lineRule="exact"/>
      </w:pPr>
      <w:r>
        <w:rPr>
          <w:rFonts w:ascii="Georgia" w:eastAsia="Georgia" w:hAnsi="Georgia" w:cs="Georgia"/>
          <w:noProof/>
          <w:sz w:val="20"/>
          <w:szCs w:val="20"/>
          <w:lang w:bidi="ar-SA"/>
        </w:rPr>
        <mc:AlternateContent>
          <mc:Choice Requires="wps">
            <w:drawing>
              <wp:anchor distT="625475" distB="0" distL="114300" distR="4076700" simplePos="0" relativeHeight="125829378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634365</wp:posOffset>
                </wp:positionV>
                <wp:extent cx="1231265" cy="6642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355" w:rsidRDefault="00380055">
                            <w:pPr>
                              <w:pStyle w:val="Other0"/>
                              <w:shd w:val="clear" w:color="auto" w:fill="auto"/>
                              <w:spacing w:after="0" w:line="317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17"/>
                                <w:szCs w:val="17"/>
                              </w:rPr>
                              <w:t>Národní zemědělské muzeum, s. p. o.</w:t>
                            </w:r>
                          </w:p>
                          <w:p w:rsidR="00397355" w:rsidRDefault="00380055">
                            <w:pPr>
                              <w:pStyle w:val="Other0"/>
                              <w:shd w:val="clear" w:color="auto" w:fill="auto"/>
                              <w:spacing w:after="0" w:line="298" w:lineRule="auto"/>
                              <w:ind w:right="6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  <w:t>Kostelní 44 170 00 Praha 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4.85pt;margin-top:49.95pt;width:96.95pt;height:52.3pt;z-index:125829378;visibility:visible;mso-wrap-style:square;mso-wrap-distance-left:9pt;mso-wrap-distance-top:49.25pt;mso-wrap-distance-right:32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" filled="f" stroked="f">
                <v:textbox inset="0,0,0,0">
                  <w:txbxContent>
                    <w:p w:rsidR="00397355" w:rsidRDefault="00380055">
                      <w:pPr>
                        <w:pStyle w:val="Other0"/>
                        <w:shd w:val="clear" w:color="auto" w:fill="auto"/>
                        <w:spacing w:after="0" w:line="317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Georgia" w:eastAsia="Georgia" w:hAnsi="Georgia" w:cs="Georgia"/>
                          <w:b/>
                          <w:bCs/>
                          <w:sz w:val="17"/>
                          <w:szCs w:val="17"/>
                        </w:rPr>
                        <w:t>Národní zemědělské muzeum, s. p. o.</w:t>
                      </w:r>
                    </w:p>
                    <w:p w:rsidR="00397355" w:rsidRDefault="00380055">
                      <w:pPr>
                        <w:pStyle w:val="Other0"/>
                        <w:shd w:val="clear" w:color="auto" w:fill="auto"/>
                        <w:spacing w:after="0" w:line="298" w:lineRule="auto"/>
                        <w:ind w:right="6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  <w:t>Kostelní 44 170 00 Praha 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eorgia" w:eastAsia="Georgia" w:hAnsi="Georgia" w:cs="Georgia"/>
          <w:noProof/>
          <w:sz w:val="20"/>
          <w:szCs w:val="20"/>
          <w:lang w:bidi="ar-SA"/>
        </w:rPr>
        <mc:AlternateContent>
          <mc:Choice Requires="wps">
            <w:drawing>
              <wp:anchor distT="622300" distB="0" distL="1985645" distR="2019300" simplePos="0" relativeHeight="125829380" behindDoc="0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631190</wp:posOffset>
                </wp:positionV>
                <wp:extent cx="1417320" cy="6673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355" w:rsidRDefault="00380055">
                            <w:pPr>
                              <w:pStyle w:val="Other0"/>
                              <w:shd w:val="clear" w:color="auto" w:fill="auto"/>
                              <w:spacing w:after="0" w:line="298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  <w:t xml:space="preserve">spojovatel: 220 308 200 pokladna: 220 308 111 e-mail: </w:t>
                            </w:r>
                            <w:hyperlink r:id="rId7" w:history="1">
                              <w:r>
                                <w:rPr>
                                  <w:rFonts w:ascii="Georgia" w:eastAsia="Georgia" w:hAnsi="Georgia" w:cs="Georgia"/>
                                  <w:sz w:val="18"/>
                                  <w:szCs w:val="18"/>
                                  <w:lang w:val="en-US" w:eastAsia="en-US" w:bidi="en-US"/>
                                </w:rPr>
                                <w:t>nzm.praha@nzm.cz</w:t>
                              </w:r>
                            </w:hyperlink>
                            <w:r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Fonts w:ascii="Georgia" w:eastAsia="Georgia" w:hAnsi="Georgia" w:cs="Georgia"/>
                                  <w:sz w:val="18"/>
                                  <w:szCs w:val="18"/>
                                  <w:lang w:val="en-US" w:eastAsia="en-US" w:bidi="en-US"/>
                                </w:rPr>
                                <w:t>http://www.nzm.cz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22.25pt;margin-top:49.7pt;width:111.6pt;height:52.55pt;z-index:125829380;visibility:visible;mso-wrap-style:square;mso-wrap-distance-left:156.35pt;mso-wrap-distance-top:49pt;mso-wrap-distance-right:15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" filled="f" stroked="f">
                <v:textbox inset="0,0,0,0">
                  <w:txbxContent>
                    <w:p w:rsidR="00397355" w:rsidRDefault="00380055">
                      <w:pPr>
                        <w:pStyle w:val="Other0"/>
                        <w:shd w:val="clear" w:color="auto" w:fill="auto"/>
                        <w:spacing w:after="0" w:line="298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  <w:t xml:space="preserve">spojovatel: 220 308 200 pokladna: 220 308 111 e-mail: </w:t>
                      </w:r>
                      <w:hyperlink r:id="rId9" w:history="1">
                        <w:r>
                          <w:rPr>
                            <w:rFonts w:ascii="Georgia" w:eastAsia="Georgia" w:hAnsi="Georgia" w:cs="Georgia"/>
                            <w:sz w:val="18"/>
                            <w:szCs w:val="18"/>
                            <w:lang w:val="en-US" w:eastAsia="en-US" w:bidi="en-US"/>
                          </w:rPr>
                          <w:t>nzm.praha@nzm.cz</w:t>
                        </w:r>
                      </w:hyperlink>
                      <w:r>
                        <w:rPr>
                          <w:rFonts w:ascii="Georgia" w:eastAsia="Georgia" w:hAnsi="Georgia" w:cs="Georgia"/>
                          <w:sz w:val="18"/>
                          <w:szCs w:val="18"/>
                          <w:lang w:val="en-US" w:eastAsia="en-US" w:bidi="en-US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Fonts w:ascii="Georgia" w:eastAsia="Georgia" w:hAnsi="Georgia" w:cs="Georgia"/>
                            <w:sz w:val="18"/>
                            <w:szCs w:val="18"/>
                            <w:lang w:val="en-US" w:eastAsia="en-US" w:bidi="en-US"/>
                          </w:rPr>
                          <w:t>http://www.nzm.cz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eorgia" w:eastAsia="Georgia" w:hAnsi="Georgia" w:cs="Georgia"/>
          <w:noProof/>
          <w:sz w:val="20"/>
          <w:szCs w:val="20"/>
          <w:lang w:bidi="ar-SA"/>
        </w:rPr>
        <mc:AlternateContent>
          <mc:Choice Requires="wps">
            <w:drawing>
              <wp:anchor distT="613410" distB="0" distL="3933190" distR="114300" simplePos="0" relativeHeight="125829382" behindDoc="0" locked="0" layoutInCell="1" allowOverlap="1">
                <wp:simplePos x="0" y="0"/>
                <wp:positionH relativeFrom="page">
                  <wp:posOffset>4770120</wp:posOffset>
                </wp:positionH>
                <wp:positionV relativeFrom="paragraph">
                  <wp:posOffset>622300</wp:posOffset>
                </wp:positionV>
                <wp:extent cx="1374775" cy="6769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355" w:rsidRDefault="00380055">
                            <w:pPr>
                              <w:pStyle w:val="Other0"/>
                              <w:shd w:val="clear" w:color="auto" w:fill="auto"/>
                              <w:spacing w:after="0" w:line="293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  <w:t>IČO: 75075741 DIČ: CZ75075741 datová schránka: q4fgwym zřizovatel: Ministerstvo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75.6pt;margin-top:49pt;width:108.25pt;height:53.3pt;z-index:125829382;visibility:visible;mso-wrap-style:square;mso-wrap-distance-left:309.7pt;mso-wrap-distance-top:48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" filled="f" stroked="f">
                <v:textbox inset="0,0,0,0">
                  <w:txbxContent>
                    <w:p w:rsidR="00397355" w:rsidRDefault="00380055">
                      <w:pPr>
                        <w:pStyle w:val="Other0"/>
                        <w:shd w:val="clear" w:color="auto" w:fill="auto"/>
                        <w:spacing w:after="0" w:line="293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  <w:t>IČO: 75075741 DIČ: CZ75075741 datová schránka: q4fgwym zřizovatel: Ministerstvo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7355" w:rsidRDefault="00380055">
      <w:pPr>
        <w:pStyle w:val="Heading10"/>
        <w:keepNext/>
        <w:keepLines/>
        <w:shd w:val="clear" w:color="auto" w:fill="auto"/>
        <w:ind w:left="180"/>
        <w:jc w:val="center"/>
      </w:pPr>
      <w:bookmarkStart w:id="3" w:name="bookmark6"/>
      <w:r>
        <w:lastRenderedPageBreak/>
        <w:t>I.</w:t>
      </w:r>
      <w:bookmarkEnd w:id="3"/>
    </w:p>
    <w:p w:rsidR="00397355" w:rsidRDefault="00380055">
      <w:pPr>
        <w:pStyle w:val="Heading40"/>
        <w:keepNext/>
        <w:keepLines/>
        <w:shd w:val="clear" w:color="auto" w:fill="auto"/>
      </w:pPr>
      <w:bookmarkStart w:id="4" w:name="bookmark7"/>
      <w:r>
        <w:t>Prohlášení smluvních stran</w:t>
      </w:r>
      <w:bookmarkEnd w:id="4"/>
    </w:p>
    <w:p w:rsidR="00397355" w:rsidRDefault="00380055">
      <w:pPr>
        <w:pStyle w:val="Bodytext3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 xml:space="preserve">NZM prohlašuje, že má dle zřizovací listiny právo hospodařit se svěřeným majetkem České republiky, mezi který patří i soubor nemovitostí (budov a souvisejících pozemků) na adrese Kostelní čp. 1300/44, 170 00 Praha 7, k. </w:t>
      </w:r>
      <w:proofErr w:type="spellStart"/>
      <w:r>
        <w:t>ú.</w:t>
      </w:r>
      <w:proofErr w:type="spellEnd"/>
      <w:r>
        <w:t xml:space="preserve"> Holešovice (dále jen „nemovitost”), jehož je Česká republika výlučným vlastníkem.</w:t>
      </w:r>
    </w:p>
    <w:p w:rsidR="00397355" w:rsidRDefault="00380055">
      <w:pPr>
        <w:pStyle w:val="Bodytext3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>Spolupráce s LČR je naplněním článku X., bodu 9, 13 a 14 Zřizovací listiny NZM, které ukládají NMZ pořádat samostatně a ve spolupráci s jinými subjekty programy vztahující se k předmětu činnosti a akce pro veřejnost.</w:t>
      </w:r>
    </w:p>
    <w:p w:rsidR="00397355" w:rsidRDefault="00380055">
      <w:pPr>
        <w:pStyle w:val="Bodytext30"/>
        <w:numPr>
          <w:ilvl w:val="0"/>
          <w:numId w:val="1"/>
        </w:numPr>
        <w:shd w:val="clear" w:color="auto" w:fill="auto"/>
        <w:tabs>
          <w:tab w:val="left" w:pos="432"/>
        </w:tabs>
        <w:spacing w:line="259" w:lineRule="auto"/>
      </w:pPr>
      <w:r>
        <w:t>Smluvní strany deklarují, že mají společný zájem na provozu informačního místa a výstavy Lesníkův rok (dále jen „výstava“) v pobočce NZM v Praze.</w:t>
      </w:r>
    </w:p>
    <w:p w:rsidR="00397355" w:rsidRDefault="00380055">
      <w:pPr>
        <w:pStyle w:val="Bodytext30"/>
        <w:numPr>
          <w:ilvl w:val="0"/>
          <w:numId w:val="1"/>
        </w:numPr>
        <w:shd w:val="clear" w:color="auto" w:fill="auto"/>
        <w:tabs>
          <w:tab w:val="left" w:pos="432"/>
        </w:tabs>
        <w:spacing w:after="500"/>
      </w:pPr>
      <w:r>
        <w:t>NZM prohlašuje, že v uzavření této smlouvy není nikterak omezeno.</w:t>
      </w:r>
    </w:p>
    <w:p w:rsidR="00397355" w:rsidRDefault="00380055">
      <w:pPr>
        <w:pStyle w:val="Heading40"/>
        <w:keepNext/>
        <w:keepLines/>
        <w:shd w:val="clear" w:color="auto" w:fill="auto"/>
        <w:spacing w:after="0"/>
      </w:pPr>
      <w:bookmarkStart w:id="5" w:name="bookmark8"/>
      <w:r>
        <w:t>II.</w:t>
      </w:r>
      <w:bookmarkEnd w:id="5"/>
    </w:p>
    <w:p w:rsidR="00397355" w:rsidRDefault="00380055">
      <w:pPr>
        <w:pStyle w:val="Heading40"/>
        <w:keepNext/>
        <w:keepLines/>
        <w:shd w:val="clear" w:color="auto" w:fill="auto"/>
      </w:pPr>
      <w:bookmarkStart w:id="6" w:name="bookmark9"/>
      <w:r>
        <w:t>Předmět smlouvy</w:t>
      </w:r>
      <w:bookmarkEnd w:id="6"/>
    </w:p>
    <w:p w:rsidR="00397355" w:rsidRDefault="00380055">
      <w:pPr>
        <w:pStyle w:val="Bodytext30"/>
        <w:numPr>
          <w:ilvl w:val="0"/>
          <w:numId w:val="2"/>
        </w:numPr>
        <w:shd w:val="clear" w:color="auto" w:fill="auto"/>
        <w:tabs>
          <w:tab w:val="left" w:pos="432"/>
        </w:tabs>
      </w:pPr>
      <w:r>
        <w:t>LČR uhradí náklady na provoz informačního místa a výstavy v pobočce NZM v Praze.</w:t>
      </w:r>
    </w:p>
    <w:p w:rsidR="00397355" w:rsidRDefault="00380055">
      <w:pPr>
        <w:pStyle w:val="Bodytext30"/>
        <w:numPr>
          <w:ilvl w:val="0"/>
          <w:numId w:val="2"/>
        </w:numPr>
        <w:shd w:val="clear" w:color="auto" w:fill="auto"/>
        <w:tabs>
          <w:tab w:val="left" w:pos="432"/>
        </w:tabs>
      </w:pPr>
      <w:r>
        <w:t>NZM přenechá LČR pro realizaci výstavy a informačního místa prostory nacházející se v 2. nadzemním podlaží nemovitosti dle odst. 1, o celkové výměře 539,15 m2; bližší specifikace umístění a</w:t>
      </w:r>
      <w:r w:rsidR="005A7E5C">
        <w:t> </w:t>
      </w:r>
      <w:r>
        <w:t>vymezení prostor je obsažena v situačním plánku, který je nedílnou součástí této smlouvy jako její Příloha č. I (dále jako „výstavní prostory”).</w:t>
      </w:r>
    </w:p>
    <w:p w:rsidR="00397355" w:rsidRDefault="00380055">
      <w:pPr>
        <w:pStyle w:val="Bodytext30"/>
        <w:numPr>
          <w:ilvl w:val="0"/>
          <w:numId w:val="2"/>
        </w:numPr>
        <w:shd w:val="clear" w:color="auto" w:fill="auto"/>
        <w:tabs>
          <w:tab w:val="left" w:pos="432"/>
        </w:tabs>
      </w:pPr>
      <w:r>
        <w:t>LČR jsou oprávněny užívat tyto prostory výlučně za účelem umístění dočasné výstavy Lesníkův rok a</w:t>
      </w:r>
      <w:r w:rsidR="005A7E5C">
        <w:t> </w:t>
      </w:r>
      <w:r>
        <w:t>činností s tímto účelem spojených, a to v návštěvní době NZM, nebude-li mezi smluvními stranami ujednáno jinak. Předpokládaný rozsah návštěvní doby NZM: úterý - neděle, 9:00 - 17:00 hod. NZM zajistí, že výstava a informační místo bude minimálně po tuto dobu veřejně přístupná.</w:t>
      </w:r>
    </w:p>
    <w:p w:rsidR="00397355" w:rsidRDefault="00380055">
      <w:pPr>
        <w:pStyle w:val="Bodytext30"/>
        <w:numPr>
          <w:ilvl w:val="0"/>
          <w:numId w:val="2"/>
        </w:numPr>
        <w:shd w:val="clear" w:color="auto" w:fill="auto"/>
        <w:tabs>
          <w:tab w:val="left" w:pos="432"/>
        </w:tabs>
      </w:pPr>
      <w:r>
        <w:t>LČR výslovně prohlašují, že je jim znám charakter a specifický režim výstavních prostor a zavazují se podřídit této skutečnosti způsob užívání výstavních prostor, pečovat o to, aby v průběhu sjednaného užívání na výstavních prostorách nevznikla škoda a řídit se bezvýhradně provozními, bezpečnostními a</w:t>
      </w:r>
      <w:r w:rsidR="005A7E5C">
        <w:t> </w:t>
      </w:r>
      <w:r>
        <w:t>protipožárními pokyny NZM, resp. jeho určených zaměstnanců, kteří jsou oprávněni po celou dobu užívání výstavních prostor dohlížet na dodržování zásad užívání prostor v památkově chráněném objektu.</w:t>
      </w:r>
    </w:p>
    <w:p w:rsidR="00397355" w:rsidRDefault="00380055">
      <w:pPr>
        <w:pStyle w:val="Bodytext30"/>
        <w:numPr>
          <w:ilvl w:val="0"/>
          <w:numId w:val="2"/>
        </w:numPr>
        <w:shd w:val="clear" w:color="auto" w:fill="auto"/>
        <w:tabs>
          <w:tab w:val="left" w:pos="432"/>
        </w:tabs>
        <w:spacing w:after="480"/>
      </w:pPr>
      <w:r>
        <w:t>NZM prohlašuje, že výstavní prostory jsou kryty pojistkou NZM. LČR prohlašují, že jsou dostatečně pojištěny pro případ vzniku odpovědnosti za škodu jimi způsobenou.</w:t>
      </w:r>
    </w:p>
    <w:p w:rsidR="00397355" w:rsidRDefault="00380055">
      <w:pPr>
        <w:pStyle w:val="Heading40"/>
        <w:keepNext/>
        <w:keepLines/>
        <w:shd w:val="clear" w:color="auto" w:fill="auto"/>
        <w:spacing w:after="0"/>
      </w:pPr>
      <w:bookmarkStart w:id="7" w:name="bookmark10"/>
      <w:r>
        <w:t>III.</w:t>
      </w:r>
      <w:bookmarkEnd w:id="7"/>
    </w:p>
    <w:p w:rsidR="00397355" w:rsidRDefault="00380055">
      <w:pPr>
        <w:pStyle w:val="Heading40"/>
        <w:keepNext/>
        <w:keepLines/>
        <w:shd w:val="clear" w:color="auto" w:fill="auto"/>
      </w:pPr>
      <w:bookmarkStart w:id="8" w:name="bookmark11"/>
      <w:r>
        <w:t>Doba trvání smlouvy</w:t>
      </w:r>
      <w:bookmarkEnd w:id="8"/>
    </w:p>
    <w:p w:rsidR="00397355" w:rsidRDefault="00380055">
      <w:pPr>
        <w:pStyle w:val="Bodytext30"/>
        <w:numPr>
          <w:ilvl w:val="0"/>
          <w:numId w:val="3"/>
        </w:numPr>
        <w:shd w:val="clear" w:color="auto" w:fill="auto"/>
        <w:tabs>
          <w:tab w:val="left" w:pos="432"/>
        </w:tabs>
      </w:pPr>
      <w:r>
        <w:t xml:space="preserve">Spolupráce dle této smlouvy se sjednává na dobu určitou, a to od nabytí účinnosti této smlouvy do </w:t>
      </w:r>
      <w:proofErr w:type="gramStart"/>
      <w:r>
        <w:t>31.12.2020</w:t>
      </w:r>
      <w:proofErr w:type="gramEnd"/>
      <w:r>
        <w:t>. Spolupráce může být následně prodloužena dodatkem k této smlouvě, platným ode dne následujícího po ukončení smlouvy, pokud se smluvní strany nedohodnou jinak.</w:t>
      </w:r>
    </w:p>
    <w:p w:rsidR="00397355" w:rsidRPr="00441C9F" w:rsidRDefault="00441C9F">
      <w:pPr>
        <w:pStyle w:val="Heading10"/>
        <w:keepNext/>
        <w:keepLines/>
        <w:shd w:val="clear" w:color="auto" w:fill="auto"/>
        <w:ind w:left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bookmarkStart w:id="9" w:name="bookmark12"/>
      <w:r>
        <w:rPr>
          <w:rFonts w:ascii="Georgia" w:eastAsia="Georgia" w:hAnsi="Georgia" w:cs="Georgia"/>
          <w:b/>
          <w:bCs/>
          <w:sz w:val="22"/>
          <w:szCs w:val="22"/>
        </w:rPr>
        <w:t>IV</w:t>
      </w:r>
      <w:r w:rsidR="00380055" w:rsidRPr="00441C9F">
        <w:rPr>
          <w:rFonts w:ascii="Georgia" w:eastAsia="Georgia" w:hAnsi="Georgia" w:cs="Georgia"/>
          <w:b/>
          <w:bCs/>
          <w:sz w:val="22"/>
          <w:szCs w:val="22"/>
        </w:rPr>
        <w:t>.</w:t>
      </w:r>
      <w:bookmarkEnd w:id="9"/>
    </w:p>
    <w:p w:rsidR="00397355" w:rsidRDefault="00380055">
      <w:pPr>
        <w:pStyle w:val="Heading40"/>
        <w:keepNext/>
        <w:keepLines/>
        <w:shd w:val="clear" w:color="auto" w:fill="auto"/>
      </w:pPr>
      <w:bookmarkStart w:id="10" w:name="bookmark13"/>
      <w:r>
        <w:t>Úhrady za provoz</w:t>
      </w:r>
      <w:bookmarkEnd w:id="10"/>
    </w:p>
    <w:p w:rsidR="00397355" w:rsidRDefault="00380055">
      <w:pPr>
        <w:pStyle w:val="Bodytext30"/>
        <w:numPr>
          <w:ilvl w:val="0"/>
          <w:numId w:val="4"/>
        </w:numPr>
        <w:shd w:val="clear" w:color="auto" w:fill="auto"/>
        <w:tabs>
          <w:tab w:val="left" w:pos="411"/>
        </w:tabs>
        <w:spacing w:line="259" w:lineRule="auto"/>
      </w:pPr>
      <w:r>
        <w:t xml:space="preserve">Paušální úhrada za provoz výstavy a informačního místa (zejm. spotřeba elektrické energie, vodné a stočné, plyn, ostraha, údržba, průvodci, lesní pedagog, marketingové a administrativní služby apod.) se </w:t>
      </w:r>
      <w:r>
        <w:lastRenderedPageBreak/>
        <w:t xml:space="preserve">sjednává ve výši </w:t>
      </w:r>
      <w:r>
        <w:rPr>
          <w:b/>
          <w:bCs/>
          <w:sz w:val="22"/>
          <w:szCs w:val="22"/>
        </w:rPr>
        <w:t xml:space="preserve">122 580,- Kč (slovy: </w:t>
      </w:r>
      <w:proofErr w:type="spellStart"/>
      <w:r>
        <w:rPr>
          <w:b/>
          <w:bCs/>
          <w:sz w:val="22"/>
          <w:szCs w:val="22"/>
        </w:rPr>
        <w:t>jednostodvacetdvatisícpětsetosmdesát</w:t>
      </w:r>
      <w:proofErr w:type="spellEnd"/>
      <w:r>
        <w:rPr>
          <w:b/>
          <w:bCs/>
          <w:sz w:val="22"/>
          <w:szCs w:val="22"/>
        </w:rPr>
        <w:t xml:space="preserve"> korun českých) </w:t>
      </w:r>
      <w:r>
        <w:t>bez DPH za měsíc. K uvedené částce bude připočtena DPH dle příslušných právních předpisů, vznikne-li povinnost k její úhradě.</w:t>
      </w:r>
    </w:p>
    <w:p w:rsidR="00397355" w:rsidRDefault="00380055">
      <w:pPr>
        <w:pStyle w:val="Bodytext30"/>
        <w:numPr>
          <w:ilvl w:val="0"/>
          <w:numId w:val="4"/>
        </w:numPr>
        <w:shd w:val="clear" w:color="auto" w:fill="auto"/>
        <w:tabs>
          <w:tab w:val="left" w:pos="411"/>
        </w:tabs>
        <w:spacing w:line="259" w:lineRule="auto"/>
      </w:pPr>
      <w:r>
        <w:t xml:space="preserve">Bližší specifikace služeb spojených s užíváním předmětu nájmu včetně jejich kalkulace je uvedena v Příloze č. II </w:t>
      </w:r>
      <w:proofErr w:type="gramStart"/>
      <w:r>
        <w:t>této</w:t>
      </w:r>
      <w:proofErr w:type="gramEnd"/>
      <w:r>
        <w:t xml:space="preserve"> smlouvy, která je její nedílnou součástí. Úhrada za provoz může být NZM upravena po dohodě s LČR, a to v závislosti na růstu tržních cen komodit v kalkulaci zahrnutých.</w:t>
      </w:r>
    </w:p>
    <w:p w:rsidR="00397355" w:rsidRDefault="00380055">
      <w:pPr>
        <w:pStyle w:val="Bodytext30"/>
        <w:numPr>
          <w:ilvl w:val="0"/>
          <w:numId w:val="4"/>
        </w:numPr>
        <w:shd w:val="clear" w:color="auto" w:fill="auto"/>
        <w:tabs>
          <w:tab w:val="left" w:pos="411"/>
        </w:tabs>
        <w:spacing w:line="266" w:lineRule="auto"/>
      </w:pPr>
      <w:r>
        <w:t>Paušální úhrada za služby spojené s provozem a realizací výstavy je splatná vždy nejpozději do 30. dne příslušného kalendářního měsíce, a to na bankovní účet NZM uvedený v záhlaví této smlouvy.</w:t>
      </w:r>
    </w:p>
    <w:p w:rsidR="00397355" w:rsidRDefault="00380055">
      <w:pPr>
        <w:pStyle w:val="Bodytext30"/>
        <w:numPr>
          <w:ilvl w:val="0"/>
          <w:numId w:val="4"/>
        </w:numPr>
        <w:shd w:val="clear" w:color="auto" w:fill="auto"/>
        <w:tabs>
          <w:tab w:val="left" w:pos="411"/>
        </w:tabs>
        <w:spacing w:line="269" w:lineRule="auto"/>
      </w:pPr>
      <w:r>
        <w:t>Veškeré platby dle této smlouvy se považují za včas uhrazené, pokud jsou nejpozději poslední den jejich splatnosti připsány ve prospěch účtu oprávněné smluvní strany.</w:t>
      </w:r>
    </w:p>
    <w:p w:rsidR="00397355" w:rsidRDefault="00380055">
      <w:pPr>
        <w:pStyle w:val="Bodytext30"/>
        <w:numPr>
          <w:ilvl w:val="0"/>
          <w:numId w:val="4"/>
        </w:numPr>
        <w:shd w:val="clear" w:color="auto" w:fill="auto"/>
        <w:tabs>
          <w:tab w:val="left" w:pos="411"/>
        </w:tabs>
        <w:spacing w:after="480" w:line="266" w:lineRule="auto"/>
      </w:pPr>
      <w:r>
        <w:t>Pro případ prodlení LČR s plněním peněžitých závazků dle této smlouvy delšího než 10 kalendářních dnů sjednávají smluvní strany úrok z prodlení ve výši 0,05 % z dlužné částky za každý den prodlení.</w:t>
      </w:r>
    </w:p>
    <w:p w:rsidR="00397355" w:rsidRDefault="00380055">
      <w:pPr>
        <w:pStyle w:val="Heading40"/>
        <w:keepNext/>
        <w:keepLines/>
        <w:shd w:val="clear" w:color="auto" w:fill="auto"/>
        <w:spacing w:after="0"/>
        <w:ind w:left="4460"/>
        <w:jc w:val="left"/>
      </w:pPr>
      <w:bookmarkStart w:id="11" w:name="bookmark14"/>
      <w:r>
        <w:t>V.</w:t>
      </w:r>
      <w:bookmarkEnd w:id="11"/>
    </w:p>
    <w:p w:rsidR="00397355" w:rsidRDefault="00380055">
      <w:pPr>
        <w:pStyle w:val="Heading40"/>
        <w:keepNext/>
        <w:keepLines/>
        <w:shd w:val="clear" w:color="auto" w:fill="auto"/>
      </w:pPr>
      <w:bookmarkStart w:id="12" w:name="bookmark15"/>
      <w:r>
        <w:t>Práva a povinnosti smluvních stran</w:t>
      </w:r>
      <w:bookmarkEnd w:id="12"/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11"/>
        </w:tabs>
      </w:pPr>
      <w:r>
        <w:t>LČR berou na vědomí, že ve výstavních prostorách a v budově, kde jsou výstavní prostory umístěny, platí interní předpisy NZM týkající se návštěvnosti, provozu, bezpečnosti a ochrany zdraví při práci, požární ochrany a odpadu. Smluvní strany se tímto zavazují, že vyvinou vzájemnou veškerou potřebnou součinnost, aby LČR byly ke dni podpisu této smlouvy s relevantními předpisy NZM výše uvedenými seznámeny. LČR se zavazují, že tyto předpisy budou po dobu trvání spolupráce dodržovat. LČR budou dále dodržovat také jakékoliv další relevantní interní předpisy vztahující se k výstavním prostorám a budově, kde jsou výstavní prostory umístěny, NZM nově vydané, a to ode dne, kdy s nimi budou seznámeny.</w:t>
      </w:r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11"/>
        </w:tabs>
        <w:spacing w:line="252" w:lineRule="auto"/>
      </w:pPr>
      <w:r>
        <w:t>NZM se zavazuje umožnit LČR přístup do výstavních prostor a informačního místa v otevírací době muzea, případně i v jiné době dohodnuté smluvními stranami.</w:t>
      </w:r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11"/>
        </w:tabs>
        <w:spacing w:line="269" w:lineRule="auto"/>
      </w:pPr>
      <w:r>
        <w:t>NZM zůstává zachováno právo neomezeného přístupu do výstavních prostor po celou dobu trvání této smlouvy.</w:t>
      </w:r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11"/>
        </w:tabs>
        <w:spacing w:line="266" w:lineRule="auto"/>
      </w:pPr>
      <w:r>
        <w:t xml:space="preserve">Nebude-li mezi smluvními stranami ujednáno jinak, jsou LČR povinny po skončení spolupráce dle této smlouvy výstavu a informační místo vyklidit a výstavní prostory odevzdat zpět NZM v původním stavu při zohlednění běžného opotřebení. </w:t>
      </w:r>
      <w:r>
        <w:rPr>
          <w:b/>
          <w:bCs/>
          <w:sz w:val="22"/>
          <w:szCs w:val="22"/>
        </w:rPr>
        <w:t xml:space="preserve">0 </w:t>
      </w:r>
      <w:proofErr w:type="gramStart"/>
      <w:r>
        <w:t>tomto</w:t>
      </w:r>
      <w:proofErr w:type="gramEnd"/>
      <w:r>
        <w:t xml:space="preserve"> bude mezi smluvními stranami sepsán protokol.</w:t>
      </w:r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11"/>
        </w:tabs>
        <w:spacing w:line="269" w:lineRule="auto"/>
      </w:pPr>
      <w:r>
        <w:t>LČR zajistí, aby provozem výstavy Lesníkův rok a informačního místa nebyl omezen přístup do expozice Myslivost.</w:t>
      </w:r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11"/>
        </w:tabs>
      </w:pPr>
      <w:r>
        <w:t xml:space="preserve">LČR jsou oprávněny provádět stavební úpravy ve výstavních prostorách pouze s předchozím písemným souhlasem NZM, a to na svůj náklad, nebude-li mezi smluvními stranami ujednáno jinak. Pro případné stavební úpravy prováděné LČR prostřednictvím třetích osob, bude mezi LČR a třetí osobou použit předávací protokol, který je jako Příloha č. </w:t>
      </w:r>
      <w:proofErr w:type="gramStart"/>
      <w:r>
        <w:t>III</w:t>
      </w:r>
      <w:proofErr w:type="gramEnd"/>
      <w:r>
        <w:t xml:space="preserve"> nedílnou součástí této smlouvy. Jeden ze strany LČR a třetí osoby podepsaný výtisk předávacího protokolu pak bude bez zbytečného odkladu LČR předán NZM.</w:t>
      </w:r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37"/>
        </w:tabs>
      </w:pPr>
      <w:r>
        <w:t>LČR jsou povinny neprodleně písemně oznámit NZM veškeré závady, které by bránily užívání výstavních prostor.</w:t>
      </w:r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37"/>
        </w:tabs>
      </w:pPr>
      <w:r>
        <w:t>LČR nejsou oprávněny poskytnout výstavní prostor k užívání třetí osobě bez předchozího písemného souhlasu NZM.</w:t>
      </w:r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37"/>
        </w:tabs>
        <w:spacing w:line="266" w:lineRule="auto"/>
      </w:pPr>
      <w:r>
        <w:lastRenderedPageBreak/>
        <w:t>LČR odpovídají za případnou škodu způsobenou užíváním výstavních prostor, popř. v souvislosti s ním, dle této smlouvy. LČR odpovídají NZM v plném rozsahu také za škodu způsobenou třetími osobami nacházejícími se ve výstavních prostorách na pokyn LČR (např. poddodavatelé LČR) a podílejícími se na instalaci, úpravách či opravách výstavy Lesníkův rok.</w:t>
      </w:r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37"/>
        </w:tabs>
      </w:pPr>
      <w:r>
        <w:t>LČR se výslovně zavazují, že jeho zaměstnanci i třetí osoby nacházející se ve výstavních prostorách na pokyn LČR (např. poddodavatelé LČR) a podílející se na instalaci, úpravách, popř. opravách, výstavy Lesníkův rok, se budou přiměřeně řídit návštěvnickým a provozním řádem NZM, které jsou jako Přílohy č. IV a č. V nedílnou součástí této smlouvy, stejně jako budou respektovat pokyny NZM.</w:t>
      </w:r>
    </w:p>
    <w:p w:rsidR="00397355" w:rsidRDefault="00380055">
      <w:pPr>
        <w:pStyle w:val="Bodytext30"/>
        <w:numPr>
          <w:ilvl w:val="0"/>
          <w:numId w:val="5"/>
        </w:numPr>
        <w:shd w:val="clear" w:color="auto" w:fill="auto"/>
        <w:tabs>
          <w:tab w:val="left" w:pos="437"/>
        </w:tabs>
        <w:spacing w:after="480"/>
      </w:pPr>
      <w:r>
        <w:t>Běžná (i ostatní) údržba a opravy výstavních prostor a budovy, ve které se výstavní prostory nachází, jsou zajišťovány NZM.</w:t>
      </w:r>
    </w:p>
    <w:p w:rsidR="00397355" w:rsidRDefault="00380055">
      <w:pPr>
        <w:pStyle w:val="Heading40"/>
        <w:keepNext/>
        <w:keepLines/>
        <w:shd w:val="clear" w:color="auto" w:fill="auto"/>
        <w:spacing w:after="0"/>
        <w:ind w:left="4440"/>
        <w:jc w:val="left"/>
      </w:pPr>
      <w:bookmarkStart w:id="13" w:name="bookmark16"/>
      <w:r>
        <w:t>VI.</w:t>
      </w:r>
      <w:bookmarkEnd w:id="13"/>
    </w:p>
    <w:p w:rsidR="00397355" w:rsidRDefault="00380055">
      <w:pPr>
        <w:pStyle w:val="Heading40"/>
        <w:keepNext/>
        <w:keepLines/>
        <w:shd w:val="clear" w:color="auto" w:fill="auto"/>
      </w:pPr>
      <w:bookmarkStart w:id="14" w:name="bookmark17"/>
      <w:r>
        <w:t>Další ujednání</w:t>
      </w:r>
      <w:bookmarkEnd w:id="14"/>
    </w:p>
    <w:p w:rsidR="00397355" w:rsidRDefault="00380055">
      <w:pPr>
        <w:pStyle w:val="Bodytext30"/>
        <w:numPr>
          <w:ilvl w:val="0"/>
          <w:numId w:val="6"/>
        </w:numPr>
        <w:shd w:val="clear" w:color="auto" w:fill="auto"/>
        <w:tabs>
          <w:tab w:val="left" w:pos="437"/>
        </w:tabs>
      </w:pPr>
      <w:r>
        <w:t>NZM se zavazuje zajistit, že informační místo a výstava Lesníkův rok bude přístupna široké veřejnosti, a to po celou dobu trvání spolupráce, k</w:t>
      </w:r>
      <w:r w:rsidR="0094531B">
        <w:t xml:space="preserve"> </w:t>
      </w:r>
      <w:bookmarkStart w:id="15" w:name="_GoBack"/>
      <w:bookmarkEnd w:id="15"/>
      <w:r>
        <w:t>tomu využije svých marketingových i administrativních kapacit</w:t>
      </w:r>
    </w:p>
    <w:p w:rsidR="00397355" w:rsidRDefault="00380055">
      <w:pPr>
        <w:pStyle w:val="Bodytext30"/>
        <w:numPr>
          <w:ilvl w:val="0"/>
          <w:numId w:val="6"/>
        </w:numPr>
        <w:shd w:val="clear" w:color="auto" w:fill="auto"/>
        <w:tabs>
          <w:tab w:val="left" w:pos="437"/>
        </w:tabs>
      </w:pPr>
      <w:r>
        <w:t xml:space="preserve">NZM se zavazuje zajistit, že informační místo a výstava Lesníkův rok bude přístupna veřejnosti minimálně v rozsahu otevíracích hodin pobočky Praha Národního zemědělského muzea, tj. min v rozsahu dle čl. I. odst. </w:t>
      </w:r>
      <w:r>
        <w:rPr>
          <w:i/>
          <w:iCs/>
        </w:rPr>
        <w:t>4</w:t>
      </w:r>
      <w:r>
        <w:t xml:space="preserve"> </w:t>
      </w:r>
      <w:proofErr w:type="gramStart"/>
      <w:r>
        <w:t>této</w:t>
      </w:r>
      <w:proofErr w:type="gramEnd"/>
      <w:r>
        <w:t xml:space="preserve"> smlouvy.</w:t>
      </w:r>
    </w:p>
    <w:p w:rsidR="00397355" w:rsidRDefault="00380055">
      <w:pPr>
        <w:pStyle w:val="Bodytext30"/>
        <w:numPr>
          <w:ilvl w:val="0"/>
          <w:numId w:val="6"/>
        </w:numPr>
        <w:shd w:val="clear" w:color="auto" w:fill="auto"/>
        <w:tabs>
          <w:tab w:val="left" w:pos="437"/>
        </w:tabs>
      </w:pPr>
      <w:r>
        <w:t xml:space="preserve">NZM se zavazuje zajistit po dobu trvání spolupráce pro informační místo a výstavu Lesníkův rok vždy 2 průvodce a 1 lesního pedagoga, kteří budou zejména: provádět osoby (návštěvníky) výstavou Lesníkův rok a poskytovat jim odborný výklad týkající se výstavy, seznamovat je s jednotlivými prvky výstavy a jejich významem, poskytovat informace o LČR a jeho činnosti, podílet se na akcích pořádaných LČR. Přítomnost průvodců je NZM povinen zajistit vždy minimálně v otevírací době NZM, nejméně však v rozsahu dle čl. I. odst. 4 </w:t>
      </w:r>
      <w:proofErr w:type="gramStart"/>
      <w:r>
        <w:t>této</w:t>
      </w:r>
      <w:proofErr w:type="gramEnd"/>
      <w:r>
        <w:t xml:space="preserve"> smlouvy.</w:t>
      </w:r>
    </w:p>
    <w:p w:rsidR="00397355" w:rsidRDefault="00380055">
      <w:pPr>
        <w:pStyle w:val="Bodytext30"/>
        <w:numPr>
          <w:ilvl w:val="0"/>
          <w:numId w:val="6"/>
        </w:numPr>
        <w:shd w:val="clear" w:color="auto" w:fill="auto"/>
        <w:tabs>
          <w:tab w:val="left" w:pos="437"/>
        </w:tabs>
      </w:pPr>
      <w:r>
        <w:t>LČR si vyhrazují právo činnost průvodce kdykoli kontrolovat a v případě, že budou zjištěny nedostatky v jeho činnosti, na tyto upozornit NZM, které je povinno bezodkladně zajistit jejich odstranění v souladu s požadavky LCR; v případě opakovaného zjištění nedostatků jsou LČR oprávněny požadovat změnu osoby průvodce, přičemž NZM je povinno takovému požadavku bezodkladně vyhovět a vybrat jinou vhodnou osobu průvodce.</w:t>
      </w:r>
    </w:p>
    <w:p w:rsidR="00397355" w:rsidRDefault="00380055">
      <w:pPr>
        <w:pStyle w:val="Bodytext30"/>
        <w:numPr>
          <w:ilvl w:val="0"/>
          <w:numId w:val="6"/>
        </w:numPr>
        <w:shd w:val="clear" w:color="auto" w:fill="auto"/>
        <w:tabs>
          <w:tab w:val="left" w:pos="322"/>
        </w:tabs>
        <w:spacing w:line="266" w:lineRule="auto"/>
      </w:pPr>
      <w:r>
        <w:t>NZM se zavazuje zajistit popularizaci informačního místa a výstavy na interních nosičích (webové stránky, tištěné materiály, rozhlasové, popřípadě televizní vstupy a další propagaci na běžných sociálních sítích, a to zejména pro zajištění vysoké návštěvnosti veřejnosti). K tomu je dále NZM otevřeno velmi široce spolupracovat s LČR.</w:t>
      </w:r>
    </w:p>
    <w:p w:rsidR="00397355" w:rsidRPr="00441C9F" w:rsidRDefault="00380055">
      <w:pPr>
        <w:pStyle w:val="Heading10"/>
        <w:keepNext/>
        <w:keepLines/>
        <w:shd w:val="clear" w:color="auto" w:fill="auto"/>
        <w:ind w:left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bookmarkStart w:id="16" w:name="bookmark18"/>
      <w:r w:rsidRPr="00441C9F">
        <w:rPr>
          <w:rFonts w:ascii="Georgia" w:eastAsia="Georgia" w:hAnsi="Georgia" w:cs="Georgia"/>
          <w:b/>
          <w:bCs/>
          <w:sz w:val="22"/>
          <w:szCs w:val="22"/>
        </w:rPr>
        <w:t>VII.</w:t>
      </w:r>
      <w:bookmarkEnd w:id="16"/>
    </w:p>
    <w:p w:rsidR="00397355" w:rsidRDefault="00380055">
      <w:pPr>
        <w:pStyle w:val="Heading40"/>
        <w:keepNext/>
        <w:keepLines/>
        <w:shd w:val="clear" w:color="auto" w:fill="auto"/>
      </w:pPr>
      <w:bookmarkStart w:id="17" w:name="bookmark19"/>
      <w:r>
        <w:t>Ukončení spolupráce</w:t>
      </w:r>
      <w:bookmarkEnd w:id="17"/>
    </w:p>
    <w:p w:rsidR="00397355" w:rsidRDefault="00380055">
      <w:pPr>
        <w:pStyle w:val="Bodytext30"/>
        <w:shd w:val="clear" w:color="auto" w:fill="auto"/>
        <w:spacing w:line="262" w:lineRule="auto"/>
      </w:pPr>
      <w:r>
        <w:t>Spolupráce dle této smlouvy skončí:</w:t>
      </w:r>
    </w:p>
    <w:p w:rsidR="00397355" w:rsidRDefault="00380055">
      <w:pPr>
        <w:pStyle w:val="Bodytext30"/>
        <w:numPr>
          <w:ilvl w:val="0"/>
          <w:numId w:val="7"/>
        </w:numPr>
        <w:shd w:val="clear" w:color="auto" w:fill="auto"/>
        <w:tabs>
          <w:tab w:val="left" w:pos="427"/>
        </w:tabs>
        <w:spacing w:after="0" w:line="262" w:lineRule="auto"/>
        <w:ind w:left="460" w:hanging="460"/>
      </w:pPr>
      <w:r>
        <w:t>uplynutím doby, na níž byla sjednána, nedohodnou-li se smluvní strany v dodatku k této smlouvě jinak,</w:t>
      </w:r>
    </w:p>
    <w:p w:rsidR="00397355" w:rsidRDefault="00380055">
      <w:pPr>
        <w:pStyle w:val="Bodytext30"/>
        <w:numPr>
          <w:ilvl w:val="0"/>
          <w:numId w:val="7"/>
        </w:numPr>
        <w:shd w:val="clear" w:color="auto" w:fill="auto"/>
        <w:tabs>
          <w:tab w:val="left" w:pos="427"/>
        </w:tabs>
        <w:spacing w:after="0" w:line="262" w:lineRule="auto"/>
      </w:pPr>
      <w:r>
        <w:t>písemnou dohodou smluvních stran,</w:t>
      </w:r>
    </w:p>
    <w:p w:rsidR="00397355" w:rsidRDefault="00380055">
      <w:pPr>
        <w:pStyle w:val="Bodytext30"/>
        <w:numPr>
          <w:ilvl w:val="0"/>
          <w:numId w:val="7"/>
        </w:numPr>
        <w:shd w:val="clear" w:color="auto" w:fill="auto"/>
        <w:tabs>
          <w:tab w:val="left" w:pos="427"/>
        </w:tabs>
        <w:spacing w:after="0" w:line="262" w:lineRule="auto"/>
        <w:ind w:left="460" w:hanging="460"/>
      </w:pPr>
      <w:r>
        <w:t>písemnou výpovědí učiněnou kteroukoli ze smluvních stran, a to i bez uvedení důvodu, s dvouměsíční výpovědní dobou; výpovědní doba počíná běžet prvním dnem měsíce následujícího po měsíci, v němž byla výpověď doručena druhé smluvní straně,</w:t>
      </w:r>
    </w:p>
    <w:p w:rsidR="00397355" w:rsidRDefault="00380055">
      <w:pPr>
        <w:pStyle w:val="Bodytext30"/>
        <w:numPr>
          <w:ilvl w:val="0"/>
          <w:numId w:val="7"/>
        </w:numPr>
        <w:shd w:val="clear" w:color="auto" w:fill="auto"/>
        <w:tabs>
          <w:tab w:val="left" w:pos="427"/>
        </w:tabs>
        <w:spacing w:after="480" w:line="262" w:lineRule="auto"/>
        <w:ind w:left="460" w:hanging="460"/>
      </w:pPr>
      <w:r>
        <w:t>jiným způsobem předvídaným obecně závaznými právními předpisy, zejména občanským zákoníkem.</w:t>
      </w:r>
    </w:p>
    <w:p w:rsidR="00397355" w:rsidRDefault="00380055">
      <w:pPr>
        <w:pStyle w:val="Heading40"/>
        <w:keepNext/>
        <w:keepLines/>
        <w:shd w:val="clear" w:color="auto" w:fill="auto"/>
        <w:spacing w:after="0"/>
      </w:pPr>
      <w:bookmarkStart w:id="18" w:name="bookmark20"/>
      <w:r>
        <w:lastRenderedPageBreak/>
        <w:t>VIII.</w:t>
      </w:r>
      <w:bookmarkEnd w:id="18"/>
    </w:p>
    <w:p w:rsidR="00397355" w:rsidRDefault="00380055">
      <w:pPr>
        <w:pStyle w:val="Heading40"/>
        <w:keepNext/>
        <w:keepLines/>
        <w:shd w:val="clear" w:color="auto" w:fill="auto"/>
      </w:pPr>
      <w:bookmarkStart w:id="19" w:name="bookmark21"/>
      <w:proofErr w:type="spellStart"/>
      <w:r>
        <w:t>Criminal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doložka</w:t>
      </w:r>
      <w:bookmarkEnd w:id="19"/>
    </w:p>
    <w:p w:rsidR="00397355" w:rsidRDefault="00380055">
      <w:pPr>
        <w:pStyle w:val="Bodytext30"/>
        <w:numPr>
          <w:ilvl w:val="0"/>
          <w:numId w:val="8"/>
        </w:numPr>
        <w:shd w:val="clear" w:color="auto" w:fill="auto"/>
        <w:tabs>
          <w:tab w:val="left" w:pos="427"/>
        </w:tabs>
      </w:pPr>
      <w:r>
        <w:t>Smluvní strany níže svým podpisem stvrzují, že v průběhu vyjednávání o této smlouvě vždy jednaly a postupovaly čestně a transparentně, a současně se zavazují, že takto budou jednat i při plnění této smlouvy a veškerých činnostech s ní souvisejících.</w:t>
      </w:r>
    </w:p>
    <w:p w:rsidR="00397355" w:rsidRDefault="00380055">
      <w:pPr>
        <w:pStyle w:val="Bodytext30"/>
        <w:numPr>
          <w:ilvl w:val="0"/>
          <w:numId w:val="8"/>
        </w:numPr>
        <w:shd w:val="clear" w:color="auto" w:fill="auto"/>
        <w:tabs>
          <w:tab w:val="left" w:pos="427"/>
        </w:tabs>
        <w:spacing w:after="220"/>
      </w:pPr>
      <w:r>
        <w:t>Smluvní strany se dále zavazují vždy jednat tak a přijmout taková opatření, aby nedošlo ke vzniku důvodného podezření na spáchání trestného činu či k samotnému jeho spáchání (včetně formy účastenství), v důsledku tedy jednat tak, aby kterékoli ze smluvních stran nemohla být přičtena odpovědnost podle zákona č. 418/2011 Sb., o trestní odpovědnosti právnických osob a řízení proti nim, ve znění pozdějších předpisů, nebo nevznikla trestní odpovědnost fyzických osob (včetně zaměstnanců) podle zákona č. 40/2009 Sb., trestní zákoník, ve znění pozdějších předpisů, případně aby nebylo zahájeno trestní stíhání proti jakékoliv ze smluvních stran včetně jejích zaměstnanců podle platných a účinných právních předpisů.</w:t>
      </w:r>
    </w:p>
    <w:p w:rsidR="00397355" w:rsidRDefault="00380055">
      <w:pPr>
        <w:pStyle w:val="Bodytext30"/>
        <w:numPr>
          <w:ilvl w:val="0"/>
          <w:numId w:val="8"/>
        </w:numPr>
        <w:shd w:val="clear" w:color="auto" w:fill="auto"/>
        <w:tabs>
          <w:tab w:val="left" w:pos="427"/>
        </w:tabs>
        <w:spacing w:after="480"/>
      </w:pPr>
      <w:r>
        <w:t xml:space="preserve">LČR za tímto účelem vytvořil tzv.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Program Lesů České republiky,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(viz </w:t>
      </w:r>
      <w:hyperlink r:id="rId11" w:history="1">
        <w:r>
          <w:rPr>
            <w:lang w:val="en-US" w:eastAsia="en-US" w:bidi="en-US"/>
          </w:rPr>
          <w:t>www.lesycr.cz</w:t>
        </w:r>
      </w:hyperlink>
      <w:r>
        <w:rPr>
          <w:lang w:val="en-US" w:eastAsia="en-US" w:bidi="en-US"/>
        </w:rPr>
        <w:t xml:space="preserve">), </w:t>
      </w:r>
      <w:r>
        <w:t>a v jeho rámci přijal závazek vymezovat se proti jakémukoli protiprávnímu a neetickému jednání a nastavil postupy k prevenci a odhalování takového jednání.</w:t>
      </w:r>
    </w:p>
    <w:p w:rsidR="00397355" w:rsidRDefault="00380055">
      <w:pPr>
        <w:pStyle w:val="Heading40"/>
        <w:keepNext/>
        <w:keepLines/>
        <w:shd w:val="clear" w:color="auto" w:fill="auto"/>
        <w:spacing w:after="0"/>
      </w:pPr>
      <w:bookmarkStart w:id="20" w:name="bookmark22"/>
      <w:r>
        <w:t>IX.</w:t>
      </w:r>
      <w:bookmarkEnd w:id="20"/>
    </w:p>
    <w:p w:rsidR="00397355" w:rsidRDefault="00380055">
      <w:pPr>
        <w:pStyle w:val="Heading40"/>
        <w:keepNext/>
        <w:keepLines/>
        <w:shd w:val="clear" w:color="auto" w:fill="auto"/>
      </w:pPr>
      <w:bookmarkStart w:id="21" w:name="bookmark23"/>
      <w:r>
        <w:t>Závěrečná ujednání</w:t>
      </w:r>
      <w:bookmarkEnd w:id="21"/>
    </w:p>
    <w:p w:rsidR="00397355" w:rsidRDefault="00380055">
      <w:pPr>
        <w:pStyle w:val="Bodytext30"/>
        <w:numPr>
          <w:ilvl w:val="0"/>
          <w:numId w:val="9"/>
        </w:numPr>
        <w:shd w:val="clear" w:color="auto" w:fill="auto"/>
        <w:tabs>
          <w:tab w:val="left" w:pos="427"/>
        </w:tabs>
        <w:spacing w:line="259" w:lineRule="auto"/>
      </w:pPr>
      <w:r>
        <w:t>Jakékoli změny a doplňky této smlouvy je možné činit pouze formou písemných dodatků podepsaných oběma smluvními stranami.</w:t>
      </w:r>
    </w:p>
    <w:p w:rsidR="00397355" w:rsidRDefault="00380055">
      <w:pPr>
        <w:pStyle w:val="Bodytext30"/>
        <w:numPr>
          <w:ilvl w:val="0"/>
          <w:numId w:val="9"/>
        </w:numPr>
        <w:shd w:val="clear" w:color="auto" w:fill="auto"/>
        <w:tabs>
          <w:tab w:val="left" w:pos="427"/>
        </w:tabs>
      </w:pPr>
      <w:r>
        <w:t>Právní poměry vznikající z této smlouvy a přímo touto smlouvou neupravené se řídí právními předpisy ČR, zejména občanským zákoníkem, ve znění pozdějších předpisů.</w:t>
      </w:r>
    </w:p>
    <w:p w:rsidR="00397355" w:rsidRDefault="00380055">
      <w:pPr>
        <w:pStyle w:val="Bodytext30"/>
        <w:numPr>
          <w:ilvl w:val="0"/>
          <w:numId w:val="9"/>
        </w:numPr>
        <w:shd w:val="clear" w:color="auto" w:fill="auto"/>
        <w:tabs>
          <w:tab w:val="left" w:pos="427"/>
        </w:tabs>
      </w:pPr>
      <w:r>
        <w:t xml:space="preserve">Obě smluvní strany jsou oprávněny a v případech stanovených zákonem i povinny uveřejnit Smlouvu a její dodatky včetně </w:t>
      </w:r>
      <w:proofErr w:type="spellStart"/>
      <w:r>
        <w:t>metadat</w:t>
      </w:r>
      <w:proofErr w:type="spellEnd"/>
      <w:r>
        <w:t xml:space="preserve"> v rozsahu a způsobem dle zákona č. 340/2015 Sb., o zvláštních podmínkách účinnosti některých smluv, uveřejňování těchto smluv a o registru smluv (zákon o registru smluv), ve znění pozdějších předpisů (dále jen „zákon o registru smluv“). Obě smluvní strany jsou s uveřejněním smlouvy a jejích dodatků včetně </w:t>
      </w:r>
      <w:proofErr w:type="spellStart"/>
      <w:r>
        <w:t>metadat</w:t>
      </w:r>
      <w:proofErr w:type="spellEnd"/>
      <w:r>
        <w:t xml:space="preserve"> srozuměny. Uveřejnění smlouvy zajistí NZM.</w:t>
      </w:r>
    </w:p>
    <w:p w:rsidR="00397355" w:rsidRDefault="00380055">
      <w:pPr>
        <w:pStyle w:val="Bodytext30"/>
        <w:numPr>
          <w:ilvl w:val="0"/>
          <w:numId w:val="9"/>
        </w:numPr>
        <w:shd w:val="clear" w:color="auto" w:fill="auto"/>
        <w:tabs>
          <w:tab w:val="left" w:pos="427"/>
        </w:tabs>
      </w:pPr>
      <w:r>
        <w:t>Tato smlouva nabývá platnosti dnem podpisu oběma smluvními stranami a účinnosti dnem uveřejnění smlouvy v registru smluv.</w:t>
      </w:r>
      <w:r>
        <w:br w:type="page"/>
      </w:r>
    </w:p>
    <w:p w:rsidR="00397355" w:rsidRDefault="00380055">
      <w:pPr>
        <w:pStyle w:val="Bodytext30"/>
        <w:numPr>
          <w:ilvl w:val="0"/>
          <w:numId w:val="9"/>
        </w:numPr>
        <w:shd w:val="clear" w:color="auto" w:fill="auto"/>
        <w:tabs>
          <w:tab w:val="left" w:pos="427"/>
        </w:tabs>
      </w:pPr>
      <w:r>
        <w:lastRenderedPageBreak/>
        <w:t>Tato smlouva je vyhotovena v počtu čtyř stejnopisů, přičemž každá ze smluvních stran obdrží po dvou vyhotoveních.</w:t>
      </w:r>
    </w:p>
    <w:p w:rsidR="00397355" w:rsidRDefault="00380055">
      <w:pPr>
        <w:pStyle w:val="Bodytext30"/>
        <w:numPr>
          <w:ilvl w:val="0"/>
          <w:numId w:val="9"/>
        </w:numPr>
        <w:shd w:val="clear" w:color="auto" w:fill="auto"/>
        <w:tabs>
          <w:tab w:val="left" w:pos="427"/>
        </w:tabs>
        <w:spacing w:after="740" w:line="266" w:lineRule="auto"/>
      </w:pPr>
      <w:r>
        <w:t>Smluvní strany prohlašují, že si tuto smlouvu přečetly, souhlasí s jejím obsahem, který vyjadřuje jejich pravou a svobodnou vůli, neuzavírají ji v tísni či nápadně nevýhodných podmínek a na důkaz toho připojují vlastnoruční podpisy svých oprávněných zástupců.</w:t>
      </w:r>
    </w:p>
    <w:p w:rsidR="00397355" w:rsidRDefault="00380055">
      <w:pPr>
        <w:pStyle w:val="Bodytext30"/>
        <w:shd w:val="clear" w:color="auto" w:fill="auto"/>
        <w:spacing w:after="260" w:line="240" w:lineRule="auto"/>
      </w:pPr>
      <w:r>
        <w:rPr>
          <w:u w:val="single"/>
        </w:rPr>
        <w:t>Přílohy</w:t>
      </w:r>
      <w:r>
        <w:t>:</w:t>
      </w:r>
    </w:p>
    <w:p w:rsidR="00397355" w:rsidRDefault="00380055">
      <w:pPr>
        <w:pStyle w:val="Bodytext30"/>
        <w:shd w:val="clear" w:color="auto" w:fill="auto"/>
        <w:spacing w:after="0"/>
        <w:ind w:right="4280"/>
        <w:jc w:val="left"/>
      </w:pPr>
      <w:r>
        <w:t>Příloha č. I: Plánek se zakreslením výstavního sálu Příloha č. II: Kalkulace nákladů na služby Příloha č. III: Předávací protokol Příloha č. IV: Návštěvnický řád NZM Příloha č. V: Provozní řád NZM</w:t>
      </w:r>
    </w:p>
    <w:p w:rsidR="0076797D" w:rsidRDefault="0076797D">
      <w:pPr>
        <w:pStyle w:val="Bodytext30"/>
        <w:shd w:val="clear" w:color="auto" w:fill="auto"/>
        <w:spacing w:after="0"/>
        <w:ind w:right="4280"/>
        <w:jc w:val="left"/>
      </w:pPr>
    </w:p>
    <w:p w:rsidR="0076797D" w:rsidRDefault="0076797D">
      <w:pPr>
        <w:pStyle w:val="Bodytext30"/>
        <w:shd w:val="clear" w:color="auto" w:fill="auto"/>
        <w:spacing w:after="0"/>
        <w:ind w:right="4280"/>
        <w:jc w:val="left"/>
      </w:pPr>
    </w:p>
    <w:p w:rsidR="0076797D" w:rsidRDefault="0076797D">
      <w:pPr>
        <w:pStyle w:val="Bodytext30"/>
        <w:shd w:val="clear" w:color="auto" w:fill="auto"/>
        <w:spacing w:after="0"/>
        <w:ind w:right="4280"/>
        <w:jc w:val="left"/>
      </w:pPr>
    </w:p>
    <w:p w:rsidR="0076797D" w:rsidRPr="009911C3" w:rsidRDefault="0076797D" w:rsidP="0076797D">
      <w:pPr>
        <w:rPr>
          <w:rFonts w:ascii="Georgia" w:hAnsi="Georgia"/>
        </w:rPr>
      </w:pPr>
      <w:proofErr w:type="gramStart"/>
      <w:r w:rsidRPr="009911C3">
        <w:rPr>
          <w:rFonts w:ascii="Georgia" w:hAnsi="Georgia"/>
        </w:rPr>
        <w:t>V </w:t>
      </w:r>
      <w:r>
        <w:rPr>
          <w:rFonts w:ascii="Georgia" w:hAnsi="Georgia"/>
        </w:rPr>
        <w:t xml:space="preserve">                </w:t>
      </w:r>
      <w:r w:rsidRPr="009911C3">
        <w:rPr>
          <w:rFonts w:ascii="Georgia" w:hAnsi="Georgia"/>
        </w:rPr>
        <w:t xml:space="preserve"> dne ................</w:t>
      </w:r>
      <w:r w:rsidRPr="009911C3">
        <w:rPr>
          <w:rFonts w:ascii="Georgia" w:hAnsi="Georgia"/>
        </w:rPr>
        <w:tab/>
      </w:r>
      <w:r w:rsidRPr="009911C3">
        <w:rPr>
          <w:rFonts w:ascii="Georgia" w:hAnsi="Georgia"/>
        </w:rPr>
        <w:tab/>
      </w:r>
      <w:r w:rsidRPr="009911C3">
        <w:rPr>
          <w:rFonts w:ascii="Georgia" w:hAnsi="Georgia"/>
        </w:rPr>
        <w:tab/>
        <w:t xml:space="preserve">           </w:t>
      </w:r>
      <w:r w:rsidR="004C0E85">
        <w:rPr>
          <w:rFonts w:ascii="Georgia" w:hAnsi="Georgia"/>
        </w:rPr>
        <w:tab/>
      </w:r>
      <w:r w:rsidR="004C0E85">
        <w:rPr>
          <w:rFonts w:ascii="Georgia" w:hAnsi="Georgia"/>
        </w:rPr>
        <w:tab/>
      </w:r>
      <w:r w:rsidRPr="009911C3">
        <w:rPr>
          <w:rFonts w:ascii="Georgia" w:hAnsi="Georgia"/>
        </w:rPr>
        <w:t>V </w:t>
      </w:r>
      <w:r>
        <w:rPr>
          <w:rFonts w:ascii="Georgia" w:hAnsi="Georgia"/>
        </w:rPr>
        <w:t xml:space="preserve">                    </w:t>
      </w:r>
      <w:r w:rsidRPr="009911C3">
        <w:rPr>
          <w:rFonts w:ascii="Georgia" w:hAnsi="Georgia"/>
        </w:rPr>
        <w:t xml:space="preserve"> dne</w:t>
      </w:r>
      <w:proofErr w:type="gramEnd"/>
      <w:r w:rsidRPr="009911C3">
        <w:rPr>
          <w:rFonts w:ascii="Georgia" w:hAnsi="Georgia"/>
        </w:rPr>
        <w:t xml:space="preserve"> ............... </w:t>
      </w:r>
    </w:p>
    <w:p w:rsidR="0076797D" w:rsidRPr="009911C3" w:rsidRDefault="0076797D" w:rsidP="0076797D">
      <w:pPr>
        <w:rPr>
          <w:rFonts w:ascii="Georgia" w:hAnsi="Georgia"/>
        </w:rPr>
      </w:pPr>
    </w:p>
    <w:p w:rsidR="0076797D" w:rsidRDefault="0076797D" w:rsidP="0076797D">
      <w:pPr>
        <w:rPr>
          <w:rFonts w:ascii="Georgia" w:hAnsi="Georgia"/>
        </w:rPr>
      </w:pPr>
    </w:p>
    <w:p w:rsidR="0076797D" w:rsidRDefault="0076797D" w:rsidP="0076797D">
      <w:pPr>
        <w:rPr>
          <w:rFonts w:ascii="Georgia" w:hAnsi="Georgia"/>
        </w:rPr>
      </w:pPr>
    </w:p>
    <w:p w:rsidR="0076797D" w:rsidRDefault="0076797D" w:rsidP="0076797D">
      <w:pPr>
        <w:rPr>
          <w:rFonts w:ascii="Georgia" w:hAnsi="Georgia"/>
        </w:rPr>
      </w:pPr>
    </w:p>
    <w:p w:rsidR="0076797D" w:rsidRPr="009911C3" w:rsidRDefault="0076797D" w:rsidP="0076797D">
      <w:pPr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……………………………………………………….                            ……………………………………….</w:t>
      </w:r>
    </w:p>
    <w:p w:rsidR="0076797D" w:rsidRDefault="0076797D" w:rsidP="0076797D">
      <w:pPr>
        <w:pStyle w:val="Heading40"/>
        <w:keepNext/>
        <w:keepLines/>
        <w:shd w:val="clear" w:color="auto" w:fill="auto"/>
        <w:spacing w:after="0" w:line="480" w:lineRule="auto"/>
        <w:jc w:val="both"/>
      </w:pPr>
      <w:r w:rsidRPr="009911C3">
        <w:t xml:space="preserve">Národní zemědělské muzeum, </w:t>
      </w:r>
      <w:proofErr w:type="spellStart"/>
      <w:proofErr w:type="gramStart"/>
      <w:r w:rsidRPr="009911C3">
        <w:t>s.p.</w:t>
      </w:r>
      <w:proofErr w:type="gramEnd"/>
      <w:r w:rsidRPr="009911C3">
        <w:t>o</w:t>
      </w:r>
      <w:proofErr w:type="spellEnd"/>
      <w:r w:rsidRPr="009911C3">
        <w:t>.</w:t>
      </w:r>
      <w:r w:rsidRPr="009911C3">
        <w:tab/>
      </w:r>
      <w:r w:rsidRPr="009911C3">
        <w:tab/>
        <w:t xml:space="preserve">       </w:t>
      </w:r>
      <w:r w:rsidRPr="009911C3">
        <w:tab/>
        <w:t xml:space="preserve">  </w:t>
      </w:r>
      <w:r>
        <w:t xml:space="preserve">Lesy České republiky,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76797D" w:rsidRPr="009911C3" w:rsidRDefault="0076797D" w:rsidP="0076797D">
      <w:pPr>
        <w:rPr>
          <w:rFonts w:ascii="Georgia" w:hAnsi="Georgia"/>
          <w:b/>
          <w:bCs/>
        </w:rPr>
      </w:pPr>
    </w:p>
    <w:p w:rsidR="0076797D" w:rsidRDefault="0076797D">
      <w:pPr>
        <w:pStyle w:val="Bodytext30"/>
        <w:shd w:val="clear" w:color="auto" w:fill="auto"/>
        <w:spacing w:after="0"/>
        <w:ind w:right="4280"/>
        <w:jc w:val="left"/>
      </w:pPr>
    </w:p>
    <w:p w:rsidR="00397355" w:rsidRDefault="00380055">
      <w:pPr>
        <w:spacing w:line="14" w:lineRule="exact"/>
      </w:pPr>
      <w:r>
        <w:rPr>
          <w:rFonts w:ascii="Georgia" w:eastAsia="Georgia" w:hAnsi="Georgia" w:cs="Georgia"/>
          <w:noProof/>
          <w:sz w:val="20"/>
          <w:szCs w:val="20"/>
          <w:lang w:bidi="ar-SA"/>
        </w:rPr>
        <mc:AlternateContent>
          <mc:Choice Requires="wps">
            <w:drawing>
              <wp:anchor distT="375920" distB="765175" distL="114300" distR="5146675" simplePos="0" relativeHeight="125829384" behindDoc="0" locked="0" layoutInCell="1" allowOverlap="1" wp14:anchorId="2C1963BC" wp14:editId="6513FEA2">
                <wp:simplePos x="0" y="0"/>
                <wp:positionH relativeFrom="page">
                  <wp:posOffset>803275</wp:posOffset>
                </wp:positionH>
                <wp:positionV relativeFrom="paragraph">
                  <wp:posOffset>384810</wp:posOffset>
                </wp:positionV>
                <wp:extent cx="801370" cy="1676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355" w:rsidRDefault="00397355">
                            <w:pPr>
                              <w:pStyle w:val="Bodytext3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1963BC" id="Shape 7" o:spid="_x0000_s1029" type="#_x0000_t202" style="position:absolute;margin-left:63.25pt;margin-top:30.3pt;width:63.1pt;height:13.2pt;z-index:125829384;visibility:visible;mso-wrap-style:square;mso-wrap-distance-left:9pt;mso-wrap-distance-top:29.6pt;mso-wrap-distance-right:405.25pt;mso-wrap-distance-bottom:60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" filled="f" stroked="f">
                <v:textbox inset="0,0,0,0">
                  <w:txbxContent>
                    <w:p w:rsidR="00397355" w:rsidRDefault="00397355">
                      <w:pPr>
                        <w:pStyle w:val="Bodytext30"/>
                        <w:shd w:val="clear" w:color="auto" w:fill="auto"/>
                        <w:spacing w:after="0"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Georgia" w:eastAsia="Georgia" w:hAnsi="Georgia" w:cs="Georgi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 wp14:anchorId="4B1C76CD" wp14:editId="1E066A2C">
                <wp:simplePos x="0" y="0"/>
                <wp:positionH relativeFrom="page">
                  <wp:posOffset>4003675</wp:posOffset>
                </wp:positionH>
                <wp:positionV relativeFrom="paragraph">
                  <wp:posOffset>381635</wp:posOffset>
                </wp:positionV>
                <wp:extent cx="1298575" cy="1676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355" w:rsidRDefault="00397355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C76CD" id="Shape 11" o:spid="_x0000_s1030" type="#_x0000_t202" style="position:absolute;margin-left:315.25pt;margin-top:30.05pt;width:102.25pt;height:13.2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" filled="f" stroked="f">
                <v:textbox style="mso-fit-shape-to-text:t" inset="0,0,0,0">
                  <w:txbxContent>
                    <w:p w:rsidR="00397355" w:rsidRDefault="00397355">
                      <w:pPr>
                        <w:pStyle w:val="Picturecaption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7355" w:rsidRDefault="00397355">
      <w:pPr>
        <w:pStyle w:val="Bodytext30"/>
        <w:shd w:val="clear" w:color="auto" w:fill="auto"/>
        <w:spacing w:after="120"/>
        <w:ind w:left="1800" w:right="1180" w:firstLine="20"/>
        <w:jc w:val="left"/>
      </w:pPr>
    </w:p>
    <w:p w:rsidR="00397355" w:rsidRDefault="00397355">
      <w:pPr>
        <w:pStyle w:val="Other0"/>
        <w:shd w:val="clear" w:color="auto" w:fill="auto"/>
        <w:spacing w:after="260"/>
        <w:ind w:left="6120" w:firstLine="20"/>
        <w:jc w:val="left"/>
        <w:rPr>
          <w:sz w:val="14"/>
          <w:szCs w:val="14"/>
        </w:rPr>
      </w:pPr>
    </w:p>
    <w:p w:rsidR="00397355" w:rsidRDefault="00397355">
      <w:pPr>
        <w:pStyle w:val="Other0"/>
        <w:shd w:val="clear" w:color="auto" w:fill="auto"/>
        <w:spacing w:after="180"/>
        <w:ind w:left="6120" w:firstLine="20"/>
        <w:jc w:val="left"/>
        <w:rPr>
          <w:sz w:val="14"/>
          <w:szCs w:val="14"/>
        </w:rPr>
        <w:sectPr w:rsidR="00397355" w:rsidSect="008B33DB">
          <w:footerReference w:type="default" r:id="rId12"/>
          <w:headerReference w:type="first" r:id="rId13"/>
          <w:pgSz w:w="11900" w:h="16840"/>
          <w:pgMar w:top="2410" w:right="1383" w:bottom="897" w:left="1243" w:header="0" w:footer="3" w:gutter="0"/>
          <w:cols w:space="720"/>
          <w:noEndnote/>
          <w:titlePg/>
          <w:docGrid w:linePitch="360"/>
        </w:sectPr>
      </w:pPr>
    </w:p>
    <w:p w:rsidR="00397355" w:rsidRDefault="00397355" w:rsidP="001841EF">
      <w:pPr>
        <w:pStyle w:val="Other0"/>
        <w:framePr w:w="7622" w:h="1330" w:wrap="none" w:vAnchor="text" w:hAnchor="margin" w:x="2" w:y="21"/>
        <w:shd w:val="clear" w:color="auto" w:fill="auto"/>
        <w:spacing w:after="580"/>
        <w:jc w:val="left"/>
      </w:pPr>
    </w:p>
    <w:sectPr w:rsidR="00397355" w:rsidSect="001841EF">
      <w:headerReference w:type="default" r:id="rId14"/>
      <w:pgSz w:w="16840" w:h="11900" w:orient="landscape"/>
      <w:pgMar w:top="480" w:right="571" w:bottom="480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C1" w:rsidRDefault="007254C1">
      <w:r>
        <w:separator/>
      </w:r>
    </w:p>
  </w:endnote>
  <w:endnote w:type="continuationSeparator" w:id="0">
    <w:p w:rsidR="007254C1" w:rsidRDefault="0072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55" w:rsidRDefault="0038005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10187940</wp:posOffset>
              </wp:positionV>
              <wp:extent cx="64135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7355" w:rsidRDefault="00380055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531B" w:rsidRPr="0094531B">
                            <w:rPr>
                              <w:rFonts w:ascii="Georgia" w:eastAsia="Georgia" w:hAnsi="Georgia" w:cs="Georgia"/>
                              <w:noProof/>
                            </w:rPr>
                            <w:t>2</w:t>
                          </w:r>
                          <w:r>
                            <w:rPr>
                              <w:rFonts w:ascii="Georgia" w:eastAsia="Georgia" w:hAnsi="Georgia" w:cs="Georg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1" type="#_x0000_t202" style="position:absolute;margin-left:291.95pt;margin-top:802.2pt;width:5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" filled="f" stroked="f">
              <v:textbox style="mso-fit-shape-to-text:t" inset="0,0,0,0">
                <w:txbxContent>
                  <w:p w:rsidR="00397355" w:rsidRDefault="00380055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531B" w:rsidRPr="0094531B">
                      <w:rPr>
                        <w:rFonts w:ascii="Georgia" w:eastAsia="Georgia" w:hAnsi="Georgia" w:cs="Georgia"/>
                        <w:noProof/>
                      </w:rPr>
                      <w:t>2</w:t>
                    </w:r>
                    <w:r>
                      <w:rPr>
                        <w:rFonts w:ascii="Georgia" w:eastAsia="Georgia" w:hAnsi="Georgia" w:cs="Georg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C1" w:rsidRDefault="007254C1"/>
  </w:footnote>
  <w:footnote w:type="continuationSeparator" w:id="0">
    <w:p w:rsidR="007254C1" w:rsidRDefault="007254C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DB" w:rsidRDefault="008B33DB">
    <w:pPr>
      <w:pStyle w:val="Zhlav"/>
      <w:rPr>
        <w:noProof/>
      </w:rPr>
    </w:pPr>
  </w:p>
  <w:p w:rsidR="008B33DB" w:rsidRDefault="008B33DB">
    <w:pPr>
      <w:pStyle w:val="Zhlav"/>
      <w:rPr>
        <w:noProof/>
      </w:rPr>
    </w:pPr>
  </w:p>
  <w:p w:rsidR="008B33DB" w:rsidRDefault="008B33DB">
    <w:pPr>
      <w:pStyle w:val="Zhlav"/>
      <w:rPr>
        <w:noProof/>
      </w:rPr>
    </w:pPr>
  </w:p>
  <w:p w:rsidR="008B33DB" w:rsidRDefault="008B33DB">
    <w:pPr>
      <w:pStyle w:val="Zhlav"/>
    </w:pPr>
    <w:r>
      <w:rPr>
        <w:noProof/>
      </w:rPr>
      <w:drawing>
        <wp:inline distT="0" distB="0" distL="0" distR="0" wp14:anchorId="689FE53C" wp14:editId="592A2CC0">
          <wp:extent cx="2543175" cy="1047750"/>
          <wp:effectExtent l="0" t="0" r="0" b="0"/>
          <wp:docPr id="27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55" w:rsidRDefault="0039735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7BA"/>
    <w:multiLevelType w:val="multilevel"/>
    <w:tmpl w:val="F34EB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858F0"/>
    <w:multiLevelType w:val="multilevel"/>
    <w:tmpl w:val="7FEABA8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216A8"/>
    <w:multiLevelType w:val="multilevel"/>
    <w:tmpl w:val="A65CA20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E6832"/>
    <w:multiLevelType w:val="multilevel"/>
    <w:tmpl w:val="3AD426C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C816FE"/>
    <w:multiLevelType w:val="multilevel"/>
    <w:tmpl w:val="6F9C4D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B9314E"/>
    <w:multiLevelType w:val="multilevel"/>
    <w:tmpl w:val="67884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29690C"/>
    <w:multiLevelType w:val="multilevel"/>
    <w:tmpl w:val="58D456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943C2F"/>
    <w:multiLevelType w:val="multilevel"/>
    <w:tmpl w:val="236A15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BC7A11"/>
    <w:multiLevelType w:val="multilevel"/>
    <w:tmpl w:val="45D6880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3E571B"/>
    <w:multiLevelType w:val="multilevel"/>
    <w:tmpl w:val="BE5098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A1EC4"/>
    <w:multiLevelType w:val="multilevel"/>
    <w:tmpl w:val="FA36AED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A3583F"/>
    <w:multiLevelType w:val="multilevel"/>
    <w:tmpl w:val="68B8F4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2B3518"/>
    <w:multiLevelType w:val="multilevel"/>
    <w:tmpl w:val="51F228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300199"/>
    <w:multiLevelType w:val="multilevel"/>
    <w:tmpl w:val="CF9E9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AD6E9D"/>
    <w:multiLevelType w:val="multilevel"/>
    <w:tmpl w:val="7C2C169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C63339"/>
    <w:multiLevelType w:val="multilevel"/>
    <w:tmpl w:val="C2106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F31622"/>
    <w:multiLevelType w:val="multilevel"/>
    <w:tmpl w:val="B6128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C1028D"/>
    <w:multiLevelType w:val="multilevel"/>
    <w:tmpl w:val="222EB5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E41024"/>
    <w:multiLevelType w:val="multilevel"/>
    <w:tmpl w:val="EB1A055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3C7A57"/>
    <w:multiLevelType w:val="multilevel"/>
    <w:tmpl w:val="7082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445754"/>
    <w:multiLevelType w:val="multilevel"/>
    <w:tmpl w:val="F4341A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EE3017"/>
    <w:multiLevelType w:val="multilevel"/>
    <w:tmpl w:val="6352A02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2A037E"/>
    <w:multiLevelType w:val="multilevel"/>
    <w:tmpl w:val="56403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B4111A"/>
    <w:multiLevelType w:val="multilevel"/>
    <w:tmpl w:val="6C069E0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E93D5A"/>
    <w:multiLevelType w:val="multilevel"/>
    <w:tmpl w:val="B64CEF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C564A8"/>
    <w:multiLevelType w:val="multilevel"/>
    <w:tmpl w:val="AE0A4C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D137D1"/>
    <w:multiLevelType w:val="multilevel"/>
    <w:tmpl w:val="1AAA6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F22AB2"/>
    <w:multiLevelType w:val="multilevel"/>
    <w:tmpl w:val="6018D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B25AC7"/>
    <w:multiLevelType w:val="multilevel"/>
    <w:tmpl w:val="87D8FC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7A3602"/>
    <w:multiLevelType w:val="multilevel"/>
    <w:tmpl w:val="504621F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B05583"/>
    <w:multiLevelType w:val="multilevel"/>
    <w:tmpl w:val="8FD081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F7506F"/>
    <w:multiLevelType w:val="multilevel"/>
    <w:tmpl w:val="D1B0CA2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303CED"/>
    <w:multiLevelType w:val="multilevel"/>
    <w:tmpl w:val="02BC47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59761A"/>
    <w:multiLevelType w:val="multilevel"/>
    <w:tmpl w:val="11AAFE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0B7636"/>
    <w:multiLevelType w:val="multilevel"/>
    <w:tmpl w:val="A29CE1C2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575A4F"/>
    <w:multiLevelType w:val="multilevel"/>
    <w:tmpl w:val="B1FEED6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971B32"/>
    <w:multiLevelType w:val="multilevel"/>
    <w:tmpl w:val="02D05A6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C1771E"/>
    <w:multiLevelType w:val="multilevel"/>
    <w:tmpl w:val="3752B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4C64FF"/>
    <w:multiLevelType w:val="multilevel"/>
    <w:tmpl w:val="CB9A5D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0920BB"/>
    <w:multiLevelType w:val="multilevel"/>
    <w:tmpl w:val="C5EA5F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202D56"/>
    <w:multiLevelType w:val="multilevel"/>
    <w:tmpl w:val="CAF22D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2278A6"/>
    <w:multiLevelType w:val="multilevel"/>
    <w:tmpl w:val="970C1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6362ED"/>
    <w:multiLevelType w:val="multilevel"/>
    <w:tmpl w:val="CB0AC33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843B05"/>
    <w:multiLevelType w:val="multilevel"/>
    <w:tmpl w:val="E2C417FC"/>
    <w:lvl w:ilvl="0">
      <w:start w:val="1"/>
      <w:numFmt w:val="lowerLetter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C45028"/>
    <w:multiLevelType w:val="multilevel"/>
    <w:tmpl w:val="C3B22CC4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64028F"/>
    <w:multiLevelType w:val="multilevel"/>
    <w:tmpl w:val="90D8209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0552C9"/>
    <w:multiLevelType w:val="multilevel"/>
    <w:tmpl w:val="4CBE7498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45BE0"/>
    <w:multiLevelType w:val="multilevel"/>
    <w:tmpl w:val="E042EE7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D2016D"/>
    <w:multiLevelType w:val="multilevel"/>
    <w:tmpl w:val="B4546A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6"/>
  </w:num>
  <w:num w:numId="3">
    <w:abstractNumId w:val="35"/>
  </w:num>
  <w:num w:numId="4">
    <w:abstractNumId w:val="14"/>
  </w:num>
  <w:num w:numId="5">
    <w:abstractNumId w:val="8"/>
  </w:num>
  <w:num w:numId="6">
    <w:abstractNumId w:val="44"/>
  </w:num>
  <w:num w:numId="7">
    <w:abstractNumId w:val="43"/>
  </w:num>
  <w:num w:numId="8">
    <w:abstractNumId w:val="21"/>
  </w:num>
  <w:num w:numId="9">
    <w:abstractNumId w:val="26"/>
  </w:num>
  <w:num w:numId="10">
    <w:abstractNumId w:val="27"/>
  </w:num>
  <w:num w:numId="11">
    <w:abstractNumId w:val="29"/>
  </w:num>
  <w:num w:numId="12">
    <w:abstractNumId w:val="6"/>
  </w:num>
  <w:num w:numId="13">
    <w:abstractNumId w:val="41"/>
  </w:num>
  <w:num w:numId="14">
    <w:abstractNumId w:val="33"/>
  </w:num>
  <w:num w:numId="15">
    <w:abstractNumId w:val="11"/>
  </w:num>
  <w:num w:numId="16">
    <w:abstractNumId w:val="30"/>
  </w:num>
  <w:num w:numId="17">
    <w:abstractNumId w:val="32"/>
  </w:num>
  <w:num w:numId="18">
    <w:abstractNumId w:val="39"/>
  </w:num>
  <w:num w:numId="19">
    <w:abstractNumId w:val="47"/>
  </w:num>
  <w:num w:numId="20">
    <w:abstractNumId w:val="28"/>
  </w:num>
  <w:num w:numId="21">
    <w:abstractNumId w:val="12"/>
  </w:num>
  <w:num w:numId="22">
    <w:abstractNumId w:val="23"/>
  </w:num>
  <w:num w:numId="23">
    <w:abstractNumId w:val="45"/>
  </w:num>
  <w:num w:numId="24">
    <w:abstractNumId w:val="3"/>
  </w:num>
  <w:num w:numId="25">
    <w:abstractNumId w:val="0"/>
  </w:num>
  <w:num w:numId="26">
    <w:abstractNumId w:val="17"/>
  </w:num>
  <w:num w:numId="27">
    <w:abstractNumId w:val="40"/>
  </w:num>
  <w:num w:numId="28">
    <w:abstractNumId w:val="42"/>
  </w:num>
  <w:num w:numId="29">
    <w:abstractNumId w:val="38"/>
  </w:num>
  <w:num w:numId="30">
    <w:abstractNumId w:val="18"/>
  </w:num>
  <w:num w:numId="31">
    <w:abstractNumId w:val="7"/>
  </w:num>
  <w:num w:numId="32">
    <w:abstractNumId w:val="9"/>
  </w:num>
  <w:num w:numId="33">
    <w:abstractNumId w:val="37"/>
  </w:num>
  <w:num w:numId="34">
    <w:abstractNumId w:val="4"/>
  </w:num>
  <w:num w:numId="35">
    <w:abstractNumId w:val="16"/>
  </w:num>
  <w:num w:numId="36">
    <w:abstractNumId w:val="10"/>
  </w:num>
  <w:num w:numId="37">
    <w:abstractNumId w:val="46"/>
  </w:num>
  <w:num w:numId="38">
    <w:abstractNumId w:val="20"/>
  </w:num>
  <w:num w:numId="39">
    <w:abstractNumId w:val="19"/>
  </w:num>
  <w:num w:numId="40">
    <w:abstractNumId w:val="25"/>
  </w:num>
  <w:num w:numId="41">
    <w:abstractNumId w:val="5"/>
  </w:num>
  <w:num w:numId="42">
    <w:abstractNumId w:val="13"/>
  </w:num>
  <w:num w:numId="43">
    <w:abstractNumId w:val="15"/>
  </w:num>
  <w:num w:numId="44">
    <w:abstractNumId w:val="48"/>
  </w:num>
  <w:num w:numId="45">
    <w:abstractNumId w:val="24"/>
  </w:num>
  <w:num w:numId="46">
    <w:abstractNumId w:val="34"/>
  </w:num>
  <w:num w:numId="47">
    <w:abstractNumId w:val="22"/>
  </w:num>
  <w:num w:numId="48">
    <w:abstractNumId w:val="2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55"/>
    <w:rsid w:val="001841EF"/>
    <w:rsid w:val="00194AE1"/>
    <w:rsid w:val="00380055"/>
    <w:rsid w:val="00397355"/>
    <w:rsid w:val="00441C9F"/>
    <w:rsid w:val="004C0E85"/>
    <w:rsid w:val="00505E2B"/>
    <w:rsid w:val="005754DC"/>
    <w:rsid w:val="005A7E5C"/>
    <w:rsid w:val="007254C1"/>
    <w:rsid w:val="0076797D"/>
    <w:rsid w:val="00895D46"/>
    <w:rsid w:val="008A6074"/>
    <w:rsid w:val="008B33DB"/>
    <w:rsid w:val="0094531B"/>
    <w:rsid w:val="00A52407"/>
    <w:rsid w:val="00B4545F"/>
    <w:rsid w:val="00D359F0"/>
    <w:rsid w:val="00F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3A88D"/>
  <w15:docId w15:val="{16FDDA08-557F-4DBE-B6CE-BC4583E2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4">
    <w:name w:val="Heading #4_"/>
    <w:basedOn w:val="Standardnpsmoodstavce"/>
    <w:link w:val="Heading40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">
    <w:name w:val="Table of contents_"/>
    <w:basedOn w:val="Standardnpsmoodstavce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 w:line="264" w:lineRule="auto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Georgia" w:eastAsia="Georgia" w:hAnsi="Georgia" w:cs="Georgia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ind w:left="104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240"/>
      <w:jc w:val="center"/>
      <w:outlineLvl w:val="3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qFormat/>
    <w:pPr>
      <w:shd w:val="clear" w:color="auto" w:fill="FFFFFF"/>
      <w:spacing w:after="100" w:line="254" w:lineRule="auto"/>
      <w:ind w:left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41" w:lineRule="auto"/>
      <w:jc w:val="both"/>
    </w:pPr>
    <w:rPr>
      <w:rFonts w:ascii="Tahoma" w:eastAsia="Tahoma" w:hAnsi="Tahoma" w:cs="Tahoma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pPr>
      <w:shd w:val="clear" w:color="auto" w:fill="FFFFFF"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10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jc w:val="center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500"/>
      <w:ind w:left="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B3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3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B33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3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m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zm.praha@nz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sycr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z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zm.praha@nzm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1874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Heřmanová Pavla</dc:creator>
  <cp:lastModifiedBy>Heřmanová Pavla</cp:lastModifiedBy>
  <cp:revision>14</cp:revision>
  <dcterms:created xsi:type="dcterms:W3CDTF">2020-03-04T11:05:00Z</dcterms:created>
  <dcterms:modified xsi:type="dcterms:W3CDTF">2020-03-04T11:17:00Z</dcterms:modified>
</cp:coreProperties>
</file>