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7" w:rsidRDefault="007B0097" w:rsidP="00ED42F8">
      <w:pPr>
        <w:spacing w:before="120" w:after="120" w:line="240" w:lineRule="auto"/>
        <w:jc w:val="center"/>
        <w:rPr>
          <w:rFonts w:ascii="AlfaPID" w:hAnsi="AlfaPID" w:cs="Times New Roman"/>
          <w:caps/>
          <w:spacing w:val="20"/>
          <w:sz w:val="48"/>
          <w:szCs w:val="48"/>
        </w:rPr>
      </w:pP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</w:r>
      <w:r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ab/>
        <w:t xml:space="preserve">          </w:t>
      </w:r>
      <w:r w:rsidRPr="007B0097">
        <w:rPr>
          <w:rFonts w:ascii="AlfaPID" w:hAnsi="AlfaPID" w:cs="Times New Roman"/>
          <w:caps/>
          <w:spacing w:val="20"/>
          <w:sz w:val="48"/>
          <w:szCs w:val="48"/>
        </w:rPr>
        <w:t>*MC18X00BQWRU*</w:t>
      </w:r>
    </w:p>
    <w:p w:rsidR="007B0097" w:rsidRDefault="007B0097" w:rsidP="00ED42F8">
      <w:pPr>
        <w:spacing w:before="120" w:after="120" w:line="240" w:lineRule="auto"/>
        <w:jc w:val="center"/>
        <w:rPr>
          <w:rFonts w:ascii="Times New Roman" w:hAnsi="Times New Roman" w:cs="Times New Roman"/>
          <w:caps/>
          <w:spacing w:val="20"/>
        </w:rPr>
      </w:pP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AlfaPID" w:hAnsi="AlfaPID" w:cs="Times New Roman"/>
          <w:caps/>
          <w:spacing w:val="20"/>
          <w:sz w:val="48"/>
          <w:szCs w:val="48"/>
        </w:rPr>
        <w:tab/>
      </w:r>
      <w:r>
        <w:rPr>
          <w:rFonts w:ascii="Calibri" w:hAnsi="Calibri" w:cs="Times New Roman"/>
          <w:caps/>
          <w:spacing w:val="20"/>
          <w:sz w:val="48"/>
          <w:szCs w:val="48"/>
        </w:rPr>
        <w:t xml:space="preserve">  </w:t>
      </w:r>
      <w:proofErr w:type="gramStart"/>
      <w:r>
        <w:rPr>
          <w:rFonts w:ascii="Times New Roman" w:hAnsi="Times New Roman" w:cs="Times New Roman"/>
          <w:caps/>
          <w:spacing w:val="20"/>
        </w:rPr>
        <w:t>Č.j</w:t>
      </w:r>
      <w:r w:rsidRPr="007B0097">
        <w:rPr>
          <w:rFonts w:ascii="Times New Roman" w:hAnsi="Times New Roman" w:cs="Times New Roman"/>
          <w:caps/>
          <w:spacing w:val="20"/>
        </w:rPr>
        <w:t>.</w:t>
      </w:r>
      <w:proofErr w:type="gramEnd"/>
      <w:r w:rsidRPr="007B0097">
        <w:rPr>
          <w:rFonts w:ascii="Times New Roman" w:hAnsi="Times New Roman" w:cs="Times New Roman"/>
          <w:caps/>
          <w:spacing w:val="20"/>
        </w:rPr>
        <w:t>: S-2020/01/0011</w:t>
      </w:r>
    </w:p>
    <w:p w:rsidR="00B82E65" w:rsidRPr="007B0097" w:rsidRDefault="00B82E65" w:rsidP="00ED42F8">
      <w:pPr>
        <w:spacing w:before="120" w:after="120" w:line="240" w:lineRule="auto"/>
        <w:jc w:val="center"/>
        <w:rPr>
          <w:rFonts w:ascii="Times New Roman" w:hAnsi="Times New Roman" w:cs="Times New Roman"/>
          <w:caps/>
          <w:spacing w:val="20"/>
        </w:rPr>
      </w:pPr>
      <w:bookmarkStart w:id="0" w:name="_GoBack"/>
      <w:bookmarkEnd w:id="0"/>
    </w:p>
    <w:p w:rsidR="0090768E" w:rsidRPr="00ED42F8" w:rsidRDefault="0090768E" w:rsidP="00ED42F8">
      <w:pPr>
        <w:spacing w:before="120" w:after="120" w:line="240" w:lineRule="auto"/>
        <w:jc w:val="center"/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</w:pPr>
      <w:r w:rsidRPr="00ED42F8">
        <w:rPr>
          <w:rFonts w:ascii="Times New Roman tučné" w:hAnsi="Times New Roman tučné" w:cs="Times New Roman"/>
          <w:b/>
          <w:caps/>
          <w:spacing w:val="20"/>
          <w:sz w:val="28"/>
          <w:szCs w:val="28"/>
        </w:rPr>
        <w:t>Dohoda o spolupráci</w:t>
      </w:r>
    </w:p>
    <w:p w:rsidR="00E20ED4" w:rsidRPr="006518FD" w:rsidRDefault="00BD5053" w:rsidP="00ED42F8">
      <w:pPr>
        <w:spacing w:before="120"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u</w:t>
      </w:r>
      <w:r w:rsidR="00E20ED4" w:rsidRPr="006518FD">
        <w:rPr>
          <w:rFonts w:ascii="Times New Roman" w:hAnsi="Times New Roman" w:cs="Times New Roman"/>
          <w:sz w:val="23"/>
          <w:szCs w:val="23"/>
        </w:rPr>
        <w:t>zavřená v souladu s </w:t>
      </w:r>
      <w:proofErr w:type="spellStart"/>
      <w:r w:rsidR="00E20ED4" w:rsidRPr="006518FD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="00E20ED4" w:rsidRPr="006518FD">
        <w:rPr>
          <w:rFonts w:ascii="Times New Roman" w:hAnsi="Times New Roman" w:cs="Times New Roman"/>
          <w:sz w:val="23"/>
          <w:szCs w:val="23"/>
        </w:rPr>
        <w:t>.</w:t>
      </w:r>
      <w:r w:rsidR="00E54698" w:rsidRPr="006518FD">
        <w:rPr>
          <w:rFonts w:ascii="Times New Roman" w:hAnsi="Times New Roman" w:cs="Times New Roman"/>
          <w:sz w:val="23"/>
          <w:szCs w:val="23"/>
        </w:rPr>
        <w:t xml:space="preserve"> §</w:t>
      </w:r>
      <w:r w:rsidR="00FF0843" w:rsidRPr="006518FD">
        <w:rPr>
          <w:rFonts w:ascii="Times New Roman" w:hAnsi="Times New Roman" w:cs="Times New Roman"/>
          <w:sz w:val="23"/>
          <w:szCs w:val="23"/>
        </w:rPr>
        <w:t>1746 odst. 2 zá</w:t>
      </w:r>
      <w:r w:rsidR="00E20ED4" w:rsidRPr="006518FD">
        <w:rPr>
          <w:rFonts w:ascii="Times New Roman" w:hAnsi="Times New Roman" w:cs="Times New Roman"/>
          <w:sz w:val="23"/>
          <w:szCs w:val="23"/>
        </w:rPr>
        <w:t xml:space="preserve">kona č. </w:t>
      </w:r>
      <w:r w:rsidR="00FF0843" w:rsidRPr="006518FD">
        <w:rPr>
          <w:rFonts w:ascii="Times New Roman" w:hAnsi="Times New Roman" w:cs="Times New Roman"/>
          <w:sz w:val="23"/>
          <w:szCs w:val="23"/>
        </w:rPr>
        <w:t>89</w:t>
      </w:r>
      <w:r w:rsidR="00E20ED4" w:rsidRPr="006518FD">
        <w:rPr>
          <w:rFonts w:ascii="Times New Roman" w:hAnsi="Times New Roman" w:cs="Times New Roman"/>
          <w:sz w:val="23"/>
          <w:szCs w:val="23"/>
        </w:rPr>
        <w:t>/</w:t>
      </w:r>
      <w:r w:rsidR="00FF0843" w:rsidRPr="006518FD">
        <w:rPr>
          <w:rFonts w:ascii="Times New Roman" w:hAnsi="Times New Roman" w:cs="Times New Roman"/>
          <w:sz w:val="23"/>
          <w:szCs w:val="23"/>
        </w:rPr>
        <w:t>2012</w:t>
      </w:r>
      <w:r w:rsidR="00E20ED4" w:rsidRPr="006518FD">
        <w:rPr>
          <w:rFonts w:ascii="Times New Roman" w:hAnsi="Times New Roman" w:cs="Times New Roman"/>
          <w:sz w:val="23"/>
          <w:szCs w:val="23"/>
        </w:rPr>
        <w:t xml:space="preserve"> Sb., ob</w:t>
      </w:r>
      <w:r w:rsidR="00FF0843" w:rsidRPr="006518FD">
        <w:rPr>
          <w:rFonts w:ascii="Times New Roman" w:hAnsi="Times New Roman" w:cs="Times New Roman"/>
          <w:sz w:val="23"/>
          <w:szCs w:val="23"/>
        </w:rPr>
        <w:t>čanský</w:t>
      </w:r>
      <w:r w:rsidR="00E20ED4" w:rsidRPr="006518FD">
        <w:rPr>
          <w:rFonts w:ascii="Times New Roman" w:hAnsi="Times New Roman" w:cs="Times New Roman"/>
          <w:sz w:val="23"/>
          <w:szCs w:val="23"/>
        </w:rPr>
        <w:t xml:space="preserve"> zákoník</w:t>
      </w:r>
      <w:r w:rsidR="00E54698" w:rsidRPr="006518FD">
        <w:rPr>
          <w:rFonts w:ascii="Times New Roman" w:hAnsi="Times New Roman" w:cs="Times New Roman"/>
          <w:sz w:val="23"/>
          <w:szCs w:val="23"/>
        </w:rPr>
        <w:t>,</w:t>
      </w:r>
      <w:r w:rsidR="00E20ED4" w:rsidRPr="006518FD">
        <w:rPr>
          <w:rFonts w:ascii="Times New Roman" w:hAnsi="Times New Roman" w:cs="Times New Roman"/>
          <w:sz w:val="23"/>
          <w:szCs w:val="23"/>
        </w:rPr>
        <w:t xml:space="preserve"> mezi</w:t>
      </w:r>
    </w:p>
    <w:p w:rsidR="00AD446C" w:rsidRPr="006518FD" w:rsidRDefault="00AD446C" w:rsidP="00ED42F8">
      <w:pPr>
        <w:spacing w:before="240" w:after="240" w:line="240" w:lineRule="auto"/>
        <w:rPr>
          <w:rFonts w:ascii="Times New Roman" w:hAnsi="Times New Roman" w:cs="Times New Roman"/>
          <w:sz w:val="23"/>
          <w:szCs w:val="23"/>
        </w:rPr>
      </w:pPr>
    </w:p>
    <w:p w:rsidR="0090768E" w:rsidRPr="006518FD" w:rsidRDefault="0090768E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ABF, a. s.</w:t>
      </w:r>
      <w:r w:rsidRPr="006518FD">
        <w:rPr>
          <w:rFonts w:ascii="Times New Roman" w:hAnsi="Times New Roman" w:cs="Times New Roman"/>
          <w:sz w:val="23"/>
          <w:szCs w:val="23"/>
        </w:rPr>
        <w:t>, IČ 63080575</w:t>
      </w:r>
    </w:p>
    <w:p w:rsidR="0090768E" w:rsidRPr="006518FD" w:rsidRDefault="000A1A14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s</w:t>
      </w:r>
      <w:r w:rsidR="0090768E" w:rsidRPr="006518FD">
        <w:rPr>
          <w:rFonts w:ascii="Times New Roman" w:hAnsi="Times New Roman" w:cs="Times New Roman"/>
          <w:sz w:val="23"/>
          <w:szCs w:val="23"/>
        </w:rPr>
        <w:t xml:space="preserve">e sídlem </w:t>
      </w:r>
      <w:r w:rsidR="00FF0843" w:rsidRPr="006518FD">
        <w:rPr>
          <w:rFonts w:ascii="Times New Roman" w:hAnsi="Times New Roman" w:cs="Times New Roman"/>
          <w:sz w:val="23"/>
          <w:szCs w:val="23"/>
        </w:rPr>
        <w:t>Beranových 667</w:t>
      </w:r>
      <w:r w:rsidR="0090768E" w:rsidRPr="006518FD">
        <w:rPr>
          <w:rFonts w:ascii="Times New Roman" w:hAnsi="Times New Roman" w:cs="Times New Roman"/>
          <w:sz w:val="23"/>
          <w:szCs w:val="23"/>
        </w:rPr>
        <w:t xml:space="preserve">, </w:t>
      </w:r>
      <w:r w:rsidR="006518FD" w:rsidRPr="006518FD">
        <w:rPr>
          <w:rFonts w:ascii="Times New Roman" w:hAnsi="Times New Roman" w:cs="Times New Roman"/>
          <w:sz w:val="23"/>
          <w:szCs w:val="23"/>
        </w:rPr>
        <w:t>199 00</w:t>
      </w:r>
      <w:r w:rsid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90768E" w:rsidRPr="006518FD">
        <w:rPr>
          <w:rFonts w:ascii="Times New Roman" w:hAnsi="Times New Roman" w:cs="Times New Roman"/>
          <w:sz w:val="23"/>
          <w:szCs w:val="23"/>
        </w:rPr>
        <w:t>Praha 9</w:t>
      </w:r>
      <w:r w:rsid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90768E" w:rsidRPr="006518F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0768E" w:rsidRPr="006518FD" w:rsidRDefault="000A1A14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z</w:t>
      </w:r>
      <w:r w:rsidR="0090768E" w:rsidRPr="006518FD">
        <w:rPr>
          <w:rFonts w:ascii="Times New Roman" w:hAnsi="Times New Roman" w:cs="Times New Roman"/>
          <w:sz w:val="23"/>
          <w:szCs w:val="23"/>
        </w:rPr>
        <w:t>apsaná v obchodním rejstříku vedeném MS v Praze, oddíl B, vložka 3309</w:t>
      </w:r>
    </w:p>
    <w:p w:rsidR="0090768E" w:rsidRPr="006518FD" w:rsidRDefault="006518FD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FF0843" w:rsidRPr="006518FD">
        <w:rPr>
          <w:rFonts w:ascii="Times New Roman" w:hAnsi="Times New Roman" w:cs="Times New Roman"/>
          <w:sz w:val="23"/>
          <w:szCs w:val="23"/>
        </w:rPr>
        <w:t>astoupená Tomášem Kotrčem, MBA</w:t>
      </w:r>
      <w:r w:rsidR="00BD5053" w:rsidRPr="006518FD">
        <w:rPr>
          <w:rFonts w:ascii="Times New Roman" w:hAnsi="Times New Roman" w:cs="Times New Roman"/>
          <w:sz w:val="23"/>
          <w:szCs w:val="23"/>
        </w:rPr>
        <w:t xml:space="preserve">, </w:t>
      </w:r>
      <w:r w:rsidR="00D94279" w:rsidRPr="006518FD">
        <w:rPr>
          <w:rFonts w:ascii="Times New Roman" w:hAnsi="Times New Roman" w:cs="Times New Roman"/>
          <w:sz w:val="23"/>
          <w:szCs w:val="23"/>
        </w:rPr>
        <w:t>generálním ředitelem</w:t>
      </w:r>
    </w:p>
    <w:p w:rsidR="0090768E" w:rsidRPr="006518FD" w:rsidRDefault="0090768E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(dále jen „</w:t>
      </w:r>
      <w:r w:rsidRPr="006518FD">
        <w:rPr>
          <w:rFonts w:ascii="Times New Roman" w:hAnsi="Times New Roman" w:cs="Times New Roman"/>
          <w:b/>
          <w:bCs/>
          <w:sz w:val="23"/>
          <w:szCs w:val="23"/>
        </w:rPr>
        <w:t>ABF</w:t>
      </w:r>
      <w:r w:rsidRPr="006518FD">
        <w:rPr>
          <w:rFonts w:ascii="Times New Roman" w:hAnsi="Times New Roman" w:cs="Times New Roman"/>
          <w:sz w:val="23"/>
          <w:szCs w:val="23"/>
        </w:rPr>
        <w:t>“)</w:t>
      </w:r>
    </w:p>
    <w:p w:rsidR="0090768E" w:rsidRPr="006518FD" w:rsidRDefault="005F1D19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a</w:t>
      </w:r>
    </w:p>
    <w:p w:rsidR="0090768E" w:rsidRPr="006518FD" w:rsidRDefault="0090768E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Městská část Praha 18</w:t>
      </w:r>
      <w:r w:rsidR="006518FD">
        <w:rPr>
          <w:rFonts w:ascii="Times New Roman" w:hAnsi="Times New Roman" w:cs="Times New Roman"/>
          <w:sz w:val="23"/>
          <w:szCs w:val="23"/>
        </w:rPr>
        <w:t>, IČ</w:t>
      </w:r>
      <w:r w:rsidR="0043428F" w:rsidRPr="006518FD">
        <w:rPr>
          <w:rFonts w:ascii="Times New Roman" w:hAnsi="Times New Roman" w:cs="Times New Roman"/>
          <w:sz w:val="23"/>
          <w:szCs w:val="23"/>
        </w:rPr>
        <w:t xml:space="preserve"> 00231321</w:t>
      </w:r>
    </w:p>
    <w:p w:rsidR="0090768E" w:rsidRPr="006518FD" w:rsidRDefault="000A1A14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s</w:t>
      </w:r>
      <w:r w:rsidR="0090768E" w:rsidRPr="006518FD">
        <w:rPr>
          <w:rFonts w:ascii="Times New Roman" w:hAnsi="Times New Roman" w:cs="Times New Roman"/>
          <w:sz w:val="23"/>
          <w:szCs w:val="23"/>
        </w:rPr>
        <w:t>e sídlem Bechyňská 639, 199 00 Praha 9</w:t>
      </w:r>
    </w:p>
    <w:p w:rsidR="00EC13F4" w:rsidRPr="006518FD" w:rsidRDefault="000A1A14" w:rsidP="006518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z</w:t>
      </w:r>
      <w:r w:rsidR="00FF0843" w:rsidRPr="006518FD">
        <w:rPr>
          <w:rFonts w:ascii="Times New Roman" w:hAnsi="Times New Roman" w:cs="Times New Roman"/>
          <w:sz w:val="23"/>
          <w:szCs w:val="23"/>
        </w:rPr>
        <w:t>astoupená Mgr. Zdeňkem Kučerou</w:t>
      </w:r>
      <w:r w:rsidR="0090768E" w:rsidRPr="006518FD">
        <w:rPr>
          <w:rFonts w:ascii="Times New Roman" w:hAnsi="Times New Roman" w:cs="Times New Roman"/>
          <w:sz w:val="23"/>
          <w:szCs w:val="23"/>
        </w:rPr>
        <w:t xml:space="preserve">, </w:t>
      </w:r>
      <w:r w:rsidR="006518FD">
        <w:rPr>
          <w:rFonts w:ascii="Times New Roman" w:hAnsi="Times New Roman" w:cs="Times New Roman"/>
          <w:sz w:val="23"/>
          <w:szCs w:val="23"/>
        </w:rPr>
        <w:t xml:space="preserve">MBA, </w:t>
      </w:r>
      <w:r w:rsidR="0090768E" w:rsidRPr="006518FD">
        <w:rPr>
          <w:rFonts w:ascii="Times New Roman" w:hAnsi="Times New Roman" w:cs="Times New Roman"/>
          <w:sz w:val="23"/>
          <w:szCs w:val="23"/>
        </w:rPr>
        <w:t xml:space="preserve">starostou </w:t>
      </w:r>
    </w:p>
    <w:p w:rsidR="0090768E" w:rsidRPr="006518FD" w:rsidRDefault="0090768E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(dále jen „</w:t>
      </w:r>
      <w:r w:rsidRPr="006518FD">
        <w:rPr>
          <w:rFonts w:ascii="Times New Roman" w:hAnsi="Times New Roman" w:cs="Times New Roman"/>
          <w:b/>
          <w:bCs/>
          <w:sz w:val="23"/>
          <w:szCs w:val="23"/>
        </w:rPr>
        <w:t>Městská část</w:t>
      </w:r>
      <w:r w:rsidRPr="006518FD">
        <w:rPr>
          <w:rFonts w:ascii="Times New Roman" w:hAnsi="Times New Roman" w:cs="Times New Roman"/>
          <w:sz w:val="23"/>
          <w:szCs w:val="23"/>
        </w:rPr>
        <w:t>“)</w:t>
      </w:r>
    </w:p>
    <w:p w:rsidR="005A4985" w:rsidRPr="006518FD" w:rsidRDefault="005A4985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dále též společně jen „</w:t>
      </w:r>
      <w:r w:rsidR="003B29CA" w:rsidRPr="006518FD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6518FD">
        <w:rPr>
          <w:rFonts w:ascii="Times New Roman" w:hAnsi="Times New Roman" w:cs="Times New Roman"/>
          <w:b/>
          <w:bCs/>
          <w:sz w:val="23"/>
          <w:szCs w:val="23"/>
        </w:rPr>
        <w:t>mluvní strany</w:t>
      </w:r>
      <w:r w:rsidRPr="006518FD">
        <w:rPr>
          <w:rFonts w:ascii="Times New Roman" w:hAnsi="Times New Roman" w:cs="Times New Roman"/>
          <w:sz w:val="23"/>
          <w:szCs w:val="23"/>
        </w:rPr>
        <w:t>“</w:t>
      </w:r>
    </w:p>
    <w:p w:rsidR="000A1A14" w:rsidRPr="006518FD" w:rsidRDefault="000A1A14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5A4985" w:rsidRPr="006518FD" w:rsidRDefault="005A4985" w:rsidP="006518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VZHLEDEM K TOMU, ŽE</w:t>
      </w:r>
    </w:p>
    <w:p w:rsidR="005A6D88" w:rsidRPr="006518FD" w:rsidRDefault="00B1260E" w:rsidP="006518FD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ABF je </w:t>
      </w:r>
      <w:r w:rsidR="00BA3215" w:rsidRPr="006518FD">
        <w:rPr>
          <w:rFonts w:ascii="Times New Roman" w:hAnsi="Times New Roman" w:cs="Times New Roman"/>
          <w:sz w:val="23"/>
          <w:szCs w:val="23"/>
        </w:rPr>
        <w:t>organizátorem výstavních a veletržních akcí konaných v</w:t>
      </w:r>
      <w:r w:rsidRPr="006518FD">
        <w:rPr>
          <w:rFonts w:ascii="Times New Roman" w:hAnsi="Times New Roman" w:cs="Times New Roman"/>
          <w:sz w:val="23"/>
          <w:szCs w:val="23"/>
        </w:rPr>
        <w:t xml:space="preserve"> areálu PVA EXPO PRAHA v</w:t>
      </w:r>
      <w:r w:rsidR="00BA3215" w:rsidRPr="006518FD">
        <w:rPr>
          <w:rFonts w:ascii="Times New Roman" w:hAnsi="Times New Roman" w:cs="Times New Roman"/>
          <w:sz w:val="23"/>
          <w:szCs w:val="23"/>
        </w:rPr>
        <w:t> </w:t>
      </w:r>
      <w:r w:rsidRPr="006518FD">
        <w:rPr>
          <w:rFonts w:ascii="Times New Roman" w:hAnsi="Times New Roman" w:cs="Times New Roman"/>
          <w:sz w:val="23"/>
          <w:szCs w:val="23"/>
        </w:rPr>
        <w:t>Letňanech</w:t>
      </w:r>
      <w:r w:rsidR="00BA3215" w:rsidRPr="006518FD">
        <w:rPr>
          <w:rFonts w:ascii="Times New Roman" w:hAnsi="Times New Roman" w:cs="Times New Roman"/>
          <w:sz w:val="23"/>
          <w:szCs w:val="23"/>
        </w:rPr>
        <w:t>;</w:t>
      </w:r>
    </w:p>
    <w:p w:rsidR="0043428F" w:rsidRPr="006518FD" w:rsidRDefault="0043428F" w:rsidP="006518FD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ABF má zájem na neomezené době umístění veletržního areálu PVA EXPO PRAHA v</w:t>
      </w:r>
      <w:r w:rsidR="000A1A14" w:rsidRPr="006518FD">
        <w:rPr>
          <w:rFonts w:ascii="Times New Roman" w:hAnsi="Times New Roman" w:cs="Times New Roman"/>
          <w:sz w:val="23"/>
          <w:szCs w:val="23"/>
        </w:rPr>
        <w:t> </w:t>
      </w:r>
      <w:r w:rsidRPr="006518FD">
        <w:rPr>
          <w:rFonts w:ascii="Times New Roman" w:hAnsi="Times New Roman" w:cs="Times New Roman"/>
          <w:sz w:val="23"/>
          <w:szCs w:val="23"/>
        </w:rPr>
        <w:t>Letňanech</w:t>
      </w:r>
      <w:r w:rsidR="000A1A14" w:rsidRPr="006518FD">
        <w:rPr>
          <w:rFonts w:ascii="Times New Roman" w:hAnsi="Times New Roman" w:cs="Times New Roman"/>
          <w:sz w:val="23"/>
          <w:szCs w:val="23"/>
        </w:rPr>
        <w:t>;</w:t>
      </w:r>
    </w:p>
    <w:p w:rsidR="005F1D19" w:rsidRPr="006518FD" w:rsidRDefault="005A6D88" w:rsidP="006518FD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Městská část je </w:t>
      </w:r>
      <w:r w:rsidR="00FF0843" w:rsidRPr="006518FD">
        <w:rPr>
          <w:rFonts w:ascii="Times New Roman" w:hAnsi="Times New Roman" w:cs="Times New Roman"/>
          <w:sz w:val="23"/>
          <w:szCs w:val="23"/>
        </w:rPr>
        <w:t>organizátorem společenských, sportovních a kulturních akcí a má zájem některé z těchto akcí uskutečnit v</w:t>
      </w:r>
      <w:r w:rsidR="0043428F" w:rsidRPr="006518FD">
        <w:rPr>
          <w:rFonts w:ascii="Times New Roman" w:hAnsi="Times New Roman" w:cs="Times New Roman"/>
          <w:sz w:val="23"/>
          <w:szCs w:val="23"/>
        </w:rPr>
        <w:t>e veletržním</w:t>
      </w:r>
      <w:r w:rsidR="00FF0843" w:rsidRPr="006518FD">
        <w:rPr>
          <w:rFonts w:ascii="Times New Roman" w:hAnsi="Times New Roman" w:cs="Times New Roman"/>
          <w:sz w:val="23"/>
          <w:szCs w:val="23"/>
        </w:rPr>
        <w:t xml:space="preserve"> areálu PVA EXPO PRAHA</w:t>
      </w:r>
      <w:r w:rsidR="00105BA8" w:rsidRPr="006518FD">
        <w:rPr>
          <w:rFonts w:ascii="Times New Roman" w:hAnsi="Times New Roman" w:cs="Times New Roman"/>
          <w:sz w:val="23"/>
          <w:szCs w:val="23"/>
        </w:rPr>
        <w:t>;</w:t>
      </w:r>
    </w:p>
    <w:p w:rsidR="005A4985" w:rsidRPr="006518FD" w:rsidRDefault="005A6D88" w:rsidP="006518FD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Městská část m</w:t>
      </w:r>
      <w:r w:rsidR="00FF0843" w:rsidRPr="006518FD">
        <w:rPr>
          <w:rFonts w:ascii="Times New Roman" w:hAnsi="Times New Roman" w:cs="Times New Roman"/>
          <w:sz w:val="23"/>
          <w:szCs w:val="23"/>
        </w:rPr>
        <w:t>á</w:t>
      </w:r>
      <w:r w:rsidRPr="006518FD">
        <w:rPr>
          <w:rFonts w:ascii="Times New Roman" w:hAnsi="Times New Roman" w:cs="Times New Roman"/>
          <w:sz w:val="23"/>
          <w:szCs w:val="23"/>
        </w:rPr>
        <w:t xml:space="preserve"> zájem na</w:t>
      </w:r>
      <w:r w:rsidR="00BF5814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0A1A14" w:rsidRPr="006518FD">
        <w:rPr>
          <w:rFonts w:ascii="Times New Roman" w:hAnsi="Times New Roman" w:cs="Times New Roman"/>
          <w:sz w:val="23"/>
          <w:szCs w:val="23"/>
        </w:rPr>
        <w:t xml:space="preserve">rozvoji výstavnictví na území Městské části a tedy na budoucím provozování </w:t>
      </w:r>
      <w:r w:rsidR="000B1248" w:rsidRPr="006518FD">
        <w:rPr>
          <w:rFonts w:ascii="Times New Roman" w:hAnsi="Times New Roman" w:cs="Times New Roman"/>
          <w:sz w:val="23"/>
          <w:szCs w:val="23"/>
        </w:rPr>
        <w:t>veletržní</w:t>
      </w:r>
      <w:r w:rsidR="000A1A14" w:rsidRPr="006518FD">
        <w:rPr>
          <w:rFonts w:ascii="Times New Roman" w:hAnsi="Times New Roman" w:cs="Times New Roman"/>
          <w:sz w:val="23"/>
          <w:szCs w:val="23"/>
        </w:rPr>
        <w:t>ho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 areál</w:t>
      </w:r>
      <w:r w:rsidR="000A1A14" w:rsidRPr="006518FD">
        <w:rPr>
          <w:rFonts w:ascii="Times New Roman" w:hAnsi="Times New Roman" w:cs="Times New Roman"/>
          <w:sz w:val="23"/>
          <w:szCs w:val="23"/>
        </w:rPr>
        <w:t>u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 PVA EXPO PRAHA</w:t>
      </w:r>
      <w:r w:rsidR="000A1A14" w:rsidRPr="006518FD">
        <w:rPr>
          <w:rFonts w:ascii="Times New Roman" w:hAnsi="Times New Roman" w:cs="Times New Roman"/>
          <w:sz w:val="23"/>
          <w:szCs w:val="23"/>
        </w:rPr>
        <w:t xml:space="preserve"> společností ABF. Za tím účelem Městská část (se souhlasem </w:t>
      </w:r>
      <w:r w:rsidR="00B53753" w:rsidRPr="006518FD">
        <w:rPr>
          <w:rFonts w:ascii="Times New Roman" w:hAnsi="Times New Roman" w:cs="Times New Roman"/>
          <w:sz w:val="23"/>
          <w:szCs w:val="23"/>
        </w:rPr>
        <w:t>z</w:t>
      </w:r>
      <w:r w:rsidR="000A1A14" w:rsidRPr="006518FD">
        <w:rPr>
          <w:rFonts w:ascii="Times New Roman" w:hAnsi="Times New Roman" w:cs="Times New Roman"/>
          <w:sz w:val="23"/>
          <w:szCs w:val="23"/>
        </w:rPr>
        <w:t>astupitelstva</w:t>
      </w:r>
      <w:r w:rsidR="00AD446C" w:rsidRPr="006518FD">
        <w:rPr>
          <w:rFonts w:ascii="Times New Roman" w:hAnsi="Times New Roman" w:cs="Times New Roman"/>
          <w:sz w:val="23"/>
          <w:szCs w:val="23"/>
        </w:rPr>
        <w:t xml:space="preserve"> Městské části ze dne 26.</w:t>
      </w:r>
      <w:r w:rsidR="00B53753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AD446C" w:rsidRPr="006518FD">
        <w:rPr>
          <w:rFonts w:ascii="Times New Roman" w:hAnsi="Times New Roman" w:cs="Times New Roman"/>
          <w:sz w:val="23"/>
          <w:szCs w:val="23"/>
        </w:rPr>
        <w:t>listopadu 2013</w:t>
      </w:r>
      <w:r w:rsidR="000A1A14" w:rsidRPr="006518FD">
        <w:rPr>
          <w:rFonts w:ascii="Times New Roman" w:hAnsi="Times New Roman" w:cs="Times New Roman"/>
          <w:sz w:val="23"/>
          <w:szCs w:val="23"/>
        </w:rPr>
        <w:t>) postoupila hlavnímu městu Praha návrh na změnu územního plánu, který je v usneseních Zastupitelstva hl.</w:t>
      </w:r>
      <w:r w:rsidR="00B53753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0A1A14" w:rsidRPr="006518FD">
        <w:rPr>
          <w:rFonts w:ascii="Times New Roman" w:hAnsi="Times New Roman" w:cs="Times New Roman"/>
          <w:sz w:val="23"/>
          <w:szCs w:val="23"/>
        </w:rPr>
        <w:t>m. Praha veden pod číslem Z 2960/00 (dále jen „</w:t>
      </w:r>
      <w:r w:rsidR="000A1A14" w:rsidRPr="006518FD">
        <w:rPr>
          <w:rFonts w:ascii="Times New Roman" w:hAnsi="Times New Roman" w:cs="Times New Roman"/>
          <w:bCs/>
          <w:sz w:val="23"/>
          <w:szCs w:val="23"/>
        </w:rPr>
        <w:t>Návrh na změnu ÚP</w:t>
      </w:r>
      <w:r w:rsidR="000A1A14" w:rsidRPr="006518FD">
        <w:rPr>
          <w:rFonts w:ascii="Times New Roman" w:hAnsi="Times New Roman" w:cs="Times New Roman"/>
          <w:sz w:val="23"/>
          <w:szCs w:val="23"/>
        </w:rPr>
        <w:t>“)</w:t>
      </w:r>
      <w:r w:rsidR="00ED42F8">
        <w:rPr>
          <w:rFonts w:ascii="Times New Roman" w:hAnsi="Times New Roman" w:cs="Times New Roman"/>
          <w:sz w:val="23"/>
          <w:szCs w:val="23"/>
        </w:rPr>
        <w:t>;</w:t>
      </w:r>
    </w:p>
    <w:p w:rsidR="005A4985" w:rsidRPr="006518FD" w:rsidRDefault="005A4985" w:rsidP="006518FD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dohodly se smluvní strany na uzavření této</w:t>
      </w:r>
      <w:r w:rsidR="000A1A14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6518FD" w:rsidRPr="006518FD">
        <w:rPr>
          <w:rFonts w:ascii="Times New Roman" w:hAnsi="Times New Roman" w:cs="Times New Roman"/>
          <w:sz w:val="23"/>
          <w:szCs w:val="23"/>
        </w:rPr>
        <w:t>dohody o spolupráci:</w:t>
      </w:r>
    </w:p>
    <w:p w:rsidR="005A4985" w:rsidRPr="006518FD" w:rsidRDefault="005A4985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5A4985" w:rsidRPr="006518FD" w:rsidRDefault="003B29CA" w:rsidP="006518FD">
      <w:pPr>
        <w:pStyle w:val="Odstavecseseznamem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Předmět dohody</w:t>
      </w:r>
    </w:p>
    <w:p w:rsidR="000B1248" w:rsidRPr="006518FD" w:rsidRDefault="003D7728" w:rsidP="006518FD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ABF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 se zavazuje pron</w:t>
      </w:r>
      <w:r w:rsidR="00930E04" w:rsidRPr="006518FD">
        <w:rPr>
          <w:rFonts w:ascii="Times New Roman" w:hAnsi="Times New Roman" w:cs="Times New Roman"/>
          <w:sz w:val="23"/>
          <w:szCs w:val="23"/>
        </w:rPr>
        <w:t>ajímat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9B3837" w:rsidRPr="006518FD">
        <w:rPr>
          <w:rFonts w:ascii="Times New Roman" w:hAnsi="Times New Roman" w:cs="Times New Roman"/>
          <w:sz w:val="23"/>
          <w:szCs w:val="23"/>
        </w:rPr>
        <w:t xml:space="preserve">Městské části 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nebytové prostory ve veletržních halách v areálu PVA EXPO PRAHA pro konání </w:t>
      </w:r>
      <w:r w:rsidR="00CB1909" w:rsidRPr="006518FD">
        <w:rPr>
          <w:rFonts w:ascii="Times New Roman" w:hAnsi="Times New Roman" w:cs="Times New Roman"/>
          <w:sz w:val="23"/>
          <w:szCs w:val="23"/>
        </w:rPr>
        <w:t xml:space="preserve">plesu a </w:t>
      </w:r>
      <w:r w:rsidR="000B1248" w:rsidRPr="006518FD">
        <w:rPr>
          <w:rFonts w:ascii="Times New Roman" w:hAnsi="Times New Roman" w:cs="Times New Roman"/>
          <w:sz w:val="23"/>
          <w:szCs w:val="23"/>
        </w:rPr>
        <w:t xml:space="preserve">kulturních, společenských a sportovních akcích pořádaných Městskou částí </w:t>
      </w:r>
      <w:r w:rsidR="00190E83" w:rsidRPr="006518FD">
        <w:rPr>
          <w:rFonts w:ascii="Times New Roman" w:hAnsi="Times New Roman" w:cs="Times New Roman"/>
          <w:sz w:val="23"/>
          <w:szCs w:val="23"/>
        </w:rPr>
        <w:t xml:space="preserve">specifikovaných v článku II </w:t>
      </w:r>
      <w:r w:rsidR="000B1248" w:rsidRPr="006518FD">
        <w:rPr>
          <w:rFonts w:ascii="Times New Roman" w:hAnsi="Times New Roman" w:cs="Times New Roman"/>
          <w:sz w:val="23"/>
          <w:szCs w:val="23"/>
        </w:rPr>
        <w:t>za podmín</w:t>
      </w:r>
      <w:r w:rsidR="00190E83" w:rsidRPr="006518FD">
        <w:rPr>
          <w:rFonts w:ascii="Times New Roman" w:hAnsi="Times New Roman" w:cs="Times New Roman"/>
          <w:sz w:val="23"/>
          <w:szCs w:val="23"/>
        </w:rPr>
        <w:t>e</w:t>
      </w:r>
      <w:r w:rsidR="000B1248" w:rsidRPr="006518FD">
        <w:rPr>
          <w:rFonts w:ascii="Times New Roman" w:hAnsi="Times New Roman" w:cs="Times New Roman"/>
          <w:sz w:val="23"/>
          <w:szCs w:val="23"/>
        </w:rPr>
        <w:t>k dále uvedených</w:t>
      </w:r>
      <w:r w:rsidR="00056631" w:rsidRPr="006518FD">
        <w:rPr>
          <w:rFonts w:ascii="Times New Roman" w:hAnsi="Times New Roman" w:cs="Times New Roman"/>
          <w:sz w:val="23"/>
          <w:szCs w:val="23"/>
        </w:rPr>
        <w:t>, Městská část se zavazuje ke spolupráci tak, jak je uvedeno v článku IV. této Dohody.</w:t>
      </w:r>
    </w:p>
    <w:p w:rsidR="0067060C" w:rsidRPr="006518FD" w:rsidRDefault="0067060C" w:rsidP="006518FD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29CA" w:rsidRPr="006518FD" w:rsidRDefault="00A765B6" w:rsidP="006518FD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Práva a povinnosti</w:t>
      </w:r>
    </w:p>
    <w:p w:rsidR="00D10C5A" w:rsidRPr="006518FD" w:rsidRDefault="00E20ED4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ABF se zavazuje 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v každém kalendářním roce </w:t>
      </w:r>
      <w:r w:rsidR="00930E04" w:rsidRPr="006518FD">
        <w:rPr>
          <w:rFonts w:ascii="Times New Roman" w:hAnsi="Times New Roman" w:cs="Times New Roman"/>
          <w:sz w:val="23"/>
          <w:szCs w:val="23"/>
        </w:rPr>
        <w:t>trvání této Dohody (</w:t>
      </w:r>
      <w:r w:rsidR="0067060C" w:rsidRPr="006518FD">
        <w:rPr>
          <w:rFonts w:ascii="Times New Roman" w:hAnsi="Times New Roman" w:cs="Times New Roman"/>
          <w:sz w:val="23"/>
          <w:szCs w:val="23"/>
        </w:rPr>
        <w:t>počínaje rokem 2020</w:t>
      </w:r>
      <w:r w:rsidR="00930E04" w:rsidRPr="006518FD">
        <w:rPr>
          <w:rFonts w:ascii="Times New Roman" w:hAnsi="Times New Roman" w:cs="Times New Roman"/>
          <w:sz w:val="23"/>
          <w:szCs w:val="23"/>
        </w:rPr>
        <w:t>)</w:t>
      </w:r>
      <w:r w:rsidR="00056631" w:rsidRPr="006518FD">
        <w:rPr>
          <w:rFonts w:ascii="Times New Roman" w:hAnsi="Times New Roman" w:cs="Times New Roman"/>
          <w:sz w:val="23"/>
          <w:szCs w:val="23"/>
        </w:rPr>
        <w:t xml:space="preserve">, a to na základě žádosti Městské části jí </w:t>
      </w:r>
      <w:r w:rsidR="00190E83" w:rsidRPr="006518FD">
        <w:rPr>
          <w:rFonts w:ascii="Times New Roman" w:hAnsi="Times New Roman" w:cs="Times New Roman"/>
          <w:sz w:val="23"/>
          <w:szCs w:val="23"/>
        </w:rPr>
        <w:t xml:space="preserve">pronajmout nebytové prostory </w:t>
      </w:r>
      <w:r w:rsidR="00D10C5A" w:rsidRPr="006518FD">
        <w:rPr>
          <w:rFonts w:ascii="Times New Roman" w:hAnsi="Times New Roman" w:cs="Times New Roman"/>
          <w:sz w:val="23"/>
          <w:szCs w:val="23"/>
        </w:rPr>
        <w:t xml:space="preserve">pro konání </w:t>
      </w:r>
      <w:r w:rsidR="00056631" w:rsidRPr="006518FD">
        <w:rPr>
          <w:rFonts w:ascii="Times New Roman" w:hAnsi="Times New Roman" w:cs="Times New Roman"/>
          <w:sz w:val="23"/>
          <w:szCs w:val="23"/>
        </w:rPr>
        <w:t xml:space="preserve">plesu Městské </w:t>
      </w:r>
      <w:r w:rsidR="00056631" w:rsidRPr="006518FD">
        <w:rPr>
          <w:rFonts w:ascii="Times New Roman" w:hAnsi="Times New Roman" w:cs="Times New Roman"/>
          <w:sz w:val="23"/>
          <w:szCs w:val="23"/>
        </w:rPr>
        <w:lastRenderedPageBreak/>
        <w:t xml:space="preserve">části a 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maximálně </w:t>
      </w:r>
      <w:r w:rsidR="00056631" w:rsidRPr="006518FD">
        <w:rPr>
          <w:rFonts w:ascii="Times New Roman" w:hAnsi="Times New Roman" w:cs="Times New Roman"/>
          <w:sz w:val="23"/>
          <w:szCs w:val="23"/>
        </w:rPr>
        <w:t>sedmi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 kulturních nebo společenských </w:t>
      </w:r>
      <w:r w:rsidR="00CB1909" w:rsidRPr="006518FD">
        <w:rPr>
          <w:rFonts w:ascii="Times New Roman" w:hAnsi="Times New Roman" w:cs="Times New Roman"/>
          <w:sz w:val="23"/>
          <w:szCs w:val="23"/>
        </w:rPr>
        <w:t xml:space="preserve">nebo sportovních 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akcí v termínech dle následné dohody stran.  Přehled akcí, pronajímaných nebytových prostor na rok 2020 a </w:t>
      </w:r>
      <w:r w:rsidR="00930E04" w:rsidRPr="006518FD">
        <w:rPr>
          <w:rFonts w:ascii="Times New Roman" w:hAnsi="Times New Roman" w:cs="Times New Roman"/>
          <w:sz w:val="23"/>
          <w:szCs w:val="23"/>
        </w:rPr>
        <w:t>odsouhlasených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 termínů jejich konání je uveden v příloze č. 1 k této Dohodě.</w:t>
      </w:r>
    </w:p>
    <w:p w:rsidR="00F315F9" w:rsidRPr="006518FD" w:rsidRDefault="00F315F9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ABF</w:t>
      </w:r>
      <w:r w:rsidR="00930E04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>se dále zavazuje předat Městské části 100 cen do tomboly</w:t>
      </w:r>
      <w:r w:rsidR="00ED42F8">
        <w:rPr>
          <w:rFonts w:ascii="Times New Roman" w:hAnsi="Times New Roman" w:cs="Times New Roman"/>
          <w:sz w:val="23"/>
          <w:szCs w:val="23"/>
        </w:rPr>
        <w:t xml:space="preserve"> na akci</w:t>
      </w:r>
      <w:r w:rsidR="00930E04" w:rsidRPr="006518FD">
        <w:rPr>
          <w:rFonts w:ascii="Times New Roman" w:hAnsi="Times New Roman" w:cs="Times New Roman"/>
          <w:sz w:val="23"/>
          <w:szCs w:val="23"/>
        </w:rPr>
        <w:t xml:space="preserve"> Ples Městské části.</w:t>
      </w:r>
    </w:p>
    <w:p w:rsidR="007936A6" w:rsidRPr="006518FD" w:rsidRDefault="007936A6" w:rsidP="006518FD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Platební podmínky</w:t>
      </w:r>
    </w:p>
    <w:p w:rsidR="007936A6" w:rsidRPr="006518FD" w:rsidRDefault="00F315F9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Nájemné</w:t>
      </w:r>
      <w:r w:rsidR="0078628B" w:rsidRPr="006518FD">
        <w:rPr>
          <w:rFonts w:ascii="Times New Roman" w:hAnsi="Times New Roman" w:cs="Times New Roman"/>
          <w:sz w:val="23"/>
          <w:szCs w:val="23"/>
        </w:rPr>
        <w:t xml:space="preserve"> za p</w:t>
      </w:r>
      <w:r w:rsidRPr="006518FD">
        <w:rPr>
          <w:rFonts w:ascii="Times New Roman" w:hAnsi="Times New Roman" w:cs="Times New Roman"/>
          <w:sz w:val="23"/>
          <w:szCs w:val="23"/>
        </w:rPr>
        <w:t xml:space="preserve">ronájem všech prostor </w:t>
      </w:r>
      <w:r w:rsidR="0067060C" w:rsidRPr="006518FD">
        <w:rPr>
          <w:rFonts w:ascii="Times New Roman" w:hAnsi="Times New Roman" w:cs="Times New Roman"/>
          <w:sz w:val="23"/>
          <w:szCs w:val="23"/>
        </w:rPr>
        <w:t xml:space="preserve">v rozsahu uvedeném v čl. </w:t>
      </w:r>
      <w:proofErr w:type="gramStart"/>
      <w:r w:rsidR="0067060C" w:rsidRPr="006518FD">
        <w:rPr>
          <w:rFonts w:ascii="Times New Roman" w:hAnsi="Times New Roman" w:cs="Times New Roman"/>
          <w:sz w:val="23"/>
          <w:szCs w:val="23"/>
        </w:rPr>
        <w:t>2.1. na</w:t>
      </w:r>
      <w:proofErr w:type="gramEnd"/>
      <w:r w:rsidR="0067060C" w:rsidRPr="006518FD">
        <w:rPr>
          <w:rFonts w:ascii="Times New Roman" w:hAnsi="Times New Roman" w:cs="Times New Roman"/>
          <w:sz w:val="23"/>
          <w:szCs w:val="23"/>
        </w:rPr>
        <w:t xml:space="preserve"> všechny akce </w:t>
      </w:r>
      <w:r w:rsidR="0078628B" w:rsidRPr="006518FD">
        <w:rPr>
          <w:rFonts w:ascii="Times New Roman" w:hAnsi="Times New Roman" w:cs="Times New Roman"/>
          <w:sz w:val="23"/>
          <w:szCs w:val="23"/>
        </w:rPr>
        <w:t xml:space="preserve">činí </w:t>
      </w:r>
      <w:r w:rsidRPr="006518FD">
        <w:rPr>
          <w:rFonts w:ascii="Times New Roman" w:hAnsi="Times New Roman" w:cs="Times New Roman"/>
          <w:sz w:val="23"/>
          <w:szCs w:val="23"/>
        </w:rPr>
        <w:t>celkem 150</w:t>
      </w:r>
      <w:r w:rsidR="004325B0">
        <w:rPr>
          <w:rFonts w:ascii="Times New Roman" w:hAnsi="Times New Roman" w:cs="Times New Roman"/>
          <w:sz w:val="23"/>
          <w:szCs w:val="23"/>
        </w:rPr>
        <w:t>.</w:t>
      </w:r>
      <w:r w:rsidRPr="006518FD">
        <w:rPr>
          <w:rFonts w:ascii="Times New Roman" w:hAnsi="Times New Roman" w:cs="Times New Roman"/>
          <w:sz w:val="23"/>
          <w:szCs w:val="23"/>
        </w:rPr>
        <w:t>000,- Kč plus</w:t>
      </w:r>
      <w:r w:rsidR="0078628B" w:rsidRPr="006518FD">
        <w:rPr>
          <w:rFonts w:ascii="Times New Roman" w:hAnsi="Times New Roman" w:cs="Times New Roman"/>
          <w:sz w:val="23"/>
          <w:szCs w:val="23"/>
        </w:rPr>
        <w:t xml:space="preserve"> DPH.</w:t>
      </w:r>
      <w:r w:rsidR="0078628B" w:rsidRPr="006518F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8628B" w:rsidRPr="006518FD" w:rsidRDefault="00C51991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ABF poskytuje Městské části</w:t>
      </w:r>
      <w:r w:rsidR="00F315F9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>slevu ve výši 100</w:t>
      </w:r>
      <w:r w:rsidR="004325B0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 xml:space="preserve">% na nájemné uvedené v bodě 3.1. </w:t>
      </w:r>
    </w:p>
    <w:p w:rsidR="005C4B7A" w:rsidRPr="006518FD" w:rsidRDefault="00F315F9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Městská část se zavazuje uhradit ABF náklady </w:t>
      </w:r>
      <w:r w:rsidR="00C310CC" w:rsidRPr="006518FD">
        <w:rPr>
          <w:rFonts w:ascii="Times New Roman" w:hAnsi="Times New Roman" w:cs="Times New Roman"/>
          <w:sz w:val="23"/>
          <w:szCs w:val="23"/>
        </w:rPr>
        <w:t>na služ</w:t>
      </w:r>
      <w:r w:rsidR="006518FD">
        <w:rPr>
          <w:rFonts w:ascii="Times New Roman" w:hAnsi="Times New Roman" w:cs="Times New Roman"/>
          <w:sz w:val="23"/>
          <w:szCs w:val="23"/>
        </w:rPr>
        <w:t>by spojené s nájmem, zejména na </w:t>
      </w:r>
      <w:r w:rsidR="00C310CC" w:rsidRPr="006518FD">
        <w:rPr>
          <w:rFonts w:ascii="Times New Roman" w:hAnsi="Times New Roman" w:cs="Times New Roman"/>
          <w:sz w:val="23"/>
          <w:szCs w:val="23"/>
        </w:rPr>
        <w:t>spotřebu elektrické energie, plynu, vody, úklid, ostrahu areálu, parkování, odvoz odpadu</w:t>
      </w:r>
      <w:r w:rsidR="004F7847" w:rsidRPr="006518FD">
        <w:rPr>
          <w:rFonts w:ascii="Times New Roman" w:hAnsi="Times New Roman" w:cs="Times New Roman"/>
          <w:sz w:val="23"/>
          <w:szCs w:val="23"/>
        </w:rPr>
        <w:t>.</w:t>
      </w:r>
    </w:p>
    <w:p w:rsidR="00930E04" w:rsidRPr="006518FD" w:rsidRDefault="00930E04" w:rsidP="006518FD">
      <w:pPr>
        <w:pStyle w:val="Odstavecseseznamem"/>
        <w:spacing w:before="120" w:after="120" w:line="240" w:lineRule="auto"/>
        <w:ind w:left="284"/>
        <w:contextualSpacing w:val="0"/>
        <w:rPr>
          <w:rFonts w:ascii="Times New Roman" w:hAnsi="Times New Roman" w:cs="Times New Roman"/>
          <w:b/>
          <w:sz w:val="23"/>
          <w:szCs w:val="23"/>
        </w:rPr>
      </w:pPr>
    </w:p>
    <w:p w:rsidR="0067060C" w:rsidRPr="006518FD" w:rsidRDefault="0067060C" w:rsidP="006518FD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Spolupráce smluvních stran</w:t>
      </w:r>
    </w:p>
    <w:p w:rsidR="0067060C" w:rsidRPr="006518FD" w:rsidRDefault="0067060C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18FD">
        <w:rPr>
          <w:rFonts w:ascii="Times New Roman" w:hAnsi="Times New Roman" w:cs="Times New Roman"/>
          <w:bCs/>
          <w:sz w:val="23"/>
          <w:szCs w:val="23"/>
        </w:rPr>
        <w:t xml:space="preserve">Městská část bude </w:t>
      </w:r>
      <w:r w:rsidR="00AD446C" w:rsidRPr="006518FD">
        <w:rPr>
          <w:rFonts w:ascii="Times New Roman" w:hAnsi="Times New Roman" w:cs="Times New Roman"/>
          <w:bCs/>
          <w:sz w:val="23"/>
          <w:szCs w:val="23"/>
        </w:rPr>
        <w:t xml:space="preserve">v souladu s usnesením zastupitelstva uvedeným v preambuli této Dohody </w:t>
      </w:r>
      <w:r w:rsidRPr="006518FD">
        <w:rPr>
          <w:rFonts w:ascii="Times New Roman" w:hAnsi="Times New Roman" w:cs="Times New Roman"/>
          <w:bCs/>
          <w:sz w:val="23"/>
          <w:szCs w:val="23"/>
        </w:rPr>
        <w:t>podporovat Návrh na změnu ÚP</w:t>
      </w:r>
      <w:r w:rsidR="00AD446C" w:rsidRPr="006518FD">
        <w:rPr>
          <w:rFonts w:ascii="Times New Roman" w:hAnsi="Times New Roman" w:cs="Times New Roman"/>
          <w:bCs/>
          <w:sz w:val="23"/>
          <w:szCs w:val="23"/>
        </w:rPr>
        <w:t xml:space="preserve"> a poskytne ABF součinnost při jeho projednávání s cílem schválení této změny územního plánu.</w:t>
      </w:r>
    </w:p>
    <w:p w:rsidR="00AD446C" w:rsidRPr="006518FD" w:rsidRDefault="00AD446C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18FD">
        <w:rPr>
          <w:rFonts w:ascii="Times New Roman" w:hAnsi="Times New Roman" w:cs="Times New Roman"/>
          <w:bCs/>
          <w:sz w:val="23"/>
          <w:szCs w:val="23"/>
        </w:rPr>
        <w:t>Městská část bude podporovat ABF při jejím úsilí o nabytí pozemků, na kterých se nachází veletržní areál PVA EXPO PRAHA, do svého vlastnictví a poskytne ABF k tomu veškerou součinnost, kterou lze po ní rozumně požadovat za účelem dalšího rozvoje výstaviště.</w:t>
      </w:r>
    </w:p>
    <w:p w:rsidR="00930E04" w:rsidRPr="006518FD" w:rsidRDefault="00930E04" w:rsidP="006518FD">
      <w:pPr>
        <w:spacing w:before="120"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</w:p>
    <w:p w:rsidR="0067060C" w:rsidRPr="006518FD" w:rsidRDefault="0067060C" w:rsidP="006518FD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Závěrečná ustanovení</w:t>
      </w:r>
    </w:p>
    <w:p w:rsidR="006106A1" w:rsidRPr="006518FD" w:rsidRDefault="006106A1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Tato </w:t>
      </w:r>
      <w:r w:rsidR="00930E04" w:rsidRPr="006518FD">
        <w:rPr>
          <w:rFonts w:ascii="Times New Roman" w:hAnsi="Times New Roman" w:cs="Times New Roman"/>
          <w:sz w:val="23"/>
          <w:szCs w:val="23"/>
        </w:rPr>
        <w:t>D</w:t>
      </w:r>
      <w:r w:rsidRPr="006518FD">
        <w:rPr>
          <w:rFonts w:ascii="Times New Roman" w:hAnsi="Times New Roman" w:cs="Times New Roman"/>
          <w:sz w:val="23"/>
          <w:szCs w:val="23"/>
        </w:rPr>
        <w:t xml:space="preserve">ohoda je vyhotovena ve </w:t>
      </w:r>
      <w:r w:rsidR="004325B0">
        <w:rPr>
          <w:rFonts w:ascii="Times New Roman" w:hAnsi="Times New Roman" w:cs="Times New Roman"/>
          <w:sz w:val="23"/>
          <w:szCs w:val="23"/>
        </w:rPr>
        <w:t>třech</w:t>
      </w:r>
      <w:r w:rsidR="006518FD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 xml:space="preserve">stejnopisech, </w:t>
      </w:r>
      <w:r w:rsidR="004325B0">
        <w:rPr>
          <w:rFonts w:ascii="Times New Roman" w:hAnsi="Times New Roman" w:cs="Times New Roman"/>
          <w:sz w:val="23"/>
          <w:szCs w:val="23"/>
        </w:rPr>
        <w:t>z nichž dva obdrží Městská část a jeden ABF</w:t>
      </w:r>
      <w:r w:rsidRPr="006518FD">
        <w:rPr>
          <w:rFonts w:ascii="Times New Roman" w:hAnsi="Times New Roman" w:cs="Times New Roman"/>
          <w:sz w:val="23"/>
          <w:szCs w:val="23"/>
        </w:rPr>
        <w:t>.</w:t>
      </w:r>
    </w:p>
    <w:p w:rsidR="006106A1" w:rsidRPr="006518FD" w:rsidRDefault="006106A1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 xml:space="preserve">Jakékoliv změny této </w:t>
      </w:r>
      <w:r w:rsidR="00930E04" w:rsidRPr="006518FD">
        <w:rPr>
          <w:rFonts w:ascii="Times New Roman" w:hAnsi="Times New Roman" w:cs="Times New Roman"/>
          <w:sz w:val="23"/>
          <w:szCs w:val="23"/>
        </w:rPr>
        <w:t>D</w:t>
      </w:r>
      <w:r w:rsidRPr="006518FD">
        <w:rPr>
          <w:rFonts w:ascii="Times New Roman" w:hAnsi="Times New Roman" w:cs="Times New Roman"/>
          <w:sz w:val="23"/>
          <w:szCs w:val="23"/>
        </w:rPr>
        <w:t>ohody mohou nastat pouze písemným dodatkem podepsaným oběma smluvními stranami.</w:t>
      </w:r>
    </w:p>
    <w:p w:rsidR="00930E04" w:rsidRPr="006518FD" w:rsidRDefault="00930E04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Tato Dohoda je uzavírána na dobu neurčitou. Každá ze Smluvních stran je oprávněna tuto Dohodu písemně vypovědět bez udání důvodu nejpozději do 31.</w:t>
      </w:r>
      <w:r w:rsidR="006518FD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>října běžného roku s tím, že v takovém případě končí platnost této Dohody k 31.</w:t>
      </w:r>
      <w:r w:rsidR="004325B0">
        <w:rPr>
          <w:rFonts w:ascii="Times New Roman" w:hAnsi="Times New Roman" w:cs="Times New Roman"/>
          <w:sz w:val="23"/>
          <w:szCs w:val="23"/>
        </w:rPr>
        <w:t xml:space="preserve"> </w:t>
      </w:r>
      <w:r w:rsidRPr="006518FD">
        <w:rPr>
          <w:rFonts w:ascii="Times New Roman" w:hAnsi="Times New Roman" w:cs="Times New Roman"/>
          <w:sz w:val="23"/>
          <w:szCs w:val="23"/>
        </w:rPr>
        <w:t>prosinci roku, ve kterém byla do konce října učiněna výpověď této Dohody. Bude-li výpověď této Dohody učiněna po 31. říjnu, platí, že tato Dohoda zaniká až 31. prosince kalendářního roku následujícího po roce, ve kterém byla učiněna taková výpověď.</w:t>
      </w:r>
    </w:p>
    <w:p w:rsidR="00A92B2E" w:rsidRPr="006518FD" w:rsidRDefault="006106A1" w:rsidP="006518FD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Smluvní strany prohlašují, že tato dohoda nebyla uzavřena za nápadně nevýhodných</w:t>
      </w:r>
      <w:r w:rsidR="00F534E8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64131C" w:rsidRPr="006518FD">
        <w:rPr>
          <w:rFonts w:ascii="Times New Roman" w:hAnsi="Times New Roman" w:cs="Times New Roman"/>
          <w:sz w:val="23"/>
          <w:szCs w:val="23"/>
        </w:rPr>
        <w:t>p</w:t>
      </w:r>
      <w:r w:rsidRPr="006518FD">
        <w:rPr>
          <w:rFonts w:ascii="Times New Roman" w:hAnsi="Times New Roman" w:cs="Times New Roman"/>
          <w:sz w:val="23"/>
          <w:szCs w:val="23"/>
        </w:rPr>
        <w:t>odmínek či pod nátlakem, na důkaz čehož připojují své podpisy.</w:t>
      </w:r>
    </w:p>
    <w:p w:rsidR="00930E04" w:rsidRDefault="00930E04" w:rsidP="006518FD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25B0" w:rsidRPr="006518FD" w:rsidRDefault="004325B0" w:rsidP="006518FD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92B2E" w:rsidRPr="006518FD" w:rsidRDefault="00A92B2E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V Praze dne</w:t>
      </w:r>
      <w:r w:rsidR="006518FD" w:rsidRPr="006518FD">
        <w:rPr>
          <w:rFonts w:ascii="Times New Roman" w:hAnsi="Times New Roman" w:cs="Times New Roman"/>
          <w:sz w:val="23"/>
          <w:szCs w:val="23"/>
        </w:rPr>
        <w:t xml:space="preserve"> ……………</w:t>
      </w:r>
      <w:proofErr w:type="gramStart"/>
      <w:r w:rsidR="006518FD" w:rsidRPr="006518FD">
        <w:rPr>
          <w:rFonts w:ascii="Times New Roman" w:hAnsi="Times New Roman" w:cs="Times New Roman"/>
          <w:sz w:val="23"/>
          <w:szCs w:val="23"/>
        </w:rPr>
        <w:t>…..</w:t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  <w:t>V Praze</w:t>
      </w:r>
      <w:proofErr w:type="gramEnd"/>
      <w:r w:rsidRPr="006518FD">
        <w:rPr>
          <w:rFonts w:ascii="Times New Roman" w:hAnsi="Times New Roman" w:cs="Times New Roman"/>
          <w:sz w:val="23"/>
          <w:szCs w:val="23"/>
        </w:rPr>
        <w:t xml:space="preserve"> dne</w:t>
      </w:r>
      <w:r w:rsidR="006518FD" w:rsidRPr="006518FD">
        <w:rPr>
          <w:rFonts w:ascii="Times New Roman" w:hAnsi="Times New Roman" w:cs="Times New Roman"/>
          <w:sz w:val="23"/>
          <w:szCs w:val="23"/>
        </w:rPr>
        <w:t xml:space="preserve"> </w:t>
      </w:r>
      <w:r w:rsidR="004325B0" w:rsidRPr="006518FD">
        <w:rPr>
          <w:rFonts w:ascii="Times New Roman" w:hAnsi="Times New Roman" w:cs="Times New Roman"/>
          <w:sz w:val="23"/>
          <w:szCs w:val="23"/>
        </w:rPr>
        <w:t>………………..</w:t>
      </w:r>
    </w:p>
    <w:p w:rsidR="004325B0" w:rsidRPr="006518FD" w:rsidRDefault="004325B0" w:rsidP="004325B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518FD">
        <w:rPr>
          <w:rFonts w:ascii="Times New Roman" w:hAnsi="Times New Roman" w:cs="Times New Roman"/>
          <w:b/>
          <w:sz w:val="23"/>
          <w:szCs w:val="23"/>
        </w:rPr>
        <w:t>za ABF, a.s.</w:t>
      </w:r>
      <w:r w:rsidRPr="006518FD">
        <w:rPr>
          <w:rFonts w:ascii="Times New Roman" w:hAnsi="Times New Roman" w:cs="Times New Roman"/>
          <w:b/>
          <w:sz w:val="23"/>
          <w:szCs w:val="23"/>
        </w:rPr>
        <w:tab/>
      </w:r>
      <w:r w:rsidRPr="006518FD">
        <w:rPr>
          <w:rFonts w:ascii="Times New Roman" w:hAnsi="Times New Roman" w:cs="Times New Roman"/>
          <w:b/>
          <w:sz w:val="23"/>
          <w:szCs w:val="23"/>
        </w:rPr>
        <w:tab/>
      </w:r>
      <w:r w:rsidRPr="006518FD">
        <w:rPr>
          <w:rFonts w:ascii="Times New Roman" w:hAnsi="Times New Roman" w:cs="Times New Roman"/>
          <w:b/>
          <w:sz w:val="23"/>
          <w:szCs w:val="23"/>
        </w:rPr>
        <w:tab/>
      </w:r>
      <w:r w:rsidRPr="006518FD">
        <w:rPr>
          <w:rFonts w:ascii="Times New Roman" w:hAnsi="Times New Roman" w:cs="Times New Roman"/>
          <w:b/>
          <w:sz w:val="23"/>
          <w:szCs w:val="23"/>
        </w:rPr>
        <w:tab/>
      </w:r>
      <w:r w:rsidRPr="006518FD">
        <w:rPr>
          <w:rFonts w:ascii="Times New Roman" w:hAnsi="Times New Roman" w:cs="Times New Roman"/>
          <w:b/>
          <w:sz w:val="23"/>
          <w:szCs w:val="23"/>
        </w:rPr>
        <w:tab/>
      </w:r>
      <w:r w:rsidRPr="006518FD">
        <w:rPr>
          <w:rFonts w:ascii="Times New Roman" w:hAnsi="Times New Roman" w:cs="Times New Roman"/>
          <w:b/>
          <w:sz w:val="23"/>
          <w:szCs w:val="23"/>
        </w:rPr>
        <w:tab/>
        <w:t>za Městskou část Praha 18</w:t>
      </w:r>
    </w:p>
    <w:p w:rsidR="007C6098" w:rsidRDefault="007C6098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325B0" w:rsidRDefault="004325B0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325B0" w:rsidRPr="006518FD" w:rsidRDefault="004325B0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A92B2E" w:rsidRPr="006518FD" w:rsidRDefault="00A92B2E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………………………………</w:t>
      </w:r>
      <w:r w:rsidR="006518FD" w:rsidRPr="006518FD">
        <w:rPr>
          <w:rFonts w:ascii="Times New Roman" w:hAnsi="Times New Roman" w:cs="Times New Roman"/>
          <w:sz w:val="23"/>
          <w:szCs w:val="23"/>
        </w:rPr>
        <w:tab/>
      </w:r>
      <w:r w:rsidR="006518FD" w:rsidRPr="006518FD">
        <w:rPr>
          <w:rFonts w:ascii="Times New Roman" w:hAnsi="Times New Roman" w:cs="Times New Roman"/>
          <w:sz w:val="23"/>
          <w:szCs w:val="23"/>
        </w:rPr>
        <w:tab/>
      </w:r>
      <w:r w:rsidR="006518FD" w:rsidRPr="006518FD">
        <w:rPr>
          <w:rFonts w:ascii="Times New Roman" w:hAnsi="Times New Roman" w:cs="Times New Roman"/>
          <w:sz w:val="23"/>
          <w:szCs w:val="23"/>
        </w:rPr>
        <w:tab/>
      </w:r>
      <w:r w:rsidR="004325B0">
        <w:rPr>
          <w:rFonts w:ascii="Times New Roman" w:hAnsi="Times New Roman" w:cs="Times New Roman"/>
          <w:sz w:val="23"/>
          <w:szCs w:val="23"/>
        </w:rPr>
        <w:tab/>
      </w:r>
      <w:r w:rsidR="006518FD" w:rsidRPr="006518FD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A92B2E" w:rsidRPr="006518FD" w:rsidRDefault="00C310CC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Tomáš Kotrč</w:t>
      </w:r>
      <w:r w:rsidR="007C6098" w:rsidRPr="006518FD">
        <w:rPr>
          <w:rFonts w:ascii="Times New Roman" w:hAnsi="Times New Roman" w:cs="Times New Roman"/>
          <w:sz w:val="23"/>
          <w:szCs w:val="23"/>
        </w:rPr>
        <w:t>,</w:t>
      </w:r>
      <w:r w:rsidRPr="006518FD">
        <w:rPr>
          <w:rFonts w:ascii="Times New Roman" w:hAnsi="Times New Roman" w:cs="Times New Roman"/>
          <w:sz w:val="23"/>
          <w:szCs w:val="23"/>
        </w:rPr>
        <w:t xml:space="preserve"> MBA</w:t>
      </w:r>
      <w:r w:rsidR="007C6098" w:rsidRPr="006518FD">
        <w:rPr>
          <w:rFonts w:ascii="Times New Roman" w:hAnsi="Times New Roman" w:cs="Times New Roman"/>
          <w:sz w:val="23"/>
          <w:szCs w:val="23"/>
        </w:rPr>
        <w:t xml:space="preserve"> generální ředitel</w:t>
      </w:r>
      <w:r w:rsidR="007C6098" w:rsidRPr="006518FD">
        <w:rPr>
          <w:rFonts w:ascii="Times New Roman" w:hAnsi="Times New Roman" w:cs="Times New Roman"/>
          <w:sz w:val="23"/>
          <w:szCs w:val="23"/>
        </w:rPr>
        <w:tab/>
      </w:r>
      <w:r w:rsidR="006518FD" w:rsidRPr="006518FD">
        <w:rPr>
          <w:rFonts w:ascii="Times New Roman" w:hAnsi="Times New Roman" w:cs="Times New Roman"/>
          <w:sz w:val="23"/>
          <w:szCs w:val="23"/>
        </w:rPr>
        <w:tab/>
      </w:r>
      <w:r w:rsidR="004325B0">
        <w:rPr>
          <w:rFonts w:ascii="Times New Roman" w:hAnsi="Times New Roman" w:cs="Times New Roman"/>
          <w:sz w:val="23"/>
          <w:szCs w:val="23"/>
        </w:rPr>
        <w:tab/>
      </w:r>
      <w:r w:rsidR="0064131C" w:rsidRPr="006518FD">
        <w:rPr>
          <w:rFonts w:ascii="Times New Roman" w:hAnsi="Times New Roman" w:cs="Times New Roman"/>
          <w:sz w:val="23"/>
          <w:szCs w:val="23"/>
        </w:rPr>
        <w:t xml:space="preserve">Mgr. </w:t>
      </w:r>
      <w:r w:rsidRPr="006518FD">
        <w:rPr>
          <w:rFonts w:ascii="Times New Roman" w:hAnsi="Times New Roman" w:cs="Times New Roman"/>
          <w:sz w:val="23"/>
          <w:szCs w:val="23"/>
        </w:rPr>
        <w:t>Zdeněk Kučera</w:t>
      </w:r>
      <w:r w:rsidR="0064131C" w:rsidRPr="006518FD">
        <w:rPr>
          <w:rFonts w:ascii="Times New Roman" w:hAnsi="Times New Roman" w:cs="Times New Roman"/>
          <w:sz w:val="23"/>
          <w:szCs w:val="23"/>
        </w:rPr>
        <w:t>, starosta</w:t>
      </w:r>
    </w:p>
    <w:p w:rsidR="00AD446C" w:rsidRPr="006518FD" w:rsidRDefault="00AD446C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AD446C" w:rsidRDefault="00AD446C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325B0" w:rsidRPr="006518FD" w:rsidRDefault="004325B0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325B0" w:rsidRPr="004325B0" w:rsidRDefault="00AD446C" w:rsidP="004325B0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4325B0">
        <w:rPr>
          <w:rFonts w:ascii="Times New Roman" w:hAnsi="Times New Roman" w:cs="Times New Roman"/>
          <w:b/>
          <w:i/>
          <w:sz w:val="23"/>
          <w:szCs w:val="23"/>
        </w:rPr>
        <w:t xml:space="preserve">Příloha č. 1 </w:t>
      </w:r>
    </w:p>
    <w:p w:rsidR="00AD446C" w:rsidRPr="004325B0" w:rsidRDefault="00AD446C" w:rsidP="004325B0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4325B0">
        <w:rPr>
          <w:rFonts w:ascii="Times New Roman" w:hAnsi="Times New Roman" w:cs="Times New Roman"/>
          <w:i/>
          <w:sz w:val="23"/>
          <w:szCs w:val="23"/>
        </w:rPr>
        <w:t>Seznam kulturních a společ</w:t>
      </w:r>
      <w:r w:rsidR="004325B0" w:rsidRPr="004325B0">
        <w:rPr>
          <w:rFonts w:ascii="Times New Roman" w:hAnsi="Times New Roman" w:cs="Times New Roman"/>
          <w:i/>
          <w:sz w:val="23"/>
          <w:szCs w:val="23"/>
        </w:rPr>
        <w:t>enských akcí na rok 2020</w:t>
      </w:r>
    </w:p>
    <w:p w:rsidR="00AD446C" w:rsidRPr="006518FD" w:rsidRDefault="00AD446C" w:rsidP="006518FD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AD446C" w:rsidRPr="006518FD" w:rsidRDefault="00AD446C" w:rsidP="00AD446C">
      <w:pPr>
        <w:spacing w:after="0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6518FD">
        <w:rPr>
          <w:rFonts w:ascii="Times New Roman" w:hAnsi="Times New Roman" w:cs="Times New Roman"/>
          <w:i/>
          <w:iCs/>
          <w:sz w:val="23"/>
          <w:szCs w:val="23"/>
        </w:rPr>
        <w:t>Příloha č. 1 k Dohodě o spolupráci</w:t>
      </w:r>
    </w:p>
    <w:p w:rsidR="00AD446C" w:rsidRDefault="00AD446C" w:rsidP="00AD446C">
      <w:pPr>
        <w:spacing w:after="0"/>
        <w:jc w:val="right"/>
        <w:rPr>
          <w:rFonts w:ascii="Times New Roman" w:hAnsi="Times New Roman" w:cs="Times New Roman"/>
          <w:i/>
          <w:iCs/>
          <w:sz w:val="23"/>
          <w:szCs w:val="23"/>
        </w:rPr>
      </w:pPr>
    </w:p>
    <w:p w:rsidR="004325B0" w:rsidRPr="006518FD" w:rsidRDefault="004325B0" w:rsidP="00AD446C">
      <w:pPr>
        <w:spacing w:after="0"/>
        <w:jc w:val="right"/>
        <w:rPr>
          <w:rFonts w:ascii="Times New Roman" w:hAnsi="Times New Roman" w:cs="Times New Roman"/>
          <w:i/>
          <w:iCs/>
          <w:sz w:val="23"/>
          <w:szCs w:val="23"/>
        </w:rPr>
      </w:pPr>
    </w:p>
    <w:p w:rsidR="00AD446C" w:rsidRPr="006518FD" w:rsidRDefault="00AD446C" w:rsidP="00AD446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518FD">
        <w:rPr>
          <w:rFonts w:ascii="Times New Roman" w:hAnsi="Times New Roman" w:cs="Times New Roman"/>
          <w:b/>
          <w:bCs/>
          <w:sz w:val="23"/>
          <w:szCs w:val="23"/>
        </w:rPr>
        <w:t>Seznam kulturních a</w:t>
      </w:r>
      <w:r w:rsidR="004325B0">
        <w:rPr>
          <w:rFonts w:ascii="Times New Roman" w:hAnsi="Times New Roman" w:cs="Times New Roman"/>
          <w:b/>
          <w:bCs/>
          <w:sz w:val="23"/>
          <w:szCs w:val="23"/>
        </w:rPr>
        <w:t xml:space="preserve"> společenských akcí na rok 2020</w:t>
      </w:r>
    </w:p>
    <w:p w:rsidR="00AD446C" w:rsidRPr="006518FD" w:rsidRDefault="00AD446C" w:rsidP="00AD446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30E04" w:rsidRPr="006518FD" w:rsidRDefault="00930E04" w:rsidP="00AD446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D446C" w:rsidRPr="004325B0" w:rsidRDefault="00AD446C" w:rsidP="00AD446C">
      <w:p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>Název akce</w:t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  <w:t xml:space="preserve">Pronajímané </w:t>
      </w:r>
      <w:r w:rsidR="004325B0"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>n</w:t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>ebytové prostory</w:t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4325B0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  <w:t>Termín</w:t>
      </w:r>
    </w:p>
    <w:p w:rsidR="00AD446C" w:rsidRPr="006518FD" w:rsidRDefault="00AD446C" w:rsidP="00AD446C">
      <w:p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AD446C" w:rsidRPr="006518FD" w:rsidRDefault="00AD446C" w:rsidP="00AD446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Ples Městské části</w:t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  <w:t>Výstavní hala č. 6, část Vstupní haly I</w:t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6518FD">
        <w:rPr>
          <w:rFonts w:ascii="Times New Roman" w:hAnsi="Times New Roman" w:cs="Times New Roman"/>
          <w:sz w:val="23"/>
          <w:szCs w:val="23"/>
        </w:rPr>
        <w:t>6.3.2020</w:t>
      </w:r>
      <w:proofErr w:type="gramEnd"/>
      <w:r w:rsidRPr="006518FD">
        <w:rPr>
          <w:rFonts w:ascii="Times New Roman" w:hAnsi="Times New Roman" w:cs="Times New Roman"/>
          <w:sz w:val="23"/>
          <w:szCs w:val="23"/>
        </w:rPr>
        <w:t>;</w:t>
      </w:r>
    </w:p>
    <w:p w:rsidR="00AD446C" w:rsidRPr="006518FD" w:rsidRDefault="00AD446C" w:rsidP="00AD446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  <w:t>Konferenční sály ve Vstupní hale I</w:t>
      </w:r>
    </w:p>
    <w:p w:rsidR="00AD446C" w:rsidRPr="006518FD" w:rsidRDefault="00AD446C" w:rsidP="00AD446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30E04" w:rsidRPr="006518FD" w:rsidRDefault="00AD446C" w:rsidP="00930E0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Hudební akce (Věnce buřtů)</w:t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="00930E04" w:rsidRPr="006518FD">
        <w:rPr>
          <w:rFonts w:ascii="Times New Roman" w:hAnsi="Times New Roman" w:cs="Times New Roman"/>
          <w:sz w:val="23"/>
          <w:szCs w:val="23"/>
        </w:rPr>
        <w:t>část Vstupní haly I, prostor restaurace</w:t>
      </w:r>
      <w:r w:rsidR="00930E04" w:rsidRPr="006518FD">
        <w:rPr>
          <w:rFonts w:ascii="Times New Roman" w:hAnsi="Times New Roman" w:cs="Times New Roman"/>
          <w:sz w:val="23"/>
          <w:szCs w:val="23"/>
        </w:rPr>
        <w:tab/>
      </w:r>
      <w:r w:rsidR="00930E04" w:rsidRPr="006518FD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930E04" w:rsidRPr="006518FD">
        <w:rPr>
          <w:rFonts w:ascii="Times New Roman" w:hAnsi="Times New Roman" w:cs="Times New Roman"/>
          <w:sz w:val="23"/>
          <w:szCs w:val="23"/>
        </w:rPr>
        <w:t>22.4</w:t>
      </w:r>
      <w:proofErr w:type="gramEnd"/>
      <w:r w:rsidR="00930E04" w:rsidRPr="006518FD">
        <w:rPr>
          <w:rFonts w:ascii="Times New Roman" w:hAnsi="Times New Roman" w:cs="Times New Roman"/>
          <w:sz w:val="23"/>
          <w:szCs w:val="23"/>
        </w:rPr>
        <w:t>., 14.5., 16.6.,</w:t>
      </w:r>
    </w:p>
    <w:p w:rsidR="00AD446C" w:rsidRPr="006518FD" w:rsidRDefault="00930E04" w:rsidP="00930E04">
      <w:pPr>
        <w:spacing w:after="0"/>
        <w:ind w:left="7080"/>
        <w:rPr>
          <w:rFonts w:ascii="Times New Roman" w:hAnsi="Times New Roman" w:cs="Times New Roman"/>
          <w:sz w:val="23"/>
          <w:szCs w:val="23"/>
        </w:rPr>
      </w:pPr>
      <w:proofErr w:type="gramStart"/>
      <w:r w:rsidRPr="006518FD">
        <w:rPr>
          <w:rFonts w:ascii="Times New Roman" w:hAnsi="Times New Roman" w:cs="Times New Roman"/>
          <w:sz w:val="23"/>
          <w:szCs w:val="23"/>
        </w:rPr>
        <w:t>2.11</w:t>
      </w:r>
      <w:proofErr w:type="gramEnd"/>
      <w:r w:rsidRPr="006518FD">
        <w:rPr>
          <w:rFonts w:ascii="Times New Roman" w:hAnsi="Times New Roman" w:cs="Times New Roman"/>
          <w:sz w:val="23"/>
          <w:szCs w:val="23"/>
        </w:rPr>
        <w:t>., 18.11., 1.12., 8.12.2020</w:t>
      </w:r>
    </w:p>
    <w:p w:rsidR="00930E04" w:rsidRPr="006518FD" w:rsidRDefault="00930E04" w:rsidP="00930E04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30E04" w:rsidRPr="006518FD" w:rsidRDefault="00930E04" w:rsidP="00930E0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518FD">
        <w:rPr>
          <w:rFonts w:ascii="Times New Roman" w:hAnsi="Times New Roman" w:cs="Times New Roman"/>
          <w:sz w:val="23"/>
          <w:szCs w:val="23"/>
        </w:rPr>
        <w:t>Vánoční besídka seniorů</w:t>
      </w:r>
      <w:r w:rsidRPr="006518FD">
        <w:rPr>
          <w:rFonts w:ascii="Times New Roman" w:hAnsi="Times New Roman" w:cs="Times New Roman"/>
          <w:sz w:val="23"/>
          <w:szCs w:val="23"/>
        </w:rPr>
        <w:tab/>
        <w:t>část Vstupní haly I, konferenční sály</w:t>
      </w:r>
      <w:r w:rsidRPr="006518FD">
        <w:rPr>
          <w:rFonts w:ascii="Times New Roman" w:hAnsi="Times New Roman" w:cs="Times New Roman"/>
          <w:sz w:val="23"/>
          <w:szCs w:val="23"/>
        </w:rPr>
        <w:tab/>
      </w:r>
      <w:r w:rsidRPr="006518FD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6518FD">
        <w:rPr>
          <w:rFonts w:ascii="Times New Roman" w:hAnsi="Times New Roman" w:cs="Times New Roman"/>
          <w:sz w:val="23"/>
          <w:szCs w:val="23"/>
        </w:rPr>
        <w:t>2.12.2020</w:t>
      </w:r>
      <w:proofErr w:type="gramEnd"/>
    </w:p>
    <w:p w:rsidR="00930E04" w:rsidRPr="006518FD" w:rsidRDefault="00930E04" w:rsidP="00930E04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D446C" w:rsidRPr="006518FD" w:rsidRDefault="00AD446C" w:rsidP="006106A1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AD446C" w:rsidRPr="006518FD" w:rsidSect="00E22C26">
      <w:footerReference w:type="default" r:id="rId7"/>
      <w:pgSz w:w="11906" w:h="16838"/>
      <w:pgMar w:top="1276" w:right="1417" w:bottom="993" w:left="1417" w:header="708" w:footer="30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31" w:rsidRDefault="004B1931" w:rsidP="00ED42F8">
      <w:pPr>
        <w:spacing w:after="0" w:line="240" w:lineRule="auto"/>
      </w:pPr>
      <w:r>
        <w:separator/>
      </w:r>
    </w:p>
  </w:endnote>
  <w:endnote w:type="continuationSeparator" w:id="0">
    <w:p w:rsidR="004B1931" w:rsidRDefault="004B1931" w:rsidP="00ED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917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ED42F8" w:rsidRPr="00ED42F8" w:rsidRDefault="00ED42F8">
        <w:pPr>
          <w:pStyle w:val="Zpat"/>
          <w:jc w:val="right"/>
          <w:rPr>
            <w:rFonts w:ascii="Times New Roman" w:hAnsi="Times New Roman" w:cs="Times New Roman"/>
            <w:i/>
          </w:rPr>
        </w:pPr>
        <w:r w:rsidRPr="00ED42F8">
          <w:rPr>
            <w:rFonts w:ascii="Times New Roman" w:hAnsi="Times New Roman" w:cs="Times New Roman"/>
            <w:i/>
          </w:rPr>
          <w:fldChar w:fldCharType="begin"/>
        </w:r>
        <w:r w:rsidRPr="00ED42F8">
          <w:rPr>
            <w:rFonts w:ascii="Times New Roman" w:hAnsi="Times New Roman" w:cs="Times New Roman"/>
            <w:i/>
          </w:rPr>
          <w:instrText>PAGE   \* MERGEFORMAT</w:instrText>
        </w:r>
        <w:r w:rsidRPr="00ED42F8">
          <w:rPr>
            <w:rFonts w:ascii="Times New Roman" w:hAnsi="Times New Roman" w:cs="Times New Roman"/>
            <w:i/>
          </w:rPr>
          <w:fldChar w:fldCharType="separate"/>
        </w:r>
        <w:r w:rsidR="00B82E65">
          <w:rPr>
            <w:rFonts w:ascii="Times New Roman" w:hAnsi="Times New Roman" w:cs="Times New Roman"/>
            <w:i/>
            <w:noProof/>
          </w:rPr>
          <w:t>- 3 -</w:t>
        </w:r>
        <w:r w:rsidRPr="00ED42F8">
          <w:rPr>
            <w:rFonts w:ascii="Times New Roman" w:hAnsi="Times New Roman" w:cs="Times New Roman"/>
            <w:i/>
          </w:rPr>
          <w:fldChar w:fldCharType="end"/>
        </w:r>
      </w:p>
    </w:sdtContent>
  </w:sdt>
  <w:p w:rsidR="00ED42F8" w:rsidRDefault="00ED42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31" w:rsidRDefault="004B1931" w:rsidP="00ED42F8">
      <w:pPr>
        <w:spacing w:after="0" w:line="240" w:lineRule="auto"/>
      </w:pPr>
      <w:r>
        <w:separator/>
      </w:r>
    </w:p>
  </w:footnote>
  <w:footnote w:type="continuationSeparator" w:id="0">
    <w:p w:rsidR="004B1931" w:rsidRDefault="004B1931" w:rsidP="00ED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D44"/>
    <w:multiLevelType w:val="hybridMultilevel"/>
    <w:tmpl w:val="73168C72"/>
    <w:lvl w:ilvl="0" w:tplc="4F04DD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DA0073"/>
    <w:multiLevelType w:val="hybridMultilevel"/>
    <w:tmpl w:val="FF9A6D3C"/>
    <w:lvl w:ilvl="0" w:tplc="9F96E5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D810FC"/>
    <w:multiLevelType w:val="multilevel"/>
    <w:tmpl w:val="3A9A9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622972"/>
    <w:multiLevelType w:val="hybridMultilevel"/>
    <w:tmpl w:val="A170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3883"/>
    <w:multiLevelType w:val="multilevel"/>
    <w:tmpl w:val="A330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2C5D9D"/>
    <w:multiLevelType w:val="multilevel"/>
    <w:tmpl w:val="17C6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17E41"/>
    <w:multiLevelType w:val="multilevel"/>
    <w:tmpl w:val="0AF6D1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C26363"/>
    <w:multiLevelType w:val="hybridMultilevel"/>
    <w:tmpl w:val="71486270"/>
    <w:lvl w:ilvl="0" w:tplc="53204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F4471C"/>
    <w:multiLevelType w:val="hybridMultilevel"/>
    <w:tmpl w:val="B24EED3A"/>
    <w:lvl w:ilvl="0" w:tplc="F5961E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E"/>
    <w:rsid w:val="00056631"/>
    <w:rsid w:val="000A1A14"/>
    <w:rsid w:val="000B1248"/>
    <w:rsid w:val="000E3545"/>
    <w:rsid w:val="00105BA8"/>
    <w:rsid w:val="00190E83"/>
    <w:rsid w:val="001C018E"/>
    <w:rsid w:val="002C1CCB"/>
    <w:rsid w:val="003B29CA"/>
    <w:rsid w:val="003D7728"/>
    <w:rsid w:val="00405763"/>
    <w:rsid w:val="00414ABA"/>
    <w:rsid w:val="004325B0"/>
    <w:rsid w:val="0043428F"/>
    <w:rsid w:val="00453133"/>
    <w:rsid w:val="00466AA5"/>
    <w:rsid w:val="004B1931"/>
    <w:rsid w:val="004B6116"/>
    <w:rsid w:val="004C7422"/>
    <w:rsid w:val="004F7847"/>
    <w:rsid w:val="0050578B"/>
    <w:rsid w:val="00542489"/>
    <w:rsid w:val="005A4985"/>
    <w:rsid w:val="005A6D88"/>
    <w:rsid w:val="005C4B7A"/>
    <w:rsid w:val="005C4C0C"/>
    <w:rsid w:val="005F1D19"/>
    <w:rsid w:val="00607816"/>
    <w:rsid w:val="006106A1"/>
    <w:rsid w:val="0064131C"/>
    <w:rsid w:val="006518FD"/>
    <w:rsid w:val="00660E41"/>
    <w:rsid w:val="0067060C"/>
    <w:rsid w:val="00697B39"/>
    <w:rsid w:val="006A6FB0"/>
    <w:rsid w:val="006D5EE8"/>
    <w:rsid w:val="006F067F"/>
    <w:rsid w:val="006F0CF5"/>
    <w:rsid w:val="0070284A"/>
    <w:rsid w:val="00746136"/>
    <w:rsid w:val="007603E3"/>
    <w:rsid w:val="0078628B"/>
    <w:rsid w:val="007930D6"/>
    <w:rsid w:val="007936A6"/>
    <w:rsid w:val="007B0097"/>
    <w:rsid w:val="007B3DDB"/>
    <w:rsid w:val="007C2465"/>
    <w:rsid w:val="007C6098"/>
    <w:rsid w:val="0084492D"/>
    <w:rsid w:val="00887E44"/>
    <w:rsid w:val="0090768E"/>
    <w:rsid w:val="00930E04"/>
    <w:rsid w:val="009877FA"/>
    <w:rsid w:val="009B3837"/>
    <w:rsid w:val="009C0292"/>
    <w:rsid w:val="00A57364"/>
    <w:rsid w:val="00A67920"/>
    <w:rsid w:val="00A765B6"/>
    <w:rsid w:val="00A80ED9"/>
    <w:rsid w:val="00A92B2E"/>
    <w:rsid w:val="00AA4C20"/>
    <w:rsid w:val="00AD446C"/>
    <w:rsid w:val="00AE22EA"/>
    <w:rsid w:val="00B1260E"/>
    <w:rsid w:val="00B46E9F"/>
    <w:rsid w:val="00B53753"/>
    <w:rsid w:val="00B63CCB"/>
    <w:rsid w:val="00B73B53"/>
    <w:rsid w:val="00B76CEF"/>
    <w:rsid w:val="00B8259E"/>
    <w:rsid w:val="00B82E65"/>
    <w:rsid w:val="00BA3215"/>
    <w:rsid w:val="00BD5053"/>
    <w:rsid w:val="00BE4660"/>
    <w:rsid w:val="00BF5814"/>
    <w:rsid w:val="00BF63E4"/>
    <w:rsid w:val="00C03A35"/>
    <w:rsid w:val="00C178CD"/>
    <w:rsid w:val="00C310CC"/>
    <w:rsid w:val="00C51991"/>
    <w:rsid w:val="00C5482F"/>
    <w:rsid w:val="00CB1909"/>
    <w:rsid w:val="00D10C5A"/>
    <w:rsid w:val="00D54003"/>
    <w:rsid w:val="00D54C19"/>
    <w:rsid w:val="00D65E2C"/>
    <w:rsid w:val="00D94279"/>
    <w:rsid w:val="00E20ED4"/>
    <w:rsid w:val="00E22C26"/>
    <w:rsid w:val="00E26CD1"/>
    <w:rsid w:val="00E339A4"/>
    <w:rsid w:val="00E4573C"/>
    <w:rsid w:val="00E54698"/>
    <w:rsid w:val="00E67C56"/>
    <w:rsid w:val="00E96C36"/>
    <w:rsid w:val="00EC13F4"/>
    <w:rsid w:val="00ED42F8"/>
    <w:rsid w:val="00F0077D"/>
    <w:rsid w:val="00F04AA4"/>
    <w:rsid w:val="00F127DA"/>
    <w:rsid w:val="00F24D49"/>
    <w:rsid w:val="00F315F9"/>
    <w:rsid w:val="00F534E8"/>
    <w:rsid w:val="00F64DC8"/>
    <w:rsid w:val="00F70A4A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B5149-B7C7-4612-B3CF-542A6C0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C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2F8"/>
  </w:style>
  <w:style w:type="paragraph" w:styleId="Zpat">
    <w:name w:val="footer"/>
    <w:basedOn w:val="Normln"/>
    <w:link w:val="ZpatChar"/>
    <w:uiPriority w:val="99"/>
    <w:unhideWhenUsed/>
    <w:rsid w:val="00E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smolikova</dc:creator>
  <cp:lastModifiedBy>Hana Folprechtová</cp:lastModifiedBy>
  <cp:revision>12</cp:revision>
  <cp:lastPrinted>2020-02-10T06:52:00Z</cp:lastPrinted>
  <dcterms:created xsi:type="dcterms:W3CDTF">2020-02-10T06:57:00Z</dcterms:created>
  <dcterms:modified xsi:type="dcterms:W3CDTF">2020-03-04T12:31:00Z</dcterms:modified>
</cp:coreProperties>
</file>