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851"/>
      </w:tblGrid>
      <w:tr w:rsidR="00E94E7F" w14:paraId="076A763A" w14:textId="77777777" w:rsidTr="00E94E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2D97" w14:textId="77777777" w:rsidR="00E94E7F" w:rsidRDefault="00E94E7F">
            <w:pPr>
              <w:rPr>
                <w:sz w:val="16"/>
                <w:szCs w:val="20"/>
              </w:rPr>
            </w:pPr>
            <w:r>
              <w:rPr>
                <w:sz w:val="16"/>
              </w:rPr>
              <w:t>Rozdělovník: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E287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Jméno: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4BBB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Originál/kopie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13FB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Obdržel*</w:t>
            </w:r>
          </w:p>
        </w:tc>
      </w:tr>
      <w:tr w:rsidR="00E94E7F" w14:paraId="1EFBD358" w14:textId="77777777" w:rsidTr="00E94E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5415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Zhotovitel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6846" w14:textId="77777777" w:rsidR="00E94E7F" w:rsidRDefault="00E94E7F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F337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37C9" w14:textId="77777777" w:rsidR="00E94E7F" w:rsidRDefault="00E94E7F">
            <w:pPr>
              <w:rPr>
                <w:sz w:val="16"/>
              </w:rPr>
            </w:pPr>
          </w:p>
        </w:tc>
      </w:tr>
      <w:tr w:rsidR="00E94E7F" w14:paraId="71E29A18" w14:textId="77777777" w:rsidTr="00E94E7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88B9" w14:textId="7E867668" w:rsidR="00E94E7F" w:rsidRDefault="00E26AAC" w:rsidP="00E26AAC">
            <w:pPr>
              <w:rPr>
                <w:sz w:val="16"/>
              </w:rPr>
            </w:pPr>
            <w:r>
              <w:rPr>
                <w:sz w:val="16"/>
              </w:rPr>
              <w:t>Objednatel</w:t>
            </w:r>
            <w:r w:rsidR="00E94E7F">
              <w:rPr>
                <w:sz w:val="16"/>
              </w:rPr>
              <w:t xml:space="preserve">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EC0F" w14:textId="1F9AD3A1" w:rsidR="00E94E7F" w:rsidRDefault="00D208CB">
            <w:pPr>
              <w:rPr>
                <w:sz w:val="16"/>
              </w:rPr>
            </w:pPr>
            <w:proofErr w:type="spellStart"/>
            <w:r w:rsidRPr="009D6CC3">
              <w:rPr>
                <w:sz w:val="16"/>
                <w:highlight w:val="black"/>
              </w:rPr>
              <w:t>xxxxxxxxxxxxxxx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E6E5" w14:textId="77777777" w:rsidR="00E94E7F" w:rsidRDefault="00E94E7F">
            <w:pPr>
              <w:rPr>
                <w:sz w:val="16"/>
              </w:rPr>
            </w:pPr>
            <w:r>
              <w:rPr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B51" w14:textId="77777777" w:rsidR="00E94E7F" w:rsidRDefault="00E94E7F">
            <w:pPr>
              <w:rPr>
                <w:sz w:val="16"/>
              </w:rPr>
            </w:pPr>
          </w:p>
        </w:tc>
      </w:tr>
    </w:tbl>
    <w:p w14:paraId="5C1247C7" w14:textId="77777777" w:rsidR="00E94E7F" w:rsidRDefault="00E94E7F" w:rsidP="00E94E7F">
      <w:pPr>
        <w:rPr>
          <w:sz w:val="16"/>
          <w:szCs w:val="20"/>
        </w:rPr>
      </w:pPr>
      <w:r>
        <w:rPr>
          <w:sz w:val="16"/>
        </w:rPr>
        <w:t>* vyznačte zatržením</w:t>
      </w:r>
    </w:p>
    <w:p w14:paraId="4458915B" w14:textId="686E0F88" w:rsidR="00E94E7F" w:rsidRPr="00E26AAC" w:rsidRDefault="00E94E7F" w:rsidP="00E94E7F">
      <w:pPr>
        <w:ind w:left="4956" w:firstLine="708"/>
        <w:rPr>
          <w:rFonts w:ascii="Calibri" w:hAnsi="Calibri" w:cs="Times New Roman"/>
          <w:sz w:val="16"/>
        </w:rPr>
      </w:pPr>
      <w:r w:rsidRPr="00E26AAC">
        <w:rPr>
          <w:rFonts w:ascii="Calibri" w:hAnsi="Calibri"/>
          <w:sz w:val="16"/>
        </w:rPr>
        <w:t>Evidenční čísl</w:t>
      </w:r>
      <w:r w:rsidR="008610D9" w:rsidRPr="00E26AAC">
        <w:rPr>
          <w:rFonts w:ascii="Calibri" w:hAnsi="Calibri"/>
          <w:sz w:val="16"/>
        </w:rPr>
        <w:t xml:space="preserve">o smlouvy objednatele: </w:t>
      </w:r>
      <w:r w:rsidR="00112E6B" w:rsidRPr="00E26AAC">
        <w:rPr>
          <w:rFonts w:ascii="Calibri" w:hAnsi="Calibri"/>
          <w:sz w:val="16"/>
        </w:rPr>
        <w:t>SML</w:t>
      </w:r>
      <w:r w:rsidR="00AE6FD3">
        <w:rPr>
          <w:rFonts w:ascii="Calibri" w:hAnsi="Calibri"/>
          <w:sz w:val="16"/>
        </w:rPr>
        <w:t>096</w:t>
      </w:r>
      <w:r w:rsidR="00112E6B" w:rsidRPr="00E26AAC">
        <w:rPr>
          <w:rFonts w:ascii="Calibri" w:hAnsi="Calibri"/>
          <w:sz w:val="16"/>
        </w:rPr>
        <w:t>/19</w:t>
      </w:r>
    </w:p>
    <w:p w14:paraId="1FE0F64E" w14:textId="3D519946" w:rsidR="00E94E7F" w:rsidRPr="00E26AAC" w:rsidRDefault="00E94E7F" w:rsidP="00E94E7F">
      <w:pPr>
        <w:ind w:left="4956" w:firstLine="708"/>
        <w:rPr>
          <w:rFonts w:ascii="Calibri" w:hAnsi="Calibri"/>
          <w:sz w:val="16"/>
          <w:szCs w:val="22"/>
        </w:rPr>
      </w:pPr>
      <w:r w:rsidRPr="00E26AAC">
        <w:rPr>
          <w:rFonts w:ascii="Calibri" w:hAnsi="Calibri"/>
          <w:sz w:val="16"/>
        </w:rPr>
        <w:t xml:space="preserve">Evidenční číslo </w:t>
      </w:r>
      <w:r w:rsidR="008610D9" w:rsidRPr="00E26AAC">
        <w:rPr>
          <w:rFonts w:ascii="Calibri" w:hAnsi="Calibri"/>
          <w:sz w:val="16"/>
        </w:rPr>
        <w:t xml:space="preserve">VZ objednatele: </w:t>
      </w:r>
      <w:r w:rsidR="00112E6B" w:rsidRPr="00E26AAC">
        <w:rPr>
          <w:rFonts w:ascii="Calibri" w:hAnsi="Calibri"/>
          <w:sz w:val="16"/>
        </w:rPr>
        <w:t>VZ</w:t>
      </w:r>
      <w:r w:rsidR="00E26AAC" w:rsidRPr="00E26AAC">
        <w:rPr>
          <w:rFonts w:ascii="Calibri" w:hAnsi="Calibri"/>
          <w:sz w:val="16"/>
        </w:rPr>
        <w:t>02</w:t>
      </w:r>
      <w:r w:rsidR="002A28A3">
        <w:rPr>
          <w:rFonts w:ascii="Calibri" w:hAnsi="Calibri"/>
          <w:sz w:val="16"/>
        </w:rPr>
        <w:t>7</w:t>
      </w:r>
      <w:r w:rsidR="00112E6B" w:rsidRPr="00E26AAC">
        <w:rPr>
          <w:rFonts w:ascii="Calibri" w:hAnsi="Calibri"/>
          <w:sz w:val="16"/>
        </w:rPr>
        <w:t>/19</w:t>
      </w:r>
    </w:p>
    <w:p w14:paraId="1455C63C" w14:textId="6156B92F" w:rsidR="00E94E7F" w:rsidRDefault="008610D9" w:rsidP="00E94E7F">
      <w:pPr>
        <w:ind w:left="2832"/>
        <w:jc w:val="center"/>
        <w:rPr>
          <w:b/>
          <w:szCs w:val="22"/>
        </w:rPr>
      </w:pPr>
      <w:r w:rsidRPr="00E26AAC">
        <w:rPr>
          <w:rFonts w:ascii="Calibri" w:hAnsi="Calibri"/>
          <w:sz w:val="16"/>
        </w:rPr>
        <w:t xml:space="preserve">              </w:t>
      </w:r>
      <w:r w:rsidR="00E26AAC" w:rsidRPr="00E26AAC">
        <w:rPr>
          <w:rFonts w:ascii="Calibri" w:hAnsi="Calibri"/>
          <w:sz w:val="16"/>
        </w:rPr>
        <w:t xml:space="preserve">           </w:t>
      </w:r>
      <w:r w:rsidR="00016321">
        <w:rPr>
          <w:rFonts w:ascii="Calibri" w:hAnsi="Calibri"/>
          <w:sz w:val="16"/>
        </w:rPr>
        <w:t xml:space="preserve">  </w:t>
      </w:r>
      <w:r w:rsidR="00E26AAC" w:rsidRPr="00E26AAC">
        <w:rPr>
          <w:rFonts w:ascii="Calibri" w:hAnsi="Calibri"/>
          <w:sz w:val="16"/>
        </w:rPr>
        <w:t xml:space="preserve"> </w:t>
      </w:r>
      <w:proofErr w:type="gramStart"/>
      <w:r w:rsidRPr="00E26AAC">
        <w:rPr>
          <w:rFonts w:ascii="Calibri" w:hAnsi="Calibri"/>
          <w:sz w:val="16"/>
        </w:rPr>
        <w:t>Č.j.</w:t>
      </w:r>
      <w:proofErr w:type="gramEnd"/>
      <w:r w:rsidRPr="00E26AAC">
        <w:rPr>
          <w:rFonts w:ascii="Calibri" w:hAnsi="Calibri"/>
          <w:sz w:val="16"/>
        </w:rPr>
        <w:t xml:space="preserve"> ČOI </w:t>
      </w:r>
      <w:r w:rsidR="00016321">
        <w:rPr>
          <w:rFonts w:ascii="Calibri" w:hAnsi="Calibri"/>
          <w:sz w:val="16"/>
        </w:rPr>
        <w:t>154530</w:t>
      </w:r>
      <w:r w:rsidR="00112E6B" w:rsidRPr="00E26AAC">
        <w:rPr>
          <w:rFonts w:ascii="Calibri" w:hAnsi="Calibri"/>
          <w:sz w:val="16"/>
        </w:rPr>
        <w:t>/19</w:t>
      </w:r>
      <w:r w:rsidR="00E94E7F" w:rsidRPr="00E26AAC">
        <w:rPr>
          <w:rFonts w:ascii="Calibri" w:hAnsi="Calibri"/>
          <w:sz w:val="16"/>
        </w:rPr>
        <w:t>/0100</w:t>
      </w:r>
    </w:p>
    <w:p w14:paraId="13DFB347" w14:textId="77777777" w:rsidR="00953C20" w:rsidRDefault="00953C20" w:rsidP="00646FE4"/>
    <w:p w14:paraId="1D50994A" w14:textId="77777777" w:rsidR="00A605A0" w:rsidRDefault="00A605A0" w:rsidP="00A605A0"/>
    <w:p w14:paraId="38157ED4" w14:textId="77777777" w:rsidR="00A605A0" w:rsidRPr="00A605A0" w:rsidRDefault="00A605A0" w:rsidP="00A605A0"/>
    <w:p w14:paraId="2BAF67C7" w14:textId="77777777" w:rsidR="00E209B5" w:rsidRPr="00BA61A3" w:rsidRDefault="009A1A9F" w:rsidP="00BA61A3">
      <w:pPr>
        <w:pStyle w:val="Nzev"/>
      </w:pPr>
      <w:r w:rsidRPr="00BA61A3">
        <w:t>SMLOUVA</w:t>
      </w:r>
    </w:p>
    <w:p w14:paraId="032D1231" w14:textId="4DA7873A" w:rsidR="00BA38A1" w:rsidRDefault="00962078" w:rsidP="003C00B1">
      <w:pPr>
        <w:jc w:val="center"/>
      </w:pPr>
      <w:r>
        <w:t xml:space="preserve">o </w:t>
      </w:r>
      <w:r w:rsidR="00112E6B">
        <w:t>dod</w:t>
      </w:r>
      <w:r w:rsidR="002E7306">
        <w:t>á</w:t>
      </w:r>
      <w:r w:rsidR="00112E6B">
        <w:t>vce služeb „</w:t>
      </w:r>
      <w:r w:rsidR="000B1D25">
        <w:t>Systém pro centralizovanou správu logů</w:t>
      </w:r>
      <w:r w:rsidR="00112E6B">
        <w:t>“</w:t>
      </w:r>
    </w:p>
    <w:p w14:paraId="1C8683CA" w14:textId="6A1A290F" w:rsidR="00872876" w:rsidRDefault="00346602" w:rsidP="003C00B1">
      <w:pPr>
        <w:jc w:val="center"/>
      </w:pPr>
      <w:r>
        <w:t>(dále jen „smlouva“)</w:t>
      </w:r>
    </w:p>
    <w:p w14:paraId="6F7AA8E2" w14:textId="77777777" w:rsidR="00BD3EEA" w:rsidRDefault="00BD3EEA" w:rsidP="003C00B1">
      <w:pPr>
        <w:jc w:val="center"/>
      </w:pPr>
    </w:p>
    <w:p w14:paraId="4FADD166" w14:textId="77777777" w:rsidR="000B786C" w:rsidRDefault="00346602" w:rsidP="003C00B1">
      <w:pPr>
        <w:jc w:val="center"/>
      </w:pPr>
      <w:r>
        <w:t>uzavřená</w:t>
      </w:r>
      <w:r w:rsidR="00872876" w:rsidRPr="00872876">
        <w:t xml:space="preserve"> v souladu s ustanovením § 1746 odst. 2 s přihlédnutím k § 258</w:t>
      </w:r>
      <w:r>
        <w:t>6 a násl. zákona č. </w:t>
      </w:r>
      <w:r w:rsidR="00872876" w:rsidRPr="00872876">
        <w:t>89/2012 Sb., občanský zákoník</w:t>
      </w:r>
      <w:r>
        <w:t>, (dále jen „občanský zákoník“)</w:t>
      </w:r>
    </w:p>
    <w:p w14:paraId="5A471417" w14:textId="77777777" w:rsidR="00A605A0" w:rsidRPr="00A605A0" w:rsidRDefault="00A605A0" w:rsidP="00A605A0"/>
    <w:p w14:paraId="73DA8E9E" w14:textId="77777777" w:rsidR="00E209B5" w:rsidRPr="00003BC9" w:rsidRDefault="00E209B5" w:rsidP="00003BC9">
      <w:pPr>
        <w:pStyle w:val="Nadpis1"/>
      </w:pPr>
      <w:r w:rsidRPr="00003BC9">
        <w:t>Smluvní strany</w:t>
      </w:r>
    </w:p>
    <w:p w14:paraId="229E428E" w14:textId="77777777" w:rsidR="00E209B5" w:rsidRDefault="00E209B5" w:rsidP="00A605A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80"/>
        <w:gridCol w:w="6884"/>
      </w:tblGrid>
      <w:tr w:rsidR="00003BC9" w:rsidRPr="00C14DFC" w14:paraId="460F6830" w14:textId="77777777" w:rsidTr="00FF1A40">
        <w:trPr>
          <w:trHeight w:val="435"/>
        </w:trPr>
        <w:tc>
          <w:tcPr>
            <w:tcW w:w="8964" w:type="dxa"/>
            <w:gridSpan w:val="2"/>
            <w:vAlign w:val="center"/>
          </w:tcPr>
          <w:p w14:paraId="2C6BFE81" w14:textId="77777777" w:rsidR="00003BC9" w:rsidRPr="00C14DFC" w:rsidRDefault="00003BC9" w:rsidP="00430DAF">
            <w:pPr>
              <w:rPr>
                <w:b/>
              </w:rPr>
            </w:pPr>
            <w:r>
              <w:rPr>
                <w:b/>
              </w:rPr>
              <w:t>Česká republika</w:t>
            </w:r>
            <w:r w:rsidRPr="00C14DFC">
              <w:rPr>
                <w:b/>
              </w:rPr>
              <w:t xml:space="preserve"> – Česká obchodní inspekce</w:t>
            </w:r>
          </w:p>
        </w:tc>
      </w:tr>
      <w:tr w:rsidR="00FF1A40" w:rsidRPr="00C14DFC" w14:paraId="413AD141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581CE4A9" w14:textId="46EA3472" w:rsidR="00FF1A40" w:rsidRPr="00C14DFC" w:rsidRDefault="00FF1A40" w:rsidP="00FF1A40">
            <w:r w:rsidRPr="00C14DFC">
              <w:t>se sídlem:</w:t>
            </w:r>
          </w:p>
        </w:tc>
        <w:tc>
          <w:tcPr>
            <w:tcW w:w="6884" w:type="dxa"/>
            <w:vAlign w:val="center"/>
          </w:tcPr>
          <w:p w14:paraId="677CFE76" w14:textId="24A06A18" w:rsidR="00FF1A40" w:rsidRPr="00C14DFC" w:rsidRDefault="00FF1A40" w:rsidP="00FF1A40">
            <w:r w:rsidRPr="00C14DFC">
              <w:t xml:space="preserve">Štěpánská </w:t>
            </w:r>
            <w:r w:rsidR="00AF5B94">
              <w:t>567/</w:t>
            </w:r>
            <w:r w:rsidRPr="00C14DFC">
              <w:t>15, 120 00 Praha 2</w:t>
            </w:r>
          </w:p>
        </w:tc>
      </w:tr>
      <w:tr w:rsidR="00FF1A40" w:rsidRPr="00C14DFC" w14:paraId="59225407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87A8308" w14:textId="3912E25A" w:rsidR="00FF1A40" w:rsidRPr="00C14DFC" w:rsidRDefault="00FF1A40" w:rsidP="00FF1A40">
            <w:r w:rsidRPr="00C14DFC">
              <w:t>IČ</w:t>
            </w:r>
            <w:r w:rsidR="00AF5B94">
              <w:t>O</w:t>
            </w:r>
            <w:r w:rsidRPr="00C14DFC">
              <w:t>:</w:t>
            </w:r>
          </w:p>
        </w:tc>
        <w:tc>
          <w:tcPr>
            <w:tcW w:w="6884" w:type="dxa"/>
            <w:vAlign w:val="center"/>
          </w:tcPr>
          <w:p w14:paraId="5F018A45" w14:textId="4906A6B3" w:rsidR="00FF1A40" w:rsidRPr="00C14DFC" w:rsidRDefault="00FF1A40" w:rsidP="00FF1A40">
            <w:r w:rsidRPr="00C14DFC">
              <w:t>00020869</w:t>
            </w:r>
          </w:p>
        </w:tc>
      </w:tr>
      <w:tr w:rsidR="00FF1A40" w:rsidRPr="00C14DFC" w14:paraId="4B4ECD2C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14FE7E04" w14:textId="1F35EB35" w:rsidR="00FF1A40" w:rsidRPr="00C14DFC" w:rsidRDefault="00FF1A40" w:rsidP="00FF1A40">
            <w:r w:rsidRPr="00C14DFC">
              <w:t>DIČ:</w:t>
            </w:r>
          </w:p>
        </w:tc>
        <w:tc>
          <w:tcPr>
            <w:tcW w:w="6884" w:type="dxa"/>
            <w:vAlign w:val="center"/>
          </w:tcPr>
          <w:p w14:paraId="02352165" w14:textId="728D2359" w:rsidR="00FF1A40" w:rsidRPr="00C14DFC" w:rsidRDefault="00FF1A40" w:rsidP="00FF1A40">
            <w:r w:rsidRPr="00C14DFC">
              <w:t>CZ 00020869</w:t>
            </w:r>
          </w:p>
        </w:tc>
      </w:tr>
      <w:tr w:rsidR="00FF1A40" w:rsidRPr="00C14DFC" w14:paraId="6FBB5B83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2921F4A5" w14:textId="2B91F808" w:rsidR="00FF1A40" w:rsidRPr="00C14DFC" w:rsidRDefault="00FF1A40" w:rsidP="00FF1A40">
            <w:r w:rsidRPr="00C14DFC">
              <w:t xml:space="preserve">bankovní spojení: </w:t>
            </w:r>
          </w:p>
        </w:tc>
        <w:tc>
          <w:tcPr>
            <w:tcW w:w="6884" w:type="dxa"/>
            <w:vAlign w:val="center"/>
          </w:tcPr>
          <w:p w14:paraId="16B31863" w14:textId="19E5178F" w:rsidR="00FF1A40" w:rsidRPr="00C14DFC" w:rsidRDefault="00FF1A40" w:rsidP="00FF1A40">
            <w:r w:rsidRPr="00C14DFC">
              <w:t>ČNB Praha 1</w:t>
            </w:r>
          </w:p>
        </w:tc>
      </w:tr>
      <w:tr w:rsidR="00FF1A40" w:rsidRPr="00C14DFC" w14:paraId="07DB911E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1B2B0B9" w14:textId="04C59BD3" w:rsidR="00FF1A40" w:rsidRPr="00C14DFC" w:rsidRDefault="00FF1A40" w:rsidP="00FF1A40">
            <w:r w:rsidRPr="00C14DFC">
              <w:t>číslo účtu:</w:t>
            </w:r>
          </w:p>
        </w:tc>
        <w:tc>
          <w:tcPr>
            <w:tcW w:w="6884" w:type="dxa"/>
            <w:vAlign w:val="center"/>
          </w:tcPr>
          <w:p w14:paraId="3F324DB3" w14:textId="2BF79D15" w:rsidR="00FF1A40" w:rsidRPr="00C14DFC" w:rsidRDefault="00FF1A40" w:rsidP="00FF1A40">
            <w:r w:rsidRPr="00C14DFC">
              <w:t>829011/0710</w:t>
            </w:r>
          </w:p>
        </w:tc>
      </w:tr>
      <w:tr w:rsidR="00FF1A40" w:rsidRPr="00C14DFC" w14:paraId="61E51D34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D5AE226" w14:textId="555207A5" w:rsidR="00FF1A40" w:rsidRPr="00C14DFC" w:rsidRDefault="00FF1A40" w:rsidP="00FF1A40">
            <w:r>
              <w:t>zastoupená</w:t>
            </w:r>
            <w:r w:rsidRPr="00C14DFC">
              <w:t>:</w:t>
            </w:r>
          </w:p>
        </w:tc>
        <w:tc>
          <w:tcPr>
            <w:tcW w:w="6884" w:type="dxa"/>
            <w:vAlign w:val="center"/>
          </w:tcPr>
          <w:p w14:paraId="72A292C2" w14:textId="46FC16B0" w:rsidR="00FF1A40" w:rsidRPr="00C14DFC" w:rsidRDefault="00FF1A40" w:rsidP="00FF1A40">
            <w:r>
              <w:t xml:space="preserve">Ing. Mojmírem </w:t>
            </w:r>
            <w:proofErr w:type="spellStart"/>
            <w:r>
              <w:t>Bezecným</w:t>
            </w:r>
            <w:proofErr w:type="spellEnd"/>
            <w:r w:rsidRPr="00C14DFC">
              <w:t xml:space="preserve">, </w:t>
            </w:r>
            <w:r>
              <w:t>ústředním ředitelem ČOI</w:t>
            </w:r>
          </w:p>
        </w:tc>
      </w:tr>
      <w:tr w:rsidR="002E7306" w:rsidRPr="00C14DFC" w14:paraId="7D1BC032" w14:textId="77777777" w:rsidTr="00633CEB">
        <w:trPr>
          <w:trHeight w:val="852"/>
        </w:trPr>
        <w:tc>
          <w:tcPr>
            <w:tcW w:w="8964" w:type="dxa"/>
            <w:gridSpan w:val="2"/>
            <w:vAlign w:val="center"/>
          </w:tcPr>
          <w:p w14:paraId="28A92C78" w14:textId="5D1815EB" w:rsidR="002E7306" w:rsidRDefault="002E7306" w:rsidP="00C3737B">
            <w:r w:rsidRPr="00C14DFC">
              <w:t>(dále jen „</w:t>
            </w:r>
            <w:r w:rsidR="00C3737B">
              <w:t>o</w:t>
            </w:r>
            <w:r>
              <w:t>bjednat</w:t>
            </w:r>
            <w:r w:rsidRPr="00C14DFC">
              <w:t>el“)</w:t>
            </w:r>
          </w:p>
        </w:tc>
      </w:tr>
      <w:tr w:rsidR="00FF1A40" w:rsidRPr="00C14DFC" w14:paraId="7FA15C77" w14:textId="77777777" w:rsidTr="00FF1A40">
        <w:trPr>
          <w:trHeight w:val="284"/>
        </w:trPr>
        <w:tc>
          <w:tcPr>
            <w:tcW w:w="8964" w:type="dxa"/>
            <w:gridSpan w:val="2"/>
            <w:vAlign w:val="center"/>
          </w:tcPr>
          <w:p w14:paraId="47DCE09A" w14:textId="0724C474" w:rsidR="00FF1A40" w:rsidRPr="00C14DFC" w:rsidRDefault="00FF1A40" w:rsidP="00FF1A40"/>
        </w:tc>
      </w:tr>
      <w:tr w:rsidR="00FF1A40" w:rsidRPr="00C14DFC" w14:paraId="05C8176A" w14:textId="77777777" w:rsidTr="00FF1A40">
        <w:trPr>
          <w:trHeight w:val="486"/>
        </w:trPr>
        <w:tc>
          <w:tcPr>
            <w:tcW w:w="8964" w:type="dxa"/>
            <w:gridSpan w:val="2"/>
            <w:vAlign w:val="center"/>
          </w:tcPr>
          <w:p w14:paraId="6C655057" w14:textId="77777777" w:rsidR="00FF1A40" w:rsidRPr="00BA61A3" w:rsidRDefault="00FF1A40" w:rsidP="00FF1A40">
            <w:r w:rsidRPr="00BA61A3">
              <w:t>a</w:t>
            </w:r>
            <w:bookmarkStart w:id="0" w:name="_GoBack"/>
            <w:bookmarkEnd w:id="0"/>
          </w:p>
        </w:tc>
      </w:tr>
      <w:tr w:rsidR="00FF1A40" w:rsidRPr="00C14DFC" w14:paraId="1EA546C6" w14:textId="77777777" w:rsidTr="00FF1A40">
        <w:trPr>
          <w:trHeight w:val="459"/>
        </w:trPr>
        <w:tc>
          <w:tcPr>
            <w:tcW w:w="8964" w:type="dxa"/>
            <w:gridSpan w:val="2"/>
            <w:vAlign w:val="bottom"/>
          </w:tcPr>
          <w:p w14:paraId="6836F015" w14:textId="56CDA879" w:rsidR="00FF1A40" w:rsidRPr="00F14D2A" w:rsidRDefault="00915228" w:rsidP="00E9716F">
            <w:pPr>
              <w:rPr>
                <w:b/>
              </w:rPr>
            </w:pPr>
            <w:r>
              <w:rPr>
                <w:b/>
              </w:rPr>
              <w:t>ANECT, a. s.</w:t>
            </w:r>
          </w:p>
        </w:tc>
      </w:tr>
      <w:tr w:rsidR="00FF1A40" w:rsidRPr="00C14DFC" w14:paraId="3E1A5801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4598D80C" w14:textId="77777777" w:rsidR="00FF1A40" w:rsidRPr="007F72CC" w:rsidRDefault="00FF1A40" w:rsidP="00FF1A40">
            <w:r w:rsidRPr="007F72CC">
              <w:t>Zapsaná:</w:t>
            </w:r>
          </w:p>
        </w:tc>
        <w:tc>
          <w:tcPr>
            <w:tcW w:w="6884" w:type="dxa"/>
            <w:vAlign w:val="center"/>
          </w:tcPr>
          <w:p w14:paraId="27462C22" w14:textId="65CA5CC7" w:rsidR="00915228" w:rsidRDefault="00915228" w:rsidP="00E9716F">
            <w:r>
              <w:t>v obchodním rejstříku vedeném Krajským soudem v Brně,</w:t>
            </w:r>
          </w:p>
          <w:p w14:paraId="13A50E18" w14:textId="24A3C660" w:rsidR="00FF1A40" w:rsidRPr="00C14DFC" w:rsidRDefault="00915228" w:rsidP="00E9716F">
            <w:r>
              <w:t>v oddílu B, vložce číslo 2113</w:t>
            </w:r>
          </w:p>
        </w:tc>
      </w:tr>
      <w:tr w:rsidR="00FF1A40" w:rsidRPr="00C14DFC" w14:paraId="30139B00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13AEFB6D" w14:textId="77777777" w:rsidR="00FF1A40" w:rsidRPr="007F72CC" w:rsidRDefault="00FF1A40" w:rsidP="00FF1A40">
            <w:r w:rsidRPr="007F72CC">
              <w:t>se sídlem:</w:t>
            </w:r>
          </w:p>
        </w:tc>
        <w:tc>
          <w:tcPr>
            <w:tcW w:w="6884" w:type="dxa"/>
            <w:vAlign w:val="center"/>
          </w:tcPr>
          <w:p w14:paraId="3AF04F01" w14:textId="454A5DA0" w:rsidR="00FF1A40" w:rsidRPr="00C14DFC" w:rsidRDefault="00915228" w:rsidP="00FF1A40">
            <w:r>
              <w:t>Vídeňská 204/125, 619 00 Brno</w:t>
            </w:r>
          </w:p>
        </w:tc>
      </w:tr>
      <w:tr w:rsidR="00FF1A40" w:rsidRPr="00C14DFC" w14:paraId="25232A46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7B2E2D55" w14:textId="24827A0D" w:rsidR="00FF1A40" w:rsidRPr="007F72CC" w:rsidRDefault="00FF1A40" w:rsidP="00FF1A40">
            <w:r w:rsidRPr="007F72CC">
              <w:t>IČ</w:t>
            </w:r>
            <w:r w:rsidR="00AF5B94">
              <w:t>O</w:t>
            </w:r>
            <w:r w:rsidRPr="007F72CC">
              <w:t>:</w:t>
            </w:r>
          </w:p>
        </w:tc>
        <w:tc>
          <w:tcPr>
            <w:tcW w:w="6884" w:type="dxa"/>
            <w:vAlign w:val="center"/>
          </w:tcPr>
          <w:p w14:paraId="358E0A05" w14:textId="21DEEB29" w:rsidR="00FF1A40" w:rsidRPr="00C14DFC" w:rsidRDefault="00915228" w:rsidP="00FF1A40">
            <w:r>
              <w:t>25313029</w:t>
            </w:r>
          </w:p>
        </w:tc>
      </w:tr>
      <w:tr w:rsidR="00FF1A40" w:rsidRPr="00C14DFC" w14:paraId="24C7F6D7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51198BB5" w14:textId="77777777" w:rsidR="00FF1A40" w:rsidRPr="007F72CC" w:rsidRDefault="00FF1A40" w:rsidP="00FF1A40">
            <w:r w:rsidRPr="007F72CC">
              <w:t>DIČ:</w:t>
            </w:r>
          </w:p>
        </w:tc>
        <w:tc>
          <w:tcPr>
            <w:tcW w:w="6884" w:type="dxa"/>
            <w:vAlign w:val="center"/>
          </w:tcPr>
          <w:p w14:paraId="5C117525" w14:textId="407A274D" w:rsidR="00FF1A40" w:rsidRPr="00C14DFC" w:rsidRDefault="00915228" w:rsidP="00FF1A40">
            <w:r>
              <w:t>CZ25313029</w:t>
            </w:r>
          </w:p>
        </w:tc>
      </w:tr>
      <w:tr w:rsidR="00FF1A40" w:rsidRPr="00C14DFC" w14:paraId="403637D1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26556D40" w14:textId="77777777" w:rsidR="00FF1A40" w:rsidRPr="007F72CC" w:rsidRDefault="00FF1A40" w:rsidP="00FF1A40">
            <w:r w:rsidRPr="007F72CC">
              <w:t xml:space="preserve">bankovní spojení: </w:t>
            </w:r>
          </w:p>
        </w:tc>
        <w:tc>
          <w:tcPr>
            <w:tcW w:w="6884" w:type="dxa"/>
            <w:vAlign w:val="center"/>
          </w:tcPr>
          <w:p w14:paraId="364CED3E" w14:textId="78879D94" w:rsidR="00FF1A40" w:rsidRPr="00C14DFC" w:rsidRDefault="00915228" w:rsidP="00FF1A40">
            <w:r>
              <w:t>Komerční banka, a. s.</w:t>
            </w:r>
          </w:p>
        </w:tc>
      </w:tr>
      <w:tr w:rsidR="00FF1A40" w:rsidRPr="00C14DFC" w14:paraId="72C4E77C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7B083406" w14:textId="77777777" w:rsidR="00FF1A40" w:rsidRPr="007F72CC" w:rsidRDefault="00FF1A40" w:rsidP="00FF1A40">
            <w:r w:rsidRPr="007F72CC">
              <w:t>číslo účtu:</w:t>
            </w:r>
          </w:p>
        </w:tc>
        <w:tc>
          <w:tcPr>
            <w:tcW w:w="6884" w:type="dxa"/>
            <w:vAlign w:val="center"/>
          </w:tcPr>
          <w:p w14:paraId="04C0C7FD" w14:textId="11A37585" w:rsidR="00FF1A40" w:rsidRPr="00C14DFC" w:rsidRDefault="00915228" w:rsidP="00FF1A40">
            <w:r>
              <w:t>27-6667590237/0100</w:t>
            </w:r>
          </w:p>
        </w:tc>
      </w:tr>
      <w:tr w:rsidR="00FF1A40" w:rsidRPr="00C14DFC" w14:paraId="6F9E1AD7" w14:textId="77777777" w:rsidTr="00FF1A40">
        <w:trPr>
          <w:trHeight w:val="284"/>
        </w:trPr>
        <w:tc>
          <w:tcPr>
            <w:tcW w:w="2080" w:type="dxa"/>
            <w:vAlign w:val="center"/>
          </w:tcPr>
          <w:p w14:paraId="06F17131" w14:textId="77777777" w:rsidR="00FF1A40" w:rsidRPr="007F72CC" w:rsidRDefault="00FF1A40" w:rsidP="00FF1A40">
            <w:r>
              <w:t>zastoupená</w:t>
            </w:r>
            <w:r w:rsidRPr="007F72CC">
              <w:t>:</w:t>
            </w:r>
          </w:p>
        </w:tc>
        <w:tc>
          <w:tcPr>
            <w:tcW w:w="6884" w:type="dxa"/>
            <w:vAlign w:val="center"/>
          </w:tcPr>
          <w:p w14:paraId="77902310" w14:textId="208C6CF2" w:rsidR="00FF1A40" w:rsidRPr="00C14DFC" w:rsidRDefault="00915228" w:rsidP="00FF1A40">
            <w:r>
              <w:t>Janem Zinkem, předsedou představenstva</w:t>
            </w:r>
          </w:p>
        </w:tc>
      </w:tr>
      <w:tr w:rsidR="00FF1A40" w:rsidRPr="00C14DFC" w14:paraId="22258A74" w14:textId="77777777" w:rsidTr="00FF1A40">
        <w:trPr>
          <w:trHeight w:val="284"/>
        </w:trPr>
        <w:tc>
          <w:tcPr>
            <w:tcW w:w="2080" w:type="dxa"/>
            <w:vMerge w:val="restart"/>
          </w:tcPr>
          <w:p w14:paraId="1F789807" w14:textId="77777777" w:rsidR="00FF1A40" w:rsidRPr="007F72CC" w:rsidRDefault="00FF1A40" w:rsidP="00FF1A40">
            <w:r w:rsidRPr="007F72CC">
              <w:t>osoba oprávněná jednat ve věcech technických</w:t>
            </w:r>
            <w:r>
              <w:t xml:space="preserve"> </w:t>
            </w:r>
          </w:p>
        </w:tc>
        <w:tc>
          <w:tcPr>
            <w:tcW w:w="6884" w:type="dxa"/>
            <w:vAlign w:val="center"/>
          </w:tcPr>
          <w:p w14:paraId="706D0A00" w14:textId="11B58FB9" w:rsidR="00FF1A40" w:rsidRPr="00C14DFC" w:rsidRDefault="00D208CB" w:rsidP="00FF1A40">
            <w:proofErr w:type="spellStart"/>
            <w:r w:rsidRPr="009D6CC3">
              <w:rPr>
                <w:highlight w:val="black"/>
              </w:rPr>
              <w:t>xxxxxxxxxxxxx</w:t>
            </w:r>
            <w:proofErr w:type="spellEnd"/>
          </w:p>
        </w:tc>
      </w:tr>
      <w:tr w:rsidR="00FF1A40" w:rsidRPr="00C14DFC" w14:paraId="4F8B8A1F" w14:textId="77777777" w:rsidTr="00FF1A40">
        <w:trPr>
          <w:trHeight w:val="284"/>
        </w:trPr>
        <w:tc>
          <w:tcPr>
            <w:tcW w:w="2080" w:type="dxa"/>
            <w:vMerge/>
            <w:vAlign w:val="center"/>
          </w:tcPr>
          <w:p w14:paraId="153D3FB6" w14:textId="77777777" w:rsidR="00FF1A40" w:rsidRDefault="00FF1A40" w:rsidP="00FF1A40">
            <w:pPr>
              <w:rPr>
                <w:highlight w:val="yellow"/>
              </w:rPr>
            </w:pPr>
          </w:p>
        </w:tc>
        <w:tc>
          <w:tcPr>
            <w:tcW w:w="6884" w:type="dxa"/>
            <w:vAlign w:val="center"/>
          </w:tcPr>
          <w:p w14:paraId="69C1EC1A" w14:textId="7D576393" w:rsidR="00FF1A40" w:rsidRPr="00C14DFC" w:rsidRDefault="00FF1A40">
            <w:r>
              <w:t>tel:</w:t>
            </w:r>
            <w:r w:rsidR="00915228">
              <w:t xml:space="preserve"> </w:t>
            </w:r>
            <w:proofErr w:type="spellStart"/>
            <w:r w:rsidR="00D208CB" w:rsidRPr="009D6CC3">
              <w:rPr>
                <w:highlight w:val="black"/>
              </w:rPr>
              <w:t>xxxxxxxxxxxxxxxx</w:t>
            </w:r>
            <w:proofErr w:type="spellEnd"/>
          </w:p>
        </w:tc>
      </w:tr>
      <w:tr w:rsidR="00FF1A40" w:rsidRPr="00C14DFC" w14:paraId="7268B42C" w14:textId="77777777" w:rsidTr="00FF1A40">
        <w:trPr>
          <w:trHeight w:val="284"/>
        </w:trPr>
        <w:tc>
          <w:tcPr>
            <w:tcW w:w="2080" w:type="dxa"/>
            <w:vMerge/>
            <w:vAlign w:val="center"/>
          </w:tcPr>
          <w:p w14:paraId="373E9796" w14:textId="77777777" w:rsidR="00FF1A40" w:rsidRDefault="00FF1A40" w:rsidP="00FF1A40">
            <w:pPr>
              <w:rPr>
                <w:highlight w:val="yellow"/>
              </w:rPr>
            </w:pPr>
          </w:p>
        </w:tc>
        <w:tc>
          <w:tcPr>
            <w:tcW w:w="6884" w:type="dxa"/>
            <w:vAlign w:val="center"/>
          </w:tcPr>
          <w:p w14:paraId="774A248A" w14:textId="1C940786" w:rsidR="00FF1A40" w:rsidRPr="00C14DFC" w:rsidRDefault="00FF1A40">
            <w:r>
              <w:t>e</w:t>
            </w:r>
            <w:r w:rsidR="00915228">
              <w:t>-</w:t>
            </w:r>
            <w:r>
              <w:t xml:space="preserve">mail: </w:t>
            </w:r>
            <w:proofErr w:type="spellStart"/>
            <w:r w:rsidR="00D208CB" w:rsidRPr="009D6CC3">
              <w:rPr>
                <w:highlight w:val="black"/>
              </w:rPr>
              <w:t>xxxxxxxxxxxxxxxxxx</w:t>
            </w:r>
            <w:proofErr w:type="spellEnd"/>
          </w:p>
        </w:tc>
      </w:tr>
      <w:tr w:rsidR="00FF1A40" w:rsidRPr="00C14DFC" w14:paraId="43C232E1" w14:textId="77777777" w:rsidTr="00FF1A40">
        <w:trPr>
          <w:trHeight w:val="284"/>
        </w:trPr>
        <w:tc>
          <w:tcPr>
            <w:tcW w:w="8964" w:type="dxa"/>
            <w:gridSpan w:val="2"/>
            <w:vAlign w:val="center"/>
          </w:tcPr>
          <w:p w14:paraId="35D4E782" w14:textId="77777777" w:rsidR="00FF1A40" w:rsidRPr="00C14DFC" w:rsidRDefault="00FF1A40" w:rsidP="00FF1A40">
            <w:r w:rsidRPr="00C14DFC">
              <w:t>(dále jen „</w:t>
            </w:r>
            <w:r>
              <w:t>zhotovitel</w:t>
            </w:r>
            <w:r w:rsidRPr="00C14DFC">
              <w:t>“)</w:t>
            </w:r>
            <w:r>
              <w:t xml:space="preserve"> na straně druhé</w:t>
            </w:r>
          </w:p>
        </w:tc>
      </w:tr>
    </w:tbl>
    <w:p w14:paraId="0C26B49D" w14:textId="77777777" w:rsidR="00003BC9" w:rsidRDefault="00003BC9" w:rsidP="00A605A0"/>
    <w:p w14:paraId="43EB9A77" w14:textId="77777777" w:rsidR="00003BC9" w:rsidRDefault="00003BC9" w:rsidP="00A605A0">
      <w:r w:rsidRPr="00C14DFC">
        <w:t>oba společně dále jen „smluvní strany“</w:t>
      </w:r>
    </w:p>
    <w:p w14:paraId="4091A03F" w14:textId="77777777" w:rsidR="000770F9" w:rsidRDefault="000770F9" w:rsidP="00A605A0"/>
    <w:p w14:paraId="2DBD62A3" w14:textId="77777777" w:rsidR="000770F9" w:rsidRPr="002501C8" w:rsidRDefault="000770F9" w:rsidP="000770F9">
      <w:pPr>
        <w:pStyle w:val="Nzevaslolnku"/>
      </w:pPr>
      <w:r w:rsidRPr="002501C8">
        <w:lastRenderedPageBreak/>
        <w:t>Preambule</w:t>
      </w:r>
    </w:p>
    <w:p w14:paraId="557DC135" w14:textId="77777777" w:rsidR="000770F9" w:rsidRPr="00646FE4" w:rsidRDefault="000770F9" w:rsidP="00646FE4">
      <w:pPr>
        <w:pStyle w:val="lnek00"/>
      </w:pPr>
      <w:r w:rsidRPr="00646FE4">
        <w:t>Objednatel vyhlásil jako zadavatel veřejné zakázky zadávací řízení</w:t>
      </w:r>
      <w:r w:rsidR="004116F9" w:rsidRPr="00646FE4">
        <w:t xml:space="preserve"> malého rozsahu</w:t>
      </w:r>
      <w:r w:rsidR="00872876" w:rsidRPr="00646FE4">
        <w:t>, v </w:t>
      </w:r>
      <w:r w:rsidRPr="00646FE4">
        <w:t>němž byla nabídka podaná zhotovitelem vyhodnocena jako nejvýhodnější, a proto objednatel se zhotovitelem uzavřel tuto smlouvu.</w:t>
      </w:r>
    </w:p>
    <w:p w14:paraId="5469FEB8" w14:textId="77777777" w:rsidR="000770F9" w:rsidRPr="00B81D29" w:rsidRDefault="000770F9" w:rsidP="00646FE4">
      <w:pPr>
        <w:pStyle w:val="lnek00"/>
      </w:pPr>
      <w:r w:rsidRPr="00B81D29">
        <w:t xml:space="preserve">Cílem zadávacího řízení bylo vybrat </w:t>
      </w:r>
      <w:r>
        <w:t>zhotovitele</w:t>
      </w:r>
      <w:r w:rsidRPr="00B81D29">
        <w:t>, který poskytne plnění v rozsahu stanoveném touto smlouvou.</w:t>
      </w:r>
    </w:p>
    <w:p w14:paraId="015DCB57" w14:textId="77777777" w:rsidR="000770F9" w:rsidRPr="00BA61A3" w:rsidRDefault="004116F9" w:rsidP="00BA61A3">
      <w:pPr>
        <w:pStyle w:val="Nzevaslolnku"/>
      </w:pPr>
      <w:r>
        <w:t>Článek</w:t>
      </w:r>
      <w:r w:rsidR="000770F9" w:rsidRPr="00BA61A3">
        <w:t xml:space="preserve"> I</w:t>
      </w:r>
      <w:r>
        <w:t>.</w:t>
      </w:r>
      <w:r w:rsidR="000770F9" w:rsidRPr="00BA61A3">
        <w:br/>
        <w:t>Úvodní ustanovení</w:t>
      </w:r>
    </w:p>
    <w:p w14:paraId="064E6AB4" w14:textId="77777777" w:rsidR="000770F9" w:rsidRDefault="000770F9" w:rsidP="00320CE9">
      <w:pPr>
        <w:pStyle w:val="lnek01"/>
      </w:pPr>
      <w:r w:rsidRPr="00320CE9">
        <w:t>Smluvní strany prohlašují, že údaje uvedené v záhlaví smlouvy jsou ke dni uzavření této smlouvy pravdivé. Smluvní strany se zavazují, že jakékoliv změny údajů uvedených v záhlaví této smlouvy oznámí bez prodlení druhé smluvní straně. Smluvní strany prohlašují, že osoby podepisující tuto smlouvu jsou k tomuto jednání oprávněny.</w:t>
      </w:r>
    </w:p>
    <w:p w14:paraId="0960214F" w14:textId="1D30763A" w:rsidR="006D4EF0" w:rsidRPr="00320CE9" w:rsidRDefault="006D4EF0" w:rsidP="00320CE9">
      <w:pPr>
        <w:pStyle w:val="lnek01"/>
      </w:pPr>
      <w:r w:rsidRPr="0025028D">
        <w:t>Zhotovitel provede</w:t>
      </w:r>
      <w:r w:rsidR="00B93152">
        <w:t xml:space="preserve"> požadované </w:t>
      </w:r>
      <w:r w:rsidR="006B1370">
        <w:t>dílo</w:t>
      </w:r>
      <w:r w:rsidRPr="0025028D">
        <w:t xml:space="preserve"> svým jménem a na svou odpovědnost</w:t>
      </w:r>
      <w:r>
        <w:t>.</w:t>
      </w:r>
    </w:p>
    <w:p w14:paraId="47EA8F3A" w14:textId="68C81576" w:rsidR="000770F9" w:rsidRDefault="000770F9" w:rsidP="00320CE9">
      <w:pPr>
        <w:pStyle w:val="lnek01"/>
      </w:pPr>
      <w:r>
        <w:t>Zhotovitel</w:t>
      </w:r>
      <w:r w:rsidRPr="00C14DFC">
        <w:t xml:space="preserve"> prohlašuje, že je odborně způsobilý</w:t>
      </w:r>
      <w:r>
        <w:t xml:space="preserve"> k </w:t>
      </w:r>
      <w:r w:rsidRPr="00C14DFC">
        <w:t xml:space="preserve">zajištění předmětu této smlouvy. </w:t>
      </w:r>
      <w:r>
        <w:t>Zhotovitel</w:t>
      </w:r>
      <w:r w:rsidRPr="00C14DFC">
        <w:t xml:space="preserve"> se zavazuje, že po celou dobu účinnosti této smlouvy bude mít sjednanou </w:t>
      </w:r>
      <w:r w:rsidRPr="00A16A81">
        <w:t xml:space="preserve">pojistnou smlouvu, jejímž předmětem je pojištění odpovědnosti za </w:t>
      </w:r>
      <w:r>
        <w:t>újmu</w:t>
      </w:r>
      <w:r w:rsidR="00FA20FB">
        <w:t xml:space="preserve"> způsobenou</w:t>
      </w:r>
      <w:r w:rsidR="00B20455">
        <w:t xml:space="preserve"> objednateli nebo</w:t>
      </w:r>
      <w:r w:rsidR="00FA20FB">
        <w:t xml:space="preserve"> </w:t>
      </w:r>
      <w:r w:rsidRPr="00A16A81">
        <w:t>třetí osobě ve výši min</w:t>
      </w:r>
      <w:r>
        <w:t>imálně</w:t>
      </w:r>
      <w:r w:rsidRPr="00A16A81">
        <w:t xml:space="preserve"> </w:t>
      </w:r>
      <w:r w:rsidR="00A96E9F">
        <w:t>5</w:t>
      </w:r>
      <w:r w:rsidR="005B52E1">
        <w:t>00 </w:t>
      </w:r>
      <w:r w:rsidR="00A67700">
        <w:t>000</w:t>
      </w:r>
      <w:r w:rsidRPr="00A16A81">
        <w:t xml:space="preserve"> Kč (slovy</w:t>
      </w:r>
      <w:r w:rsidR="004F632A">
        <w:t>:</w:t>
      </w:r>
      <w:r w:rsidRPr="00A16A81">
        <w:t xml:space="preserve"> </w:t>
      </w:r>
      <w:r w:rsidR="00A96E9F">
        <w:t>pět set</w:t>
      </w:r>
      <w:r w:rsidR="004F632A">
        <w:t xml:space="preserve"> </w:t>
      </w:r>
      <w:r w:rsidR="005B52E1">
        <w:t>tisíc</w:t>
      </w:r>
      <w:r w:rsidR="004F632A">
        <w:t xml:space="preserve"> </w:t>
      </w:r>
      <w:r w:rsidRPr="00A16A81">
        <w:t>korun českých)</w:t>
      </w:r>
      <w:r>
        <w:t>.</w:t>
      </w:r>
      <w:r w:rsidR="006D4EF0">
        <w:t xml:space="preserve"> </w:t>
      </w:r>
      <w:r w:rsidR="006D4EF0" w:rsidRPr="0025028D">
        <w:t xml:space="preserve">Potvrzení nebo kopie </w:t>
      </w:r>
      <w:r w:rsidR="006D4EF0">
        <w:t xml:space="preserve">pojistné smlouvy případně pojistného certifikátu je </w:t>
      </w:r>
      <w:r w:rsidR="006D4EF0" w:rsidRPr="00C91555">
        <w:t>přílohou č. </w:t>
      </w:r>
      <w:r w:rsidR="004F632A">
        <w:t>3</w:t>
      </w:r>
      <w:r w:rsidR="006D4EF0" w:rsidRPr="0025028D">
        <w:t xml:space="preserve"> </w:t>
      </w:r>
      <w:proofErr w:type="gramStart"/>
      <w:r w:rsidR="006D4EF0" w:rsidRPr="0025028D">
        <w:t>této</w:t>
      </w:r>
      <w:proofErr w:type="gramEnd"/>
      <w:r w:rsidR="006D4EF0" w:rsidRPr="0025028D">
        <w:t xml:space="preserve"> smlouvy.</w:t>
      </w:r>
    </w:p>
    <w:p w14:paraId="0C856F22" w14:textId="77777777" w:rsidR="00872876" w:rsidRPr="00A16A81" w:rsidRDefault="00872876" w:rsidP="00872876">
      <w:pPr>
        <w:pStyle w:val="lnek01"/>
      </w:pPr>
      <w:r w:rsidRPr="00872876">
        <w:t>Každá ze smluvních stran prohlašuje, že není v úpadku ani v likvidaci a nebylo vůči ní zahájeno insolvenční řízení</w:t>
      </w:r>
      <w:r>
        <w:t>.</w:t>
      </w:r>
    </w:p>
    <w:p w14:paraId="760526D7" w14:textId="77777777" w:rsidR="000770F9" w:rsidRPr="00C14DFC" w:rsidRDefault="004116F9" w:rsidP="000770F9">
      <w:pPr>
        <w:pStyle w:val="Nzevaslolnku"/>
      </w:pPr>
      <w:r>
        <w:t xml:space="preserve">Článek </w:t>
      </w:r>
      <w:r w:rsidR="000770F9">
        <w:t>II</w:t>
      </w:r>
      <w:r>
        <w:t>.</w:t>
      </w:r>
      <w:r w:rsidR="000770F9">
        <w:br/>
        <w:t>Předmět smlouvy</w:t>
      </w:r>
    </w:p>
    <w:p w14:paraId="3EB00EDA" w14:textId="7EB7154D" w:rsidR="0010022C" w:rsidRDefault="0010022C" w:rsidP="00D3194D">
      <w:pPr>
        <w:pStyle w:val="lnek02"/>
      </w:pPr>
      <w:r w:rsidRPr="0010022C">
        <w:t>Předmětem této</w:t>
      </w:r>
      <w:r w:rsidR="00986734">
        <w:t xml:space="preserve"> smlouv</w:t>
      </w:r>
      <w:r w:rsidRPr="0010022C">
        <w:t xml:space="preserve">y je závazek </w:t>
      </w:r>
      <w:r>
        <w:t>z</w:t>
      </w:r>
      <w:r w:rsidR="00B93152">
        <w:t>hotovitele dodat</w:t>
      </w:r>
      <w:r w:rsidRPr="0010022C">
        <w:t xml:space="preserve"> </w:t>
      </w:r>
      <w:r w:rsidRPr="00584959">
        <w:t xml:space="preserve">na svůj náklad a nebezpečí </w:t>
      </w:r>
      <w:r w:rsidRPr="0010022C">
        <w:t xml:space="preserve">pro </w:t>
      </w:r>
      <w:r>
        <w:t>o</w:t>
      </w:r>
      <w:r w:rsidR="00B93152">
        <w:t>bjednatele služby</w:t>
      </w:r>
      <w:r w:rsidR="0009144F">
        <w:t xml:space="preserve"> </w:t>
      </w:r>
      <w:r w:rsidRPr="0010022C">
        <w:t>k veřejné zakázce s názvem „</w:t>
      </w:r>
      <w:r w:rsidR="006A7DFE">
        <w:t>Systém pro centralizovanou správu logů</w:t>
      </w:r>
      <w:r w:rsidRPr="0010022C">
        <w:t>“</w:t>
      </w:r>
      <w:r w:rsidR="00B93152">
        <w:t xml:space="preserve"> </w:t>
      </w:r>
      <w:r w:rsidR="003027E8">
        <w:t>(dále jen</w:t>
      </w:r>
      <w:r w:rsidR="00B93152">
        <w:t xml:space="preserve"> „dílo“) </w:t>
      </w:r>
      <w:r w:rsidRPr="0010022C">
        <w:t xml:space="preserve"> </w:t>
      </w:r>
      <w:r w:rsidR="00A514BA">
        <w:t>dle specifikace zakázky (p</w:t>
      </w:r>
      <w:r w:rsidR="00FF1A40">
        <w:t>říloha č.</w:t>
      </w:r>
      <w:r w:rsidR="00454157">
        <w:t xml:space="preserve"> </w:t>
      </w:r>
      <w:r w:rsidR="00FF1A40">
        <w:t>1)</w:t>
      </w:r>
      <w:r w:rsidR="006B3F3F">
        <w:t xml:space="preserve"> </w:t>
      </w:r>
      <w:r w:rsidRPr="0010022C">
        <w:t>a</w:t>
      </w:r>
      <w:r w:rsidR="006B3F3F">
        <w:t xml:space="preserve"> </w:t>
      </w:r>
      <w:r w:rsidRPr="0010022C">
        <w:t xml:space="preserve">závazek </w:t>
      </w:r>
      <w:r>
        <w:t>o</w:t>
      </w:r>
      <w:r w:rsidRPr="0010022C">
        <w:t xml:space="preserve">bjednatele zaplatit </w:t>
      </w:r>
      <w:r>
        <w:t>z</w:t>
      </w:r>
      <w:r w:rsidRPr="0010022C">
        <w:t xml:space="preserve">hotoviteli za provedení díla sjednanou cenu, za podmínek vymezených v této </w:t>
      </w:r>
      <w:r>
        <w:t>s</w:t>
      </w:r>
      <w:r w:rsidRPr="0010022C">
        <w:t>mlouvě.</w:t>
      </w:r>
    </w:p>
    <w:p w14:paraId="033687B5" w14:textId="281DA24B" w:rsidR="0010022C" w:rsidRDefault="0010022C" w:rsidP="0010022C">
      <w:pPr>
        <w:pStyle w:val="lnek02"/>
      </w:pPr>
      <w:r w:rsidRPr="0010022C">
        <w:t xml:space="preserve">Zhotovitel potvrzuje, že se v plném rozsahu seznámil s rozsahem a povahou </w:t>
      </w:r>
      <w:r w:rsidR="003027E8">
        <w:t>díla</w:t>
      </w:r>
      <w:r w:rsidRPr="0010022C">
        <w:t>, že jsou mu známy veškeré technické, kvalitativní a jiné podmí</w:t>
      </w:r>
      <w:r w:rsidR="00EE2990">
        <w:t>nky nezbytné k realizaci</w:t>
      </w:r>
      <w:r w:rsidR="00BA61A3">
        <w:t xml:space="preserve"> </w:t>
      </w:r>
      <w:r w:rsidR="0009144F">
        <w:t xml:space="preserve">díla </w:t>
      </w:r>
      <w:r w:rsidR="00BA61A3">
        <w:t>a </w:t>
      </w:r>
      <w:r w:rsidRPr="0010022C">
        <w:t>že disponuje takovými kapacitami a odbornými znalostmi, které jsou k</w:t>
      </w:r>
      <w:r w:rsidR="00BA61A3">
        <w:t> </w:t>
      </w:r>
      <w:r w:rsidRPr="0010022C">
        <w:t>ř</w:t>
      </w:r>
      <w:r w:rsidR="00EE2990">
        <w:t>ádnému a včasnému provedení</w:t>
      </w:r>
      <w:r w:rsidRPr="0010022C">
        <w:t xml:space="preserve"> </w:t>
      </w:r>
      <w:r w:rsidR="003027E8">
        <w:t xml:space="preserve">díla </w:t>
      </w:r>
      <w:r w:rsidRPr="0010022C">
        <w:t>nezbytné</w:t>
      </w:r>
      <w:r>
        <w:t>.</w:t>
      </w:r>
    </w:p>
    <w:p w14:paraId="5E00DB4E" w14:textId="5DB6C125" w:rsidR="00346602" w:rsidRDefault="00346602" w:rsidP="00346602">
      <w:pPr>
        <w:pStyle w:val="lnek02"/>
      </w:pPr>
      <w:r w:rsidRPr="00346602">
        <w:t xml:space="preserve">Objednatel se zavazuje poskytnout zhotoviteli součinnost potřebnou pro řádné provedení </w:t>
      </w:r>
      <w:r w:rsidR="0009144F">
        <w:t>díla</w:t>
      </w:r>
      <w:r w:rsidRPr="00346602">
        <w:t>. V případě, kdy přes výzvu zhotovitele objednatel tuto součinnost zhotoviteli neposkytne ani v dodatečné lhůtě sedmi (7) dnů</w:t>
      </w:r>
      <w:r w:rsidR="00454157">
        <w:t>,</w:t>
      </w:r>
      <w:r w:rsidRPr="00346602">
        <w:t xml:space="preserve"> je zhotovitel oprávněn si podle své volby zajistit náhradní plnění na účet objednatele nebo i bez předchozího upozornění od </w:t>
      </w:r>
      <w:r w:rsidR="00BD3EEA">
        <w:t>smlouv</w:t>
      </w:r>
      <w:r w:rsidRPr="00346602">
        <w:t>y odstoupit.</w:t>
      </w:r>
    </w:p>
    <w:p w14:paraId="61EA3426" w14:textId="77777777" w:rsidR="0010022C" w:rsidRDefault="0010022C" w:rsidP="0010022C">
      <w:pPr>
        <w:pStyle w:val="Nzevaslolnku"/>
      </w:pPr>
      <w:r>
        <w:t>Článek II</w:t>
      </w:r>
      <w:r w:rsidR="00BA61A3">
        <w:t>I</w:t>
      </w:r>
      <w:r>
        <w:t>.</w:t>
      </w:r>
      <w:r>
        <w:br/>
        <w:t>Doba a místo plnění</w:t>
      </w:r>
    </w:p>
    <w:p w14:paraId="3EBD5DD7" w14:textId="46EF8B3D" w:rsidR="008610D9" w:rsidRPr="00A77BE2" w:rsidRDefault="006B3F3F" w:rsidP="003027E8">
      <w:pPr>
        <w:pStyle w:val="lnek03"/>
        <w:rPr>
          <w:spacing w:val="-4"/>
        </w:rPr>
      </w:pPr>
      <w:r w:rsidRPr="00A77BE2">
        <w:rPr>
          <w:spacing w:val="-4"/>
        </w:rPr>
        <w:t xml:space="preserve">Místem plnění </w:t>
      </w:r>
      <w:r w:rsidR="008610D9" w:rsidRPr="00A77BE2">
        <w:rPr>
          <w:spacing w:val="-4"/>
        </w:rPr>
        <w:t xml:space="preserve">dodávky </w:t>
      </w:r>
      <w:r w:rsidR="003027E8" w:rsidRPr="00A77BE2">
        <w:rPr>
          <w:spacing w:val="-4"/>
        </w:rPr>
        <w:t>díla</w:t>
      </w:r>
      <w:r w:rsidRPr="00A77BE2">
        <w:rPr>
          <w:spacing w:val="-4"/>
        </w:rPr>
        <w:t xml:space="preserve"> </w:t>
      </w:r>
      <w:r w:rsidR="008610D9" w:rsidRPr="00A77BE2">
        <w:rPr>
          <w:spacing w:val="-4"/>
        </w:rPr>
        <w:t>je ústřední inspektorát ČOI,</w:t>
      </w:r>
      <w:r w:rsidR="006B0B97" w:rsidRPr="00A77BE2">
        <w:rPr>
          <w:spacing w:val="-4"/>
        </w:rPr>
        <w:t xml:space="preserve"> </w:t>
      </w:r>
      <w:r w:rsidR="008610D9" w:rsidRPr="00A77BE2">
        <w:rPr>
          <w:spacing w:val="-4"/>
        </w:rPr>
        <w:t>Štěpánská 567/15,</w:t>
      </w:r>
      <w:r w:rsidR="006B0B97" w:rsidRPr="00A77BE2">
        <w:rPr>
          <w:spacing w:val="-4"/>
        </w:rPr>
        <w:t xml:space="preserve"> </w:t>
      </w:r>
      <w:r w:rsidR="008610D9" w:rsidRPr="00A77BE2">
        <w:rPr>
          <w:spacing w:val="-4"/>
        </w:rPr>
        <w:t>120 00 Praha 2</w:t>
      </w:r>
      <w:r w:rsidR="00454157" w:rsidRPr="00A77BE2">
        <w:rPr>
          <w:spacing w:val="-4"/>
        </w:rPr>
        <w:t>.</w:t>
      </w:r>
      <w:r w:rsidR="008610D9" w:rsidRPr="00A77BE2">
        <w:rPr>
          <w:spacing w:val="-4"/>
        </w:rPr>
        <w:t xml:space="preserve"> </w:t>
      </w:r>
    </w:p>
    <w:p w14:paraId="4B42EB24" w14:textId="390E363E" w:rsidR="0044233A" w:rsidRPr="00435865" w:rsidRDefault="00B767AF" w:rsidP="00633CEB">
      <w:pPr>
        <w:pStyle w:val="lnek03"/>
      </w:pPr>
      <w:r>
        <w:t xml:space="preserve">Zhotovitel se zavazuje dodat </w:t>
      </w:r>
      <w:r w:rsidR="00F85164">
        <w:t>S</w:t>
      </w:r>
      <w:r w:rsidR="006A7DFE">
        <w:t>ystém pro centralizovanou</w:t>
      </w:r>
      <w:r w:rsidR="009570F4">
        <w:t xml:space="preserve"> správu logů, </w:t>
      </w:r>
      <w:r w:rsidR="00600093">
        <w:t>provést</w:t>
      </w:r>
      <w:r w:rsidR="003A388A">
        <w:t xml:space="preserve"> implementaci</w:t>
      </w:r>
      <w:r w:rsidR="0044233A" w:rsidRPr="0044233A">
        <w:t xml:space="preserve"> </w:t>
      </w:r>
      <w:r w:rsidR="003D4426">
        <w:t xml:space="preserve">a školení </w:t>
      </w:r>
      <w:r w:rsidR="0044233A" w:rsidRPr="0044233A">
        <w:t>v termín</w:t>
      </w:r>
      <w:r w:rsidR="00C91555">
        <w:t>u</w:t>
      </w:r>
      <w:r w:rsidR="0044233A" w:rsidRPr="0044233A">
        <w:t xml:space="preserve"> </w:t>
      </w:r>
      <w:r>
        <w:t>d</w:t>
      </w:r>
      <w:r w:rsidR="001D22AD">
        <w:t xml:space="preserve">o </w:t>
      </w:r>
      <w:r w:rsidR="00822916">
        <w:t>sto dvaceti (</w:t>
      </w:r>
      <w:r w:rsidR="009570F4">
        <w:t>12</w:t>
      </w:r>
      <w:r w:rsidR="00584F93">
        <w:t>0</w:t>
      </w:r>
      <w:r w:rsidR="00822916">
        <w:t>)</w:t>
      </w:r>
      <w:r w:rsidR="00584F93">
        <w:t xml:space="preserve"> dnů</w:t>
      </w:r>
      <w:r w:rsidR="001D22AD">
        <w:t xml:space="preserve"> </w:t>
      </w:r>
      <w:r w:rsidR="0042008D">
        <w:t>od data</w:t>
      </w:r>
      <w:r w:rsidR="00F41835">
        <w:t xml:space="preserve"> </w:t>
      </w:r>
      <w:r w:rsidR="00584F93">
        <w:t>u</w:t>
      </w:r>
      <w:r w:rsidR="00F41835">
        <w:t>veřejnění smlouvy v</w:t>
      </w:r>
      <w:r w:rsidR="000255BB">
        <w:t> </w:t>
      </w:r>
      <w:r w:rsidR="006831CD">
        <w:t>r</w:t>
      </w:r>
      <w:r w:rsidR="00F41835">
        <w:t>egistru</w:t>
      </w:r>
      <w:r w:rsidR="000255BB">
        <w:t xml:space="preserve"> smluv</w:t>
      </w:r>
      <w:r w:rsidR="0042008D">
        <w:t xml:space="preserve">, </w:t>
      </w:r>
      <w:r w:rsidR="00CF6027">
        <w:t>následně</w:t>
      </w:r>
      <w:r w:rsidR="003A388A">
        <w:t xml:space="preserve"> </w:t>
      </w:r>
      <w:r w:rsidR="00FE0904">
        <w:t>třicet šest</w:t>
      </w:r>
      <w:r w:rsidR="007B4D57">
        <w:t xml:space="preserve"> (</w:t>
      </w:r>
      <w:r w:rsidR="00FE0904">
        <w:t>36</w:t>
      </w:r>
      <w:r w:rsidR="007B4D57">
        <w:t>)</w:t>
      </w:r>
      <w:r w:rsidR="003A388A">
        <w:t xml:space="preserve"> měsíců od podpisu a</w:t>
      </w:r>
      <w:r w:rsidR="0042008D">
        <w:t>kceptačního protokolu</w:t>
      </w:r>
      <w:r w:rsidR="003A388A">
        <w:t xml:space="preserve"> </w:t>
      </w:r>
      <w:r w:rsidR="003A388A">
        <w:lastRenderedPageBreak/>
        <w:t>(</w:t>
      </w:r>
      <w:r w:rsidR="00FE0904">
        <w:t>dodávka, i</w:t>
      </w:r>
      <w:r w:rsidR="003A388A">
        <w:t>mplementace</w:t>
      </w:r>
      <w:r w:rsidR="003D4426">
        <w:t xml:space="preserve"> a školení</w:t>
      </w:r>
      <w:r w:rsidR="003A388A">
        <w:t xml:space="preserve">) </w:t>
      </w:r>
      <w:r w:rsidR="0042008D">
        <w:t>dod</w:t>
      </w:r>
      <w:r w:rsidR="007B4D57">
        <w:t>áv</w:t>
      </w:r>
      <w:r w:rsidR="0042008D">
        <w:t>at</w:t>
      </w:r>
      <w:r w:rsidR="000255BB">
        <w:t xml:space="preserve"> služby </w:t>
      </w:r>
      <w:r w:rsidR="006A7DFE">
        <w:t xml:space="preserve">technické </w:t>
      </w:r>
      <w:r w:rsidR="000255BB">
        <w:t xml:space="preserve">podpory (obsah a rozsah definuje </w:t>
      </w:r>
      <w:r w:rsidR="007B4D57">
        <w:t>p</w:t>
      </w:r>
      <w:r w:rsidR="000255BB">
        <w:t>říloha č.</w:t>
      </w:r>
      <w:r w:rsidR="007B4D57">
        <w:t xml:space="preserve"> </w:t>
      </w:r>
      <w:r w:rsidR="000255BB">
        <w:t>1).</w:t>
      </w:r>
    </w:p>
    <w:p w14:paraId="7B670285" w14:textId="77777777" w:rsidR="0025028D" w:rsidRPr="00437327" w:rsidRDefault="0025028D" w:rsidP="0025028D">
      <w:pPr>
        <w:pStyle w:val="Nzevaslolnku"/>
      </w:pPr>
      <w:r w:rsidRPr="00437327">
        <w:t xml:space="preserve">Článek </w:t>
      </w:r>
      <w:r w:rsidR="007C6F7B">
        <w:t>I</w:t>
      </w:r>
      <w:r w:rsidRPr="00437327">
        <w:t>V.</w:t>
      </w:r>
      <w:r>
        <w:br/>
      </w:r>
      <w:r w:rsidRPr="00437327">
        <w:t>Práva a povinnosti zhotovitele</w:t>
      </w:r>
    </w:p>
    <w:p w14:paraId="39D8AC44" w14:textId="77777777" w:rsidR="00EC5E00" w:rsidRPr="0025028D" w:rsidRDefault="00EC5E00" w:rsidP="00EC5E00">
      <w:pPr>
        <w:pStyle w:val="lnek04"/>
      </w:pPr>
      <w:r w:rsidRPr="0025028D">
        <w:t xml:space="preserve">Zhotovitel se zavazuje provést </w:t>
      </w:r>
      <w:r>
        <w:t>d</w:t>
      </w:r>
      <w:r w:rsidRPr="0025028D">
        <w:t xml:space="preserve">ílo v souladu s touto </w:t>
      </w:r>
      <w:r>
        <w:t>s</w:t>
      </w:r>
      <w:r w:rsidRPr="0025028D">
        <w:t xml:space="preserve">mlouvou s </w:t>
      </w:r>
      <w:r w:rsidRPr="00EC5E00">
        <w:t>náležitou odbornou péčí, v souladu s obecně závaznými právními předpisy a příslušnými technickými normami</w:t>
      </w:r>
      <w:r>
        <w:t xml:space="preserve">, </w:t>
      </w:r>
      <w:r w:rsidRPr="0025028D">
        <w:t>na svou vlastní odpovědnost a poskytovat všechny ekonomické, materiální a lidské prvky tak, aby mohl naplnit účel této smlouvy a předat řádně provedené dílo objednateli včas.</w:t>
      </w:r>
    </w:p>
    <w:p w14:paraId="48558199" w14:textId="77777777" w:rsidR="0025028D" w:rsidRDefault="007C6F7B" w:rsidP="007C6F7B">
      <w:pPr>
        <w:pStyle w:val="lnek04"/>
      </w:pPr>
      <w:r w:rsidRPr="007C6F7B">
        <w:t xml:space="preserve">Zhotovitel prohlašuje, že v souladu s touto </w:t>
      </w:r>
      <w:r w:rsidR="00BD3EEA">
        <w:t>smlouv</w:t>
      </w:r>
      <w:r w:rsidRPr="007C6F7B">
        <w:t xml:space="preserve">ou odpovídá objednateli za škodu na věcech, pokud je od objednatele protokolárně převzal pro účely provádění </w:t>
      </w:r>
      <w:r w:rsidR="00BD3EEA">
        <w:t>díl</w:t>
      </w:r>
      <w:r w:rsidRPr="007C6F7B">
        <w:t>a</w:t>
      </w:r>
      <w:r w:rsidR="0025028D" w:rsidRPr="0025028D">
        <w:t>.</w:t>
      </w:r>
    </w:p>
    <w:p w14:paraId="13599CB5" w14:textId="7C7FA1ED" w:rsidR="00EC5E00" w:rsidRPr="0025028D" w:rsidRDefault="00EC5E00" w:rsidP="00EC5E00">
      <w:pPr>
        <w:pStyle w:val="lnek04"/>
      </w:pPr>
      <w:r w:rsidRPr="00EC5E00">
        <w:t xml:space="preserve">Zhotovitel se zavazuje při provádění </w:t>
      </w:r>
      <w:r w:rsidR="00BD3EEA">
        <w:t>díl</w:t>
      </w:r>
      <w:r w:rsidRPr="00EC5E00">
        <w:t xml:space="preserve">a posoudit příkazy objednatele, je však současně povinen objednatele upozornit na možné negativní důsledky jeho rozhodnutí, včetně důsledků pro kvalitu a termín odevzdání </w:t>
      </w:r>
      <w:r w:rsidR="00BD3EEA">
        <w:t>díl</w:t>
      </w:r>
      <w:r w:rsidR="003B7EB6">
        <w:t>a</w:t>
      </w:r>
      <w:r w:rsidR="00DB6E92">
        <w:t>. Ustanovení §</w:t>
      </w:r>
      <w:r w:rsidRPr="00EC5E00">
        <w:t xml:space="preserve"> 2594 a </w:t>
      </w:r>
      <w:r w:rsidR="00DB6E92">
        <w:t>§</w:t>
      </w:r>
      <w:r w:rsidR="007B4D57">
        <w:t xml:space="preserve"> </w:t>
      </w:r>
      <w:r w:rsidRPr="00EC5E00">
        <w:t>2595 občanského zákoní</w:t>
      </w:r>
      <w:r w:rsidR="005B52E1">
        <w:t>ku nejsou dotčena.</w:t>
      </w:r>
    </w:p>
    <w:p w14:paraId="6FDD8239" w14:textId="5E342BB3" w:rsidR="0025028D" w:rsidRPr="0025028D" w:rsidRDefault="0025028D" w:rsidP="00EC5E00">
      <w:pPr>
        <w:pStyle w:val="lnek04"/>
      </w:pPr>
      <w:r w:rsidRPr="0025028D">
        <w:t xml:space="preserve">Zhotovitel není oprávněn pověřit provedením </w:t>
      </w:r>
      <w:r>
        <w:t>d</w:t>
      </w:r>
      <w:r w:rsidRPr="0025028D">
        <w:t xml:space="preserve">íla ani jeho části jinou osobu bez </w:t>
      </w:r>
      <w:r w:rsidR="00822916">
        <w:t xml:space="preserve">předchozího </w:t>
      </w:r>
      <w:r w:rsidRPr="0025028D">
        <w:t xml:space="preserve">písemného souhlasu </w:t>
      </w:r>
      <w:r>
        <w:t>o</w:t>
      </w:r>
      <w:r w:rsidR="003B53C4">
        <w:t>bjednatele.</w:t>
      </w:r>
      <w:r w:rsidR="00EC5E00" w:rsidRPr="00EC5E00">
        <w:t xml:space="preserve"> </w:t>
      </w:r>
    </w:p>
    <w:p w14:paraId="1FD9C6EF" w14:textId="77777777" w:rsidR="0025028D" w:rsidRDefault="007C6F7B" w:rsidP="007C6F7B">
      <w:pPr>
        <w:pStyle w:val="lnek04"/>
      </w:pPr>
      <w:r w:rsidRPr="007C6F7B">
        <w:t xml:space="preserve">Zhotovitel se zavazuje neprodleně informovat objednatele o všech skutečnostech, které mohou mít vliv na provádění </w:t>
      </w:r>
      <w:r w:rsidR="00BD3EEA">
        <w:t>díl</w:t>
      </w:r>
      <w:r w:rsidRPr="007C6F7B">
        <w:t>a</w:t>
      </w:r>
      <w:r w:rsidR="0025028D" w:rsidRPr="0025028D">
        <w:t>.</w:t>
      </w:r>
    </w:p>
    <w:p w14:paraId="00B18CFB" w14:textId="005C98BE" w:rsidR="007C6F7B" w:rsidRPr="0025028D" w:rsidRDefault="007C6F7B" w:rsidP="007C6F7B">
      <w:pPr>
        <w:pStyle w:val="lnek04"/>
      </w:pPr>
      <w:r>
        <w:rPr>
          <w:szCs w:val="18"/>
          <w:lang w:eastAsia="en-US"/>
        </w:rPr>
        <w:t xml:space="preserve">Zhotovitel prohlašuje a objednatel bere na vědomí a souhlasí s tím, že </w:t>
      </w:r>
      <w:r w:rsidR="00BD3EEA">
        <w:rPr>
          <w:szCs w:val="18"/>
          <w:lang w:eastAsia="en-US"/>
        </w:rPr>
        <w:t>díl</w:t>
      </w:r>
      <w:r>
        <w:rPr>
          <w:szCs w:val="18"/>
          <w:lang w:eastAsia="en-US"/>
        </w:rPr>
        <w:t xml:space="preserve">o, ani jeho jednotlivá část není veřejným dokumentem sloužícím k prokazování skutečností v rámci soudních, správních, rozhodčích či jiných řízení a nemá povahu znaleckého posudku ani jiného obdobného dokumentu, přičemž bez souhlasu zhotovitele není objednatel oprávněn </w:t>
      </w:r>
      <w:r w:rsidR="00BD3EEA">
        <w:rPr>
          <w:szCs w:val="18"/>
          <w:lang w:eastAsia="en-US"/>
        </w:rPr>
        <w:t>díl</w:t>
      </w:r>
      <w:r>
        <w:rPr>
          <w:szCs w:val="18"/>
          <w:lang w:eastAsia="en-US"/>
        </w:rPr>
        <w:t>o tímto způsobem použít.</w:t>
      </w:r>
    </w:p>
    <w:p w14:paraId="367A179B" w14:textId="77777777" w:rsidR="003B53C4" w:rsidRPr="00437327" w:rsidRDefault="003B53C4" w:rsidP="003B53C4">
      <w:pPr>
        <w:pStyle w:val="Nzevaslolnku"/>
      </w:pPr>
      <w:r w:rsidRPr="00437327">
        <w:t>Článek V.</w:t>
      </w:r>
      <w:r>
        <w:br/>
      </w:r>
      <w:r w:rsidRPr="00437327">
        <w:t>Práva a povinnosti objednatele</w:t>
      </w:r>
    </w:p>
    <w:p w14:paraId="04E86569" w14:textId="77777777" w:rsidR="00EA22BE" w:rsidRDefault="00EA22BE" w:rsidP="00EA22BE">
      <w:pPr>
        <w:pStyle w:val="lnek05"/>
      </w:pPr>
      <w:r>
        <w:t>Objednatel se zavazuje:</w:t>
      </w:r>
    </w:p>
    <w:p w14:paraId="628732C0" w14:textId="77777777" w:rsidR="003B53C4" w:rsidRPr="00646FE4" w:rsidRDefault="00EA22BE" w:rsidP="00646FE4">
      <w:pPr>
        <w:pStyle w:val="Odstavecseseznamem"/>
      </w:pPr>
      <w:r w:rsidRPr="00646FE4">
        <w:t xml:space="preserve">poskytnout zhotoviteli na jeho vyžádání přímou součinnost potřebnou pro provádění </w:t>
      </w:r>
      <w:r w:rsidR="00BD3EEA">
        <w:t>díl</w:t>
      </w:r>
      <w:r w:rsidRPr="00646FE4">
        <w:t>a,</w:t>
      </w:r>
    </w:p>
    <w:p w14:paraId="77B2E622" w14:textId="77777777" w:rsidR="00EA22BE" w:rsidRPr="00646FE4" w:rsidRDefault="00EA22BE" w:rsidP="00646FE4">
      <w:pPr>
        <w:pStyle w:val="Odstavecseseznamem"/>
      </w:pPr>
      <w:r w:rsidRPr="00646FE4">
        <w:t xml:space="preserve">poskytnout zhotoviteli na jeho vyžádání přístup do prostor či k zařízením objednatele, pokud je to potřebné pro řádné provádění </w:t>
      </w:r>
      <w:r w:rsidR="00BD3EEA">
        <w:t>díl</w:t>
      </w:r>
      <w:r w:rsidRPr="00646FE4">
        <w:t>a,</w:t>
      </w:r>
    </w:p>
    <w:p w14:paraId="2533A642" w14:textId="77777777" w:rsidR="00EA22BE" w:rsidRPr="00646FE4" w:rsidRDefault="00EA22BE" w:rsidP="00646FE4">
      <w:pPr>
        <w:pStyle w:val="Odstavecseseznamem"/>
      </w:pPr>
      <w:r w:rsidRPr="00646FE4">
        <w:t>ustanovit odpovědnou osobu pro kontakt zaměstnanců zhotovitele se zaměstnanci objednatele,</w:t>
      </w:r>
    </w:p>
    <w:p w14:paraId="497DE7DA" w14:textId="77777777" w:rsidR="00EA22BE" w:rsidRPr="00646FE4" w:rsidRDefault="00EA22BE" w:rsidP="00646FE4">
      <w:pPr>
        <w:pStyle w:val="Odstavecseseznamem"/>
      </w:pPr>
      <w:r w:rsidRPr="00646FE4">
        <w:t xml:space="preserve">dostavit se k předávacímu řízení a převzít od zhotovitele </w:t>
      </w:r>
      <w:r w:rsidR="00BD3EEA">
        <w:t>díl</w:t>
      </w:r>
      <w:r w:rsidRPr="00646FE4">
        <w:t>o, pokud splnilo akceptační kritéria,</w:t>
      </w:r>
    </w:p>
    <w:p w14:paraId="7E3460AC" w14:textId="77777777" w:rsidR="00EA22BE" w:rsidRPr="00646FE4" w:rsidRDefault="00EA22BE" w:rsidP="00646FE4">
      <w:pPr>
        <w:pStyle w:val="Odstavecseseznamem"/>
      </w:pPr>
      <w:r w:rsidRPr="00646FE4">
        <w:t xml:space="preserve">vybavit zhotovitele odpovídající písemnou plnou mocí, pokud o to zhotovitel písemně požádá a pokud taková plná moc bude k provádění </w:t>
      </w:r>
      <w:r w:rsidR="00BD3EEA">
        <w:t>díl</w:t>
      </w:r>
      <w:r w:rsidRPr="00646FE4">
        <w:t>a nutná,</w:t>
      </w:r>
    </w:p>
    <w:p w14:paraId="3A6D9574" w14:textId="77777777" w:rsidR="00EA22BE" w:rsidRPr="00646FE4" w:rsidRDefault="00EA22BE" w:rsidP="00646FE4">
      <w:pPr>
        <w:pStyle w:val="Odstavecseseznamem"/>
      </w:pPr>
      <w:r w:rsidRPr="00646FE4">
        <w:t xml:space="preserve">neprodleně informovat zhotovitele o všech skutečnostech, které mohou mít vliv na provádění </w:t>
      </w:r>
      <w:r w:rsidR="00BD3EEA">
        <w:t>díl</w:t>
      </w:r>
      <w:r w:rsidRPr="00646FE4">
        <w:t>a.</w:t>
      </w:r>
    </w:p>
    <w:p w14:paraId="190B5D6F" w14:textId="553E940D" w:rsidR="00EA22BE" w:rsidRDefault="003B53C4" w:rsidP="00812626">
      <w:pPr>
        <w:pStyle w:val="lnek05"/>
      </w:pPr>
      <w:r w:rsidRPr="00812626">
        <w:t xml:space="preserve">Za </w:t>
      </w:r>
      <w:r w:rsidR="00812626">
        <w:t>o</w:t>
      </w:r>
      <w:r w:rsidRPr="00812626">
        <w:t xml:space="preserve">bjednatele jsou oprávněni provádět </w:t>
      </w:r>
      <w:r w:rsidR="008610D9">
        <w:t xml:space="preserve">součinnost a </w:t>
      </w:r>
      <w:r w:rsidRPr="00812626">
        <w:t xml:space="preserve">kontrolu prací </w:t>
      </w:r>
      <w:r w:rsidR="00812626">
        <w:t>zaměstnanci</w:t>
      </w:r>
      <w:r w:rsidRPr="00812626">
        <w:t xml:space="preserve"> </w:t>
      </w:r>
      <w:r w:rsidR="00600093">
        <w:t>Ú</w:t>
      </w:r>
      <w:r w:rsidR="00FA20FB">
        <w:t xml:space="preserve">středního inspektorátu, </w:t>
      </w:r>
      <w:r w:rsidR="007B4D57">
        <w:t>O</w:t>
      </w:r>
      <w:r w:rsidR="008610D9">
        <w:t>ddělení informatiky</w:t>
      </w:r>
      <w:r w:rsidR="00EA22BE">
        <w:t>.</w:t>
      </w:r>
    </w:p>
    <w:p w14:paraId="640C1A14" w14:textId="77777777" w:rsidR="0044233A" w:rsidRPr="00437327" w:rsidRDefault="0044233A" w:rsidP="0044233A">
      <w:pPr>
        <w:pStyle w:val="Nzevaslolnku"/>
      </w:pPr>
      <w:r w:rsidRPr="00437327">
        <w:t xml:space="preserve">Článek </w:t>
      </w:r>
      <w:r>
        <w:t>V</w:t>
      </w:r>
      <w:r w:rsidR="00EA22BE">
        <w:t>I</w:t>
      </w:r>
      <w:r w:rsidRPr="00437327">
        <w:t>.</w:t>
      </w:r>
      <w:r>
        <w:br/>
      </w:r>
      <w:r w:rsidRPr="00437327">
        <w:t>Cena díla a platební podmínky</w:t>
      </w:r>
    </w:p>
    <w:p w14:paraId="1DBB5698" w14:textId="5CC29A87" w:rsidR="00DB6E92" w:rsidRDefault="008C1C1A" w:rsidP="00DB6E92">
      <w:pPr>
        <w:pStyle w:val="lnek05"/>
        <w:numPr>
          <w:ilvl w:val="0"/>
          <w:numId w:val="20"/>
        </w:numPr>
        <w:ind w:left="426" w:hanging="426"/>
      </w:pPr>
      <w:r>
        <w:t>Cena za dílo</w:t>
      </w:r>
      <w:r w:rsidR="00DB6E92" w:rsidRPr="00465100">
        <w:t xml:space="preserve"> poskytnuté pro splnění předmětu této smlouvy je stanovena dohodou smluvních stran takto</w:t>
      </w:r>
      <w:r w:rsidR="00600093">
        <w:t>.</w:t>
      </w:r>
    </w:p>
    <w:p w14:paraId="36F5CD27" w14:textId="7822DC6F" w:rsidR="00DB6E92" w:rsidRPr="004536EF" w:rsidRDefault="008610D9" w:rsidP="00E803C6">
      <w:pPr>
        <w:ind w:left="284" w:hanging="1"/>
      </w:pPr>
      <w:r>
        <w:lastRenderedPageBreak/>
        <w:t xml:space="preserve">Cena za </w:t>
      </w:r>
      <w:r w:rsidR="00974ADB">
        <w:t>systém pro centralizovanou správu logů</w:t>
      </w:r>
      <w:r w:rsidR="00E803C6">
        <w:t>, implementaci</w:t>
      </w:r>
      <w:r w:rsidR="00974ADB">
        <w:t>, školení</w:t>
      </w:r>
      <w:r w:rsidR="00DB6E92">
        <w:t xml:space="preserve"> a </w:t>
      </w:r>
      <w:r>
        <w:t xml:space="preserve">technickou </w:t>
      </w:r>
      <w:r w:rsidR="002A0218">
        <w:t>podporu</w:t>
      </w:r>
      <w:r w:rsidR="00E803C6">
        <w:t xml:space="preserve"> dle technických specifikací </w:t>
      </w:r>
      <w:r w:rsidR="009112EB">
        <w:t>(příloha č.</w:t>
      </w:r>
      <w:r w:rsidR="007B4D57">
        <w:t xml:space="preserve"> </w:t>
      </w:r>
      <w:r w:rsidR="009112EB">
        <w:t xml:space="preserve">1 </w:t>
      </w:r>
      <w:r w:rsidR="007B4D57">
        <w:t>s</w:t>
      </w:r>
      <w:r w:rsidR="009112EB">
        <w:t>mlouvy)</w:t>
      </w:r>
      <w:r w:rsidR="00140144">
        <w:t xml:space="preserve"> činí</w:t>
      </w:r>
      <w:r w:rsidR="002A0218">
        <w:t>:</w:t>
      </w:r>
    </w:p>
    <w:p w14:paraId="0ECC1309" w14:textId="77777777" w:rsidR="00DB6E92" w:rsidRPr="00B613E4" w:rsidRDefault="00DB6E92" w:rsidP="00DB6E92">
      <w:pPr>
        <w:rPr>
          <w:sz w:val="6"/>
        </w:rPr>
      </w:pPr>
    </w:p>
    <w:tbl>
      <w:tblPr>
        <w:tblW w:w="89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127"/>
        <w:gridCol w:w="1701"/>
        <w:gridCol w:w="1417"/>
        <w:gridCol w:w="1152"/>
      </w:tblGrid>
      <w:tr w:rsidR="00915228" w:rsidRPr="00A16977" w14:paraId="3D7D9BCC" w14:textId="77777777" w:rsidTr="00915228">
        <w:trPr>
          <w:trHeight w:val="340"/>
        </w:trPr>
        <w:tc>
          <w:tcPr>
            <w:tcW w:w="2551" w:type="dxa"/>
            <w:vMerge w:val="restart"/>
            <w:shd w:val="clear" w:color="auto" w:fill="808080"/>
            <w:vAlign w:val="center"/>
          </w:tcPr>
          <w:p w14:paraId="4602E6C8" w14:textId="77777777" w:rsidR="00DB6E92" w:rsidRPr="00B613E4" w:rsidRDefault="00DB6E92" w:rsidP="00633CEB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Předmět plnění</w:t>
            </w:r>
          </w:p>
        </w:tc>
        <w:tc>
          <w:tcPr>
            <w:tcW w:w="5245" w:type="dxa"/>
            <w:gridSpan w:val="3"/>
            <w:shd w:val="clear" w:color="auto" w:fill="808080"/>
            <w:vAlign w:val="center"/>
          </w:tcPr>
          <w:p w14:paraId="785C6E6E" w14:textId="77777777" w:rsidR="00DB6E92" w:rsidRPr="00B613E4" w:rsidRDefault="00DB6E92" w:rsidP="00633CEB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Cena v Kč</w:t>
            </w:r>
          </w:p>
        </w:tc>
        <w:tc>
          <w:tcPr>
            <w:tcW w:w="1152" w:type="dxa"/>
            <w:vMerge w:val="restart"/>
            <w:shd w:val="clear" w:color="auto" w:fill="808080"/>
            <w:vAlign w:val="center"/>
          </w:tcPr>
          <w:p w14:paraId="0D0561C2" w14:textId="77777777" w:rsidR="00DB6E92" w:rsidRPr="00B613E4" w:rsidRDefault="00DB6E92" w:rsidP="00633CEB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Zatřídění</w:t>
            </w:r>
          </w:p>
          <w:p w14:paraId="22840341" w14:textId="77777777" w:rsidR="00DB6E92" w:rsidRPr="00B613E4" w:rsidRDefault="00DB6E92" w:rsidP="00633CEB">
            <w:pPr>
              <w:ind w:left="-108" w:right="-111"/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dle číselníku CZ-CPA</w:t>
            </w:r>
          </w:p>
        </w:tc>
      </w:tr>
      <w:tr w:rsidR="00915228" w:rsidRPr="00A16977" w14:paraId="25EC6B1E" w14:textId="77777777" w:rsidTr="00915228">
        <w:trPr>
          <w:trHeight w:val="340"/>
        </w:trPr>
        <w:tc>
          <w:tcPr>
            <w:tcW w:w="2551" w:type="dxa"/>
            <w:vMerge/>
            <w:shd w:val="clear" w:color="auto" w:fill="auto"/>
          </w:tcPr>
          <w:p w14:paraId="16CEAA04" w14:textId="77777777" w:rsidR="00DB6E92" w:rsidRPr="00A16977" w:rsidRDefault="00DB6E92" w:rsidP="00633CEB">
            <w:pPr>
              <w:rPr>
                <w:sz w:val="20"/>
              </w:rPr>
            </w:pPr>
          </w:p>
        </w:tc>
        <w:tc>
          <w:tcPr>
            <w:tcW w:w="2127" w:type="dxa"/>
            <w:shd w:val="clear" w:color="auto" w:fill="808080"/>
            <w:vAlign w:val="center"/>
          </w:tcPr>
          <w:p w14:paraId="115D2B2E" w14:textId="77777777" w:rsidR="00DB6E92" w:rsidRPr="00B613E4" w:rsidRDefault="00DB6E92" w:rsidP="00633CEB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bez DPH</w:t>
            </w:r>
          </w:p>
        </w:tc>
        <w:tc>
          <w:tcPr>
            <w:tcW w:w="1701" w:type="dxa"/>
            <w:shd w:val="clear" w:color="auto" w:fill="808080"/>
            <w:vAlign w:val="center"/>
          </w:tcPr>
          <w:p w14:paraId="3E4E4161" w14:textId="77777777" w:rsidR="00DB6E92" w:rsidRPr="00B613E4" w:rsidRDefault="00DB6E92" w:rsidP="00633CEB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DPH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5B2EEC85" w14:textId="77777777" w:rsidR="00DB6E92" w:rsidRPr="00B613E4" w:rsidRDefault="00DB6E92" w:rsidP="00633CEB">
            <w:pPr>
              <w:jc w:val="center"/>
              <w:rPr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s DPH</w:t>
            </w:r>
          </w:p>
        </w:tc>
        <w:tc>
          <w:tcPr>
            <w:tcW w:w="1152" w:type="dxa"/>
            <w:vMerge/>
            <w:shd w:val="clear" w:color="auto" w:fill="auto"/>
          </w:tcPr>
          <w:p w14:paraId="323492B1" w14:textId="77777777" w:rsidR="00DB6E92" w:rsidRPr="00A16977" w:rsidRDefault="00DB6E92" w:rsidP="00633CEB">
            <w:pPr>
              <w:rPr>
                <w:sz w:val="20"/>
              </w:rPr>
            </w:pPr>
          </w:p>
        </w:tc>
      </w:tr>
      <w:tr w:rsidR="00915228" w:rsidRPr="00A16977" w14:paraId="1E23751A" w14:textId="77777777" w:rsidTr="00915228">
        <w:trPr>
          <w:trHeight w:val="540"/>
        </w:trPr>
        <w:tc>
          <w:tcPr>
            <w:tcW w:w="2551" w:type="dxa"/>
            <w:shd w:val="clear" w:color="auto" w:fill="auto"/>
            <w:vAlign w:val="center"/>
          </w:tcPr>
          <w:p w14:paraId="253FD7B8" w14:textId="43339415" w:rsidR="00DB6E92" w:rsidRPr="00A16977" w:rsidRDefault="002A2803" w:rsidP="002A2803">
            <w:r>
              <w:rPr>
                <w:i/>
              </w:rPr>
              <w:t>Celková cena</w:t>
            </w:r>
            <w:r w:rsidR="00A065EB">
              <w:rPr>
                <w:i/>
              </w:rPr>
              <w:t xml:space="preserve"> </w:t>
            </w:r>
            <w:r w:rsidR="008C1C1A">
              <w:rPr>
                <w:i/>
              </w:rPr>
              <w:t xml:space="preserve">díla </w:t>
            </w:r>
            <w:r w:rsidR="00A065EB">
              <w:rPr>
                <w:i/>
              </w:rPr>
              <w:t>dle smlouvy</w:t>
            </w:r>
            <w:r>
              <w:rPr>
                <w:i/>
              </w:rPr>
              <w:t xml:space="preserve"> činí:</w:t>
            </w:r>
            <w:r w:rsidR="00A065EB">
              <w:rPr>
                <w:i/>
              </w:rPr>
              <w:t xml:space="preserve"> </w:t>
            </w:r>
            <w:r w:rsidR="009112EB">
              <w:rPr>
                <w:i/>
              </w:rPr>
              <w:t>Z toho: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438117" w14:textId="2CFE53C0" w:rsidR="00DB6E92" w:rsidRPr="00A16977" w:rsidRDefault="00915228" w:rsidP="00633CEB">
            <w:pPr>
              <w:jc w:val="right"/>
            </w:pPr>
            <w:r>
              <w:t>648.000,00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C21A1" w14:textId="33DFA8C5" w:rsidR="00DB6E92" w:rsidRPr="00A16977" w:rsidRDefault="00915228" w:rsidP="00633CEB">
            <w:pPr>
              <w:jc w:val="right"/>
            </w:pPr>
            <w:r>
              <w:t>136.080,00</w:t>
            </w:r>
          </w:p>
        </w:tc>
        <w:tc>
          <w:tcPr>
            <w:tcW w:w="1417" w:type="dxa"/>
            <w:vAlign w:val="center"/>
          </w:tcPr>
          <w:p w14:paraId="6962E1E5" w14:textId="265A5400" w:rsidR="00DB6E92" w:rsidRPr="00A16977" w:rsidRDefault="00915228" w:rsidP="00633CEB">
            <w:pPr>
              <w:jc w:val="right"/>
            </w:pPr>
            <w:r>
              <w:t>784.080,00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181082E" w14:textId="725553F2" w:rsidR="00DB6E92" w:rsidRPr="00A16977" w:rsidRDefault="00915228" w:rsidP="00633CEB">
            <w:pPr>
              <w:jc w:val="center"/>
            </w:pPr>
            <w:r>
              <w:t>62.0</w:t>
            </w:r>
          </w:p>
        </w:tc>
      </w:tr>
      <w:tr w:rsidR="00915228" w:rsidRPr="00A16977" w14:paraId="26627613" w14:textId="77777777" w:rsidTr="00915228">
        <w:trPr>
          <w:trHeight w:val="357"/>
        </w:trPr>
        <w:tc>
          <w:tcPr>
            <w:tcW w:w="2551" w:type="dxa"/>
            <w:shd w:val="clear" w:color="auto" w:fill="auto"/>
            <w:vAlign w:val="center"/>
          </w:tcPr>
          <w:p w14:paraId="238105E3" w14:textId="18B6E175" w:rsidR="00A065EB" w:rsidRDefault="00974ADB" w:rsidP="002A0218">
            <w:pPr>
              <w:rPr>
                <w:i/>
              </w:rPr>
            </w:pPr>
            <w:r>
              <w:rPr>
                <w:i/>
              </w:rPr>
              <w:t xml:space="preserve">Systém pro centralizovanou </w:t>
            </w:r>
            <w:r w:rsidR="005C6924">
              <w:rPr>
                <w:i/>
              </w:rPr>
              <w:t>správu logů (HW+SW)</w:t>
            </w:r>
          </w:p>
          <w:p w14:paraId="51501640" w14:textId="0D168241" w:rsidR="00DB6E92" w:rsidRPr="008B5033" w:rsidRDefault="00DB6E92" w:rsidP="002A0218">
            <w:pPr>
              <w:rPr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8726ABF" w14:textId="4E8263D9" w:rsidR="00DB6E92" w:rsidRPr="00915228" w:rsidRDefault="00915228" w:rsidP="00633CEB">
            <w:pPr>
              <w:jc w:val="right"/>
            </w:pPr>
            <w:r w:rsidRPr="00915228">
              <w:t>453.400,00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5DE88" w14:textId="7B3D5C43" w:rsidR="00DB6E92" w:rsidRPr="00915228" w:rsidRDefault="00915228" w:rsidP="00633CEB">
            <w:pPr>
              <w:jc w:val="right"/>
            </w:pPr>
            <w:r w:rsidRPr="00915228">
              <w:t>95.214,00</w:t>
            </w:r>
          </w:p>
        </w:tc>
        <w:tc>
          <w:tcPr>
            <w:tcW w:w="1417" w:type="dxa"/>
            <w:vAlign w:val="center"/>
          </w:tcPr>
          <w:p w14:paraId="4CE6C346" w14:textId="7C096DC6" w:rsidR="00DB6E92" w:rsidRPr="00915228" w:rsidRDefault="00915228" w:rsidP="00633CEB">
            <w:pPr>
              <w:jc w:val="right"/>
            </w:pPr>
            <w:r w:rsidRPr="00915228">
              <w:t>548.614,00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BDE334A" w14:textId="10C53374" w:rsidR="00DB6E92" w:rsidRPr="00915228" w:rsidRDefault="00915228" w:rsidP="00633CEB">
            <w:pPr>
              <w:jc w:val="center"/>
            </w:pPr>
            <w:r w:rsidRPr="00915228">
              <w:t>62.01.12</w:t>
            </w:r>
          </w:p>
        </w:tc>
      </w:tr>
      <w:tr w:rsidR="00915228" w:rsidRPr="00A16977" w14:paraId="2031B643" w14:textId="77777777" w:rsidTr="00915228">
        <w:trPr>
          <w:trHeight w:hRule="exact" w:val="569"/>
        </w:trPr>
        <w:tc>
          <w:tcPr>
            <w:tcW w:w="2551" w:type="dxa"/>
            <w:shd w:val="clear" w:color="auto" w:fill="auto"/>
            <w:vAlign w:val="center"/>
          </w:tcPr>
          <w:p w14:paraId="6C346EE1" w14:textId="30AF04C9" w:rsidR="00DB6E92" w:rsidRPr="008B5033" w:rsidRDefault="00E803C6" w:rsidP="009112EB">
            <w:pPr>
              <w:rPr>
                <w:i/>
              </w:rPr>
            </w:pPr>
            <w:r>
              <w:rPr>
                <w:i/>
              </w:rPr>
              <w:t>Implementace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8E9DFB" w14:textId="7853999E" w:rsidR="00DB6E92" w:rsidRPr="00915228" w:rsidRDefault="00915228" w:rsidP="00633CEB">
            <w:pPr>
              <w:jc w:val="right"/>
            </w:pPr>
            <w:r w:rsidRPr="00915228">
              <w:t>145.000,00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F83EC" w14:textId="3A39303E" w:rsidR="00DB6E92" w:rsidRPr="00915228" w:rsidRDefault="00915228" w:rsidP="00633CEB">
            <w:pPr>
              <w:jc w:val="right"/>
            </w:pPr>
            <w:r w:rsidRPr="00915228">
              <w:t>30.450,00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84B121" w14:textId="3EFC9F74" w:rsidR="00DB6E92" w:rsidRPr="00915228" w:rsidRDefault="00915228" w:rsidP="00633CEB">
            <w:pPr>
              <w:jc w:val="right"/>
            </w:pPr>
            <w:r w:rsidRPr="00915228">
              <w:t>175.450,00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28C01E7" w14:textId="7C7DF250" w:rsidR="00DB6E92" w:rsidRPr="00915228" w:rsidRDefault="00915228" w:rsidP="00633CEB">
            <w:pPr>
              <w:jc w:val="center"/>
            </w:pPr>
            <w:r w:rsidRPr="00915228">
              <w:t>62.02.10</w:t>
            </w:r>
          </w:p>
        </w:tc>
      </w:tr>
      <w:tr w:rsidR="00915228" w:rsidRPr="00A16977" w14:paraId="69D775CF" w14:textId="77777777" w:rsidTr="00915228">
        <w:trPr>
          <w:trHeight w:hRule="exact" w:val="562"/>
        </w:trPr>
        <w:tc>
          <w:tcPr>
            <w:tcW w:w="2551" w:type="dxa"/>
            <w:shd w:val="clear" w:color="auto" w:fill="auto"/>
            <w:vAlign w:val="center"/>
          </w:tcPr>
          <w:p w14:paraId="52CA7C68" w14:textId="7ADF35CB" w:rsidR="0025780E" w:rsidRDefault="002D0BE5" w:rsidP="002D0BE5">
            <w:pPr>
              <w:rPr>
                <w:i/>
              </w:rPr>
            </w:pPr>
            <w:r>
              <w:rPr>
                <w:i/>
              </w:rPr>
              <w:t>Š</w:t>
            </w:r>
            <w:r w:rsidR="0025780E">
              <w:rPr>
                <w:i/>
              </w:rPr>
              <w:t>kolení</w:t>
            </w:r>
            <w:r>
              <w:rPr>
                <w:i/>
              </w:rPr>
              <w:t>, dokumentace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13812A" w14:textId="06C5EAB7" w:rsidR="0025780E" w:rsidRPr="00915228" w:rsidRDefault="00915228" w:rsidP="00267F97">
            <w:pPr>
              <w:jc w:val="right"/>
            </w:pPr>
            <w:r w:rsidRPr="00915228">
              <w:t>15.000,00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4F0ADD" w14:textId="71CA2780" w:rsidR="0025780E" w:rsidRPr="00915228" w:rsidRDefault="00915228" w:rsidP="00267F97">
            <w:pPr>
              <w:jc w:val="right"/>
            </w:pPr>
            <w:r w:rsidRPr="00915228">
              <w:t>3.150,00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609B9F" w14:textId="735A3C1A" w:rsidR="0025780E" w:rsidRPr="00915228" w:rsidRDefault="00915228" w:rsidP="00267F97">
            <w:pPr>
              <w:jc w:val="right"/>
            </w:pPr>
            <w:r w:rsidRPr="00915228">
              <w:t>18.150,00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C3F0CB7" w14:textId="67C0B325" w:rsidR="0025780E" w:rsidRPr="00915228" w:rsidRDefault="00915228" w:rsidP="00267F97">
            <w:pPr>
              <w:jc w:val="center"/>
            </w:pPr>
            <w:r w:rsidRPr="00915228">
              <w:t>62.09.20</w:t>
            </w:r>
          </w:p>
        </w:tc>
      </w:tr>
      <w:tr w:rsidR="00915228" w:rsidRPr="00A16977" w14:paraId="42C44079" w14:textId="77777777" w:rsidTr="00915228">
        <w:trPr>
          <w:trHeight w:hRule="exact" w:val="562"/>
        </w:trPr>
        <w:tc>
          <w:tcPr>
            <w:tcW w:w="2551" w:type="dxa"/>
            <w:shd w:val="clear" w:color="auto" w:fill="auto"/>
            <w:vAlign w:val="center"/>
          </w:tcPr>
          <w:p w14:paraId="64F5EC8F" w14:textId="28928D99" w:rsidR="00267F97" w:rsidRDefault="009112EB" w:rsidP="00715FAD">
            <w:pPr>
              <w:rPr>
                <w:i/>
              </w:rPr>
            </w:pPr>
            <w:r>
              <w:rPr>
                <w:i/>
              </w:rPr>
              <w:t>Technická podpora</w:t>
            </w:r>
            <w:r w:rsidR="005C6924">
              <w:rPr>
                <w:i/>
              </w:rPr>
              <w:t xml:space="preserve"> na 36</w:t>
            </w:r>
            <w:r w:rsidR="00FB61BF">
              <w:rPr>
                <w:i/>
              </w:rPr>
              <w:t xml:space="preserve"> měsíců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811373" w14:textId="66A57C77" w:rsidR="00267F97" w:rsidRPr="00915228" w:rsidRDefault="00915228" w:rsidP="00267F97">
            <w:pPr>
              <w:jc w:val="right"/>
            </w:pPr>
            <w:r w:rsidRPr="00915228">
              <w:t>34.600,00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D3F306" w14:textId="75A4BBE4" w:rsidR="00267F97" w:rsidRPr="00915228" w:rsidRDefault="00915228" w:rsidP="00267F97">
            <w:pPr>
              <w:jc w:val="right"/>
            </w:pPr>
            <w:r w:rsidRPr="00915228">
              <w:t>7.266,00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1F1BA0" w14:textId="4BC911CA" w:rsidR="00267F97" w:rsidRPr="00915228" w:rsidRDefault="00915228" w:rsidP="00267F97">
            <w:pPr>
              <w:jc w:val="right"/>
            </w:pPr>
            <w:r w:rsidRPr="00915228">
              <w:t>41.866,00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9739912" w14:textId="7BBC44E0" w:rsidR="00267F97" w:rsidRPr="00915228" w:rsidRDefault="00915228" w:rsidP="00267F97">
            <w:pPr>
              <w:jc w:val="center"/>
            </w:pPr>
            <w:r w:rsidRPr="00915228">
              <w:t>62.02.30</w:t>
            </w:r>
          </w:p>
        </w:tc>
      </w:tr>
    </w:tbl>
    <w:p w14:paraId="2E29FCC9" w14:textId="77777777" w:rsidR="00DB6E92" w:rsidRDefault="00DB6E92" w:rsidP="00DB6E92">
      <w:pPr>
        <w:rPr>
          <w:sz w:val="12"/>
        </w:rPr>
      </w:pPr>
    </w:p>
    <w:p w14:paraId="1BD379B2" w14:textId="47EF1E18" w:rsidR="00DB6E92" w:rsidRDefault="00DB6E92" w:rsidP="00DB6E92">
      <w:pPr>
        <w:pStyle w:val="lnek05"/>
        <w:numPr>
          <w:ilvl w:val="0"/>
          <w:numId w:val="0"/>
        </w:numPr>
        <w:ind w:left="426"/>
      </w:pPr>
      <w:r>
        <w:t xml:space="preserve">Celková nejvýše přípustná cena v korunách českých (CZK) za </w:t>
      </w:r>
      <w:r w:rsidR="005C6924">
        <w:t>systém pro centralizovanou správu logů</w:t>
      </w:r>
      <w:r w:rsidR="005973AF">
        <w:t>,</w:t>
      </w:r>
      <w:r w:rsidRPr="004536EF">
        <w:t xml:space="preserve"> implementaci</w:t>
      </w:r>
      <w:r w:rsidR="00A77BE2">
        <w:t>, školení</w:t>
      </w:r>
      <w:r w:rsidRPr="004536EF">
        <w:t xml:space="preserve"> a </w:t>
      </w:r>
      <w:r w:rsidR="009112EB">
        <w:t>technickou</w:t>
      </w:r>
      <w:r w:rsidR="002A0218">
        <w:t xml:space="preserve"> </w:t>
      </w:r>
      <w:r w:rsidRPr="004536EF">
        <w:t xml:space="preserve">podporu </w:t>
      </w:r>
      <w:r>
        <w:t xml:space="preserve">činí </w:t>
      </w:r>
      <w:r w:rsidR="00915228" w:rsidRPr="00E25689">
        <w:rPr>
          <w:b/>
        </w:rPr>
        <w:t>648.000,-</w:t>
      </w:r>
      <w:r w:rsidRPr="00E25689">
        <w:rPr>
          <w:b/>
        </w:rPr>
        <w:t xml:space="preserve"> Kč</w:t>
      </w:r>
      <w:r>
        <w:t xml:space="preserve"> bez DPH (slovy: </w:t>
      </w:r>
      <w:r w:rsidR="00915228">
        <w:t>šest set čtyřicet osm tisíc</w:t>
      </w:r>
      <w:r>
        <w:t xml:space="preserve"> korun českých)</w:t>
      </w:r>
      <w:r w:rsidR="007B4D57">
        <w:t>,</w:t>
      </w:r>
      <w:r>
        <w:t xml:space="preserve"> </w:t>
      </w:r>
      <w:r w:rsidR="00915228" w:rsidRPr="00E25689">
        <w:rPr>
          <w:b/>
        </w:rPr>
        <w:t xml:space="preserve">136.080,- </w:t>
      </w:r>
      <w:r w:rsidRPr="00E25689">
        <w:rPr>
          <w:b/>
        </w:rPr>
        <w:t>Kč</w:t>
      </w:r>
      <w:r>
        <w:t xml:space="preserve"> činí 21 % DPH (slovy: </w:t>
      </w:r>
      <w:r w:rsidR="00915228">
        <w:t>jedno sto třicet šest tisíc osmdesát</w:t>
      </w:r>
      <w:r>
        <w:t xml:space="preserve"> korun českých) a celková cena s DPH činí </w:t>
      </w:r>
      <w:r w:rsidR="00E25689" w:rsidRPr="00E25689">
        <w:rPr>
          <w:b/>
        </w:rPr>
        <w:t>784.080,-</w:t>
      </w:r>
      <w:r w:rsidRPr="00E25689">
        <w:rPr>
          <w:b/>
        </w:rPr>
        <w:t xml:space="preserve"> Kč </w:t>
      </w:r>
      <w:r>
        <w:t xml:space="preserve">(slovy: </w:t>
      </w:r>
      <w:r w:rsidR="00E25689">
        <w:t>sedm set osmdesát čtyři tisíc osmdesát</w:t>
      </w:r>
      <w:r>
        <w:t xml:space="preserve"> korun českých).</w:t>
      </w:r>
    </w:p>
    <w:p w14:paraId="1526A7E7" w14:textId="64A9B380" w:rsidR="00DB6E92" w:rsidRPr="00EC5233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Cen</w:t>
      </w:r>
      <w:r>
        <w:t>y</w:t>
      </w:r>
      <w:r w:rsidRPr="00C14DFC">
        <w:t xml:space="preserve"> bez DPH uveden</w:t>
      </w:r>
      <w:r>
        <w:t>é v </w:t>
      </w:r>
      <w:r w:rsidRPr="00C14DFC">
        <w:t>odstavci 1</w:t>
      </w:r>
      <w:r>
        <w:t xml:space="preserve"> </w:t>
      </w:r>
      <w:r w:rsidRPr="00C14DFC">
        <w:t xml:space="preserve">tohoto článku </w:t>
      </w:r>
      <w:r>
        <w:t>jsou</w:t>
      </w:r>
      <w:r w:rsidRPr="00C14DFC">
        <w:t xml:space="preserve"> dohodnut</w:t>
      </w:r>
      <w:r>
        <w:t>y</w:t>
      </w:r>
      <w:r w:rsidRPr="00C14DFC">
        <w:t xml:space="preserve"> jako cen</w:t>
      </w:r>
      <w:r>
        <w:t>y</w:t>
      </w:r>
      <w:r w:rsidRPr="00C14DFC">
        <w:t xml:space="preserve"> nejvýše přípustn</w:t>
      </w:r>
      <w:r>
        <w:t>é</w:t>
      </w:r>
      <w:r w:rsidRPr="00C14DFC">
        <w:t xml:space="preserve"> a</w:t>
      </w:r>
      <w:r>
        <w:t xml:space="preserve"> platí po celou dobu účinnosti </w:t>
      </w:r>
      <w:r w:rsidR="006A1912">
        <w:t>s</w:t>
      </w:r>
      <w:r w:rsidRPr="00C14DFC">
        <w:t>mlouvy</w:t>
      </w:r>
      <w:r>
        <w:t>.</w:t>
      </w:r>
    </w:p>
    <w:p w14:paraId="070405B0" w14:textId="5D583028" w:rsidR="00DB6E92" w:rsidRPr="00EC5233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Součástí sjednan</w:t>
      </w:r>
      <w:r>
        <w:t>ých</w:t>
      </w:r>
      <w:r w:rsidRPr="00C14DFC">
        <w:t xml:space="preserve"> cen jsou veškeré práce, dodávky, služby, poplatky a jiné náklady nezbytné pro řádné a úplné splnění předmětu této smlouvy, včetně veškerých nákladů spojených</w:t>
      </w:r>
      <w:r>
        <w:t xml:space="preserve"> s </w:t>
      </w:r>
      <w:r w:rsidRPr="00C14DFC">
        <w:t xml:space="preserve">účastí </w:t>
      </w:r>
      <w:r w:rsidR="00715FAD">
        <w:t>z</w:t>
      </w:r>
      <w:r>
        <w:t>hotovitele</w:t>
      </w:r>
      <w:r w:rsidRPr="00C14DFC">
        <w:t xml:space="preserve"> na všech jedná</w:t>
      </w:r>
      <w:r>
        <w:t xml:space="preserve">ních týkajících se plnění této </w:t>
      </w:r>
      <w:r w:rsidR="006A1912">
        <w:t>s</w:t>
      </w:r>
      <w:r w:rsidRPr="00C14DFC">
        <w:t>mlouvy</w:t>
      </w:r>
      <w:r>
        <w:t>.</w:t>
      </w:r>
    </w:p>
    <w:p w14:paraId="405AF054" w14:textId="1B3C55A3" w:rsidR="00DB6E92" w:rsidRPr="00EC5233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Cen</w:t>
      </w:r>
      <w:r>
        <w:t>y</w:t>
      </w:r>
      <w:r w:rsidRPr="00C14DFC">
        <w:t xml:space="preserve"> obsahuj</w:t>
      </w:r>
      <w:r>
        <w:t>í</w:t>
      </w:r>
      <w:r w:rsidRPr="00C14DFC">
        <w:t xml:space="preserve"> i případné zvýšené náklady spojené</w:t>
      </w:r>
      <w:r>
        <w:t xml:space="preserve"> s </w:t>
      </w:r>
      <w:r w:rsidRPr="00C14DFC">
        <w:t>vývojem cen vstupních nákladů</w:t>
      </w:r>
      <w:r>
        <w:t xml:space="preserve">, a to až do doby splnění této </w:t>
      </w:r>
      <w:r w:rsidR="006A1912">
        <w:t>s</w:t>
      </w:r>
      <w:r w:rsidRPr="00C14DFC">
        <w:t>mlouvy</w:t>
      </w:r>
      <w:r>
        <w:t>.</w:t>
      </w:r>
    </w:p>
    <w:p w14:paraId="7BC2939D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>
        <w:t>Zhotovitel</w:t>
      </w:r>
      <w:r w:rsidRPr="00C14DFC">
        <w:t xml:space="preserve"> odpovídá za to, že sazba daně</w:t>
      </w:r>
      <w:r>
        <w:t xml:space="preserve"> z </w:t>
      </w:r>
      <w:r w:rsidRPr="00C14DFC">
        <w:t>přidané hodnoty bude stanovena</w:t>
      </w:r>
      <w:r>
        <w:t xml:space="preserve"> v </w:t>
      </w:r>
      <w:r w:rsidRPr="00C14DFC">
        <w:t>souladu</w:t>
      </w:r>
      <w:r>
        <w:t xml:space="preserve"> s </w:t>
      </w:r>
      <w:r w:rsidRPr="00C14DFC">
        <w:t>platnými právními předpisy</w:t>
      </w:r>
      <w:r>
        <w:t>.</w:t>
      </w:r>
    </w:p>
    <w:p w14:paraId="72A5EAB7" w14:textId="69C9C4F7" w:rsidR="00DB6E92" w:rsidRDefault="009672BD" w:rsidP="00DB6E92">
      <w:pPr>
        <w:pStyle w:val="lnek05"/>
        <w:numPr>
          <w:ilvl w:val="0"/>
          <w:numId w:val="20"/>
        </w:numPr>
        <w:ind w:left="426" w:hanging="426"/>
      </w:pPr>
      <w:r>
        <w:t>Zhotovitel vystaví n</w:t>
      </w:r>
      <w:r w:rsidR="00DB6E92">
        <w:t xml:space="preserve">a </w:t>
      </w:r>
      <w:r>
        <w:t xml:space="preserve">základě </w:t>
      </w:r>
      <w:r w:rsidR="00DB6E92">
        <w:t>dodávk</w:t>
      </w:r>
      <w:r>
        <w:t>y</w:t>
      </w:r>
      <w:r w:rsidR="00DB6E92">
        <w:t xml:space="preserve"> </w:t>
      </w:r>
      <w:r w:rsidR="00AF75F8">
        <w:t>systému pro centralizovanou správu logů</w:t>
      </w:r>
      <w:r w:rsidR="002D0BE5">
        <w:t>, implementaci a školení</w:t>
      </w:r>
      <w:r w:rsidR="004871F8">
        <w:t xml:space="preserve"> </w:t>
      </w:r>
      <w:r>
        <w:t>p</w:t>
      </w:r>
      <w:r w:rsidR="004871F8">
        <w:t>o jeho písemné akceptaci ze strany zástupce objednatele</w:t>
      </w:r>
      <w:r w:rsidR="00DB6E92" w:rsidRPr="00D427EB">
        <w:t xml:space="preserve"> daňov</w:t>
      </w:r>
      <w:r w:rsidR="004871F8">
        <w:t>ý</w:t>
      </w:r>
      <w:r w:rsidR="00DB6E92" w:rsidRPr="00D427EB">
        <w:t xml:space="preserve"> doklad</w:t>
      </w:r>
      <w:r w:rsidR="00DB6E92">
        <w:t xml:space="preserve"> </w:t>
      </w:r>
      <w:r w:rsidR="00DB6E92" w:rsidRPr="00D427EB">
        <w:t>(dále jen „faktura“)</w:t>
      </w:r>
      <w:r w:rsidR="00DB6E92">
        <w:t>.</w:t>
      </w:r>
      <w:r w:rsidR="004871F8">
        <w:t xml:space="preserve"> </w:t>
      </w:r>
    </w:p>
    <w:p w14:paraId="1FB3DD05" w14:textId="10A0CD56" w:rsidR="00376B5B" w:rsidRDefault="00B60626" w:rsidP="00DB6E92">
      <w:pPr>
        <w:pStyle w:val="lnek05"/>
        <w:numPr>
          <w:ilvl w:val="0"/>
          <w:numId w:val="20"/>
        </w:numPr>
        <w:ind w:left="426" w:hanging="426"/>
      </w:pPr>
      <w:r>
        <w:t xml:space="preserve">Částka za technickou </w:t>
      </w:r>
      <w:r w:rsidR="00DB6E92">
        <w:t>podporu</w:t>
      </w:r>
      <w:r w:rsidR="008556A8">
        <w:t xml:space="preserve"> bude </w:t>
      </w:r>
      <w:r w:rsidR="006E5E1E">
        <w:t xml:space="preserve">fakturována </w:t>
      </w:r>
      <w:r w:rsidR="00DB6E92">
        <w:t xml:space="preserve">samostatně </w:t>
      </w:r>
      <w:r w:rsidR="008556A8">
        <w:t>v rámci</w:t>
      </w:r>
      <w:r w:rsidR="00DB6E92">
        <w:t xml:space="preserve"> </w:t>
      </w:r>
      <w:r w:rsidR="006E5E1E">
        <w:t>příslušného kalendářního čtvrtletí</w:t>
      </w:r>
      <w:r w:rsidR="006A1912">
        <w:t>,</w:t>
      </w:r>
      <w:r w:rsidR="00DB6E92">
        <w:t xml:space="preserve"> a to vždy nejpozději do </w:t>
      </w:r>
      <w:r w:rsidR="006A1912">
        <w:t>patnácti (</w:t>
      </w:r>
      <w:r w:rsidR="00DB6E92">
        <w:t>15</w:t>
      </w:r>
      <w:r w:rsidR="006A1912">
        <w:t>)</w:t>
      </w:r>
      <w:r w:rsidR="00DB6E92">
        <w:t xml:space="preserve"> dnů </w:t>
      </w:r>
      <w:r w:rsidR="008556A8">
        <w:t>prvního kalendářního měsíce</w:t>
      </w:r>
      <w:r w:rsidR="00DB6E92">
        <w:t xml:space="preserve"> </w:t>
      </w:r>
      <w:r w:rsidR="006E5E1E">
        <w:t>v daném čtvrtletí</w:t>
      </w:r>
      <w:r w:rsidR="00DB6E92">
        <w:t xml:space="preserve">. </w:t>
      </w:r>
      <w:r w:rsidR="008C1C1A">
        <w:t>Částka</w:t>
      </w:r>
      <w:r w:rsidR="002D0BE5">
        <w:t xml:space="preserve"> za čtvrtletí bude odpovídat 1/12</w:t>
      </w:r>
      <w:r w:rsidR="008C1C1A">
        <w:t xml:space="preserve"> ceny za </w:t>
      </w:r>
      <w:r w:rsidR="00FB61BF">
        <w:t xml:space="preserve">technickou </w:t>
      </w:r>
      <w:r w:rsidR="008C1C1A">
        <w:t>podporu uvedené v odstavci 1 tohoto článku.</w:t>
      </w:r>
      <w:r w:rsidR="007D1806">
        <w:t xml:space="preserve"> Částka za první a poslední čtvrtletí účinnosti smlouvy bude alikvotně upravena dle skutečné délky období.</w:t>
      </w:r>
    </w:p>
    <w:p w14:paraId="622A51E9" w14:textId="1BD707E2" w:rsidR="00DB6E92" w:rsidRDefault="00376B5B" w:rsidP="00DB6E92">
      <w:pPr>
        <w:pStyle w:val="lnek05"/>
        <w:numPr>
          <w:ilvl w:val="0"/>
          <w:numId w:val="20"/>
        </w:numPr>
        <w:ind w:left="426" w:hanging="426"/>
      </w:pPr>
      <w:r>
        <w:t>Smluvní strany se vzájemně dohodly, že počáteční nárok zhotovitele na fakt</w:t>
      </w:r>
      <w:r w:rsidR="00B60626">
        <w:t>urování technické</w:t>
      </w:r>
      <w:r w:rsidR="00702B34">
        <w:t xml:space="preserve"> podpory vznikne</w:t>
      </w:r>
      <w:r>
        <w:t xml:space="preserve"> od </w:t>
      </w:r>
      <w:r w:rsidR="00B60626">
        <w:t>podpisu akceptačního protokolu</w:t>
      </w:r>
      <w:r w:rsidR="00863FE2">
        <w:t xml:space="preserve"> </w:t>
      </w:r>
      <w:r w:rsidR="00B60626">
        <w:t>(viz odst.</w:t>
      </w:r>
      <w:r w:rsidR="006A1912">
        <w:t xml:space="preserve"> </w:t>
      </w:r>
      <w:r w:rsidR="00B60626">
        <w:t>6)</w:t>
      </w:r>
      <w:r w:rsidR="00CB6C46">
        <w:t>.</w:t>
      </w:r>
      <w:r w:rsidR="00702B34">
        <w:t xml:space="preserve"> </w:t>
      </w:r>
    </w:p>
    <w:p w14:paraId="0C9532FC" w14:textId="77777777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>
        <w:t>F</w:t>
      </w:r>
      <w:r w:rsidRPr="00C14DFC">
        <w:t>ak</w:t>
      </w:r>
      <w:r>
        <w:t xml:space="preserve">tury, kromě zákonem </w:t>
      </w:r>
      <w:r w:rsidRPr="00C14DFC">
        <w:t>stanovených náležitostí pr</w:t>
      </w:r>
      <w:r>
        <w:t>o daňový doklad, musí obsahovat také:</w:t>
      </w:r>
    </w:p>
    <w:p w14:paraId="52D1B122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číslo a datum vystavení faktury,</w:t>
      </w:r>
    </w:p>
    <w:p w14:paraId="5185390C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číslo smlouvy a datum je</w:t>
      </w:r>
      <w:r>
        <w:t>jího uzavření</w:t>
      </w:r>
      <w:r w:rsidRPr="00C54F37">
        <w:t>,</w:t>
      </w:r>
    </w:p>
    <w:p w14:paraId="7EEA5713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>
        <w:t xml:space="preserve">konkrétní </w:t>
      </w:r>
      <w:r w:rsidRPr="00C54F37">
        <w:t>předmět plnění a jeho přesnou specifikaci ve slovním vyjádření (</w:t>
      </w:r>
      <w:r>
        <w:t xml:space="preserve">tj. ke které části díla se vztahuje; </w:t>
      </w:r>
      <w:r w:rsidRPr="00C54F37">
        <w:t>nestačí pouze odkaz na číslo uzavřené smlouvy),</w:t>
      </w:r>
    </w:p>
    <w:p w14:paraId="7F1B6C4F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lastRenderedPageBreak/>
        <w:t>označení banky a číslo účt</w:t>
      </w:r>
      <w:r>
        <w:t>u, na který musí být zaplaceno,</w:t>
      </w:r>
    </w:p>
    <w:p w14:paraId="5A170F01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lhůtu splatnosti faktury,</w:t>
      </w:r>
    </w:p>
    <w:p w14:paraId="41A78064" w14:textId="77777777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označení osoby, která fakturu vyhotovila, včetně jejího podpisu a kontaktního telefonu,</w:t>
      </w:r>
    </w:p>
    <w:p w14:paraId="51F54CCD" w14:textId="5227B91C" w:rsidR="00DB6E92" w:rsidRPr="00C54F37" w:rsidRDefault="00DB6E92" w:rsidP="00DB6E92">
      <w:pPr>
        <w:numPr>
          <w:ilvl w:val="0"/>
          <w:numId w:val="18"/>
        </w:numPr>
        <w:spacing w:before="60" w:after="60"/>
        <w:ind w:left="850" w:hanging="425"/>
        <w:jc w:val="both"/>
      </w:pPr>
      <w:r w:rsidRPr="00C54F37">
        <w:t>IČ</w:t>
      </w:r>
      <w:r w:rsidR="00D96E64">
        <w:t>O</w:t>
      </w:r>
      <w:r w:rsidRPr="00C54F37">
        <w:t xml:space="preserve"> a DIČ </w:t>
      </w:r>
      <w:r w:rsidR="00785624">
        <w:t>o</w:t>
      </w:r>
      <w:r>
        <w:t>bjednat</w:t>
      </w:r>
      <w:r w:rsidRPr="00C54F37">
        <w:t xml:space="preserve">ele a </w:t>
      </w:r>
      <w:r w:rsidR="00785624">
        <w:t>z</w:t>
      </w:r>
      <w:r>
        <w:t>hotovi</w:t>
      </w:r>
      <w:r w:rsidRPr="00C54F37">
        <w:t>te</w:t>
      </w:r>
      <w:r>
        <w:t>le, jejich přesné názvy a sídlo.</w:t>
      </w:r>
    </w:p>
    <w:p w14:paraId="4A903175" w14:textId="77777777" w:rsidR="00DB6E92" w:rsidRPr="00352D17" w:rsidRDefault="00DB6E92" w:rsidP="00DB6E92">
      <w:pPr>
        <w:rPr>
          <w:sz w:val="12"/>
        </w:rPr>
      </w:pPr>
    </w:p>
    <w:p w14:paraId="18C63F4E" w14:textId="1423CF2E" w:rsidR="00DB6E92" w:rsidRPr="00352D17" w:rsidRDefault="00DB6E92" w:rsidP="00DB6E92">
      <w:pPr>
        <w:pStyle w:val="lnek05"/>
        <w:numPr>
          <w:ilvl w:val="0"/>
          <w:numId w:val="20"/>
        </w:numPr>
        <w:ind w:left="426" w:hanging="426"/>
      </w:pPr>
      <w:r>
        <w:t>Nebude-li faktura</w:t>
      </w:r>
      <w:r w:rsidRPr="00352D17">
        <w:t xml:space="preserve"> obsahovat některou náležitost nebo bude chybně vyúčtována cena, je </w:t>
      </w:r>
      <w:r w:rsidR="00785624">
        <w:t>o</w:t>
      </w:r>
      <w:r w:rsidRPr="00352D17">
        <w:t xml:space="preserve">bjednatel oprávněn fakturu před uplynutím lhůty splatnosti vrátit </w:t>
      </w:r>
      <w:r w:rsidR="00785624">
        <w:t>z</w:t>
      </w:r>
      <w:r w:rsidRPr="00352D17">
        <w:t xml:space="preserve">hotoviteli k provedení opravy. Ve vrácené faktuře vyznačí důvod vrácení. </w:t>
      </w:r>
      <w:r>
        <w:t>Zhotovi</w:t>
      </w:r>
      <w:r w:rsidRPr="00352D17">
        <w:t xml:space="preserve">tel provede opravu vystavením nové faktury. Od doby odeslání vadné faktury přestává běžet původní lhůta splatnosti. Celá lhůta splatnosti běží opět ode dne doručení nově vyhotovené faktury </w:t>
      </w:r>
      <w:r w:rsidR="00785624">
        <w:t>o</w:t>
      </w:r>
      <w:r w:rsidRPr="00352D17">
        <w:t>bjednateli.</w:t>
      </w:r>
    </w:p>
    <w:p w14:paraId="08775919" w14:textId="6BB90FC9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D427EB">
        <w:t xml:space="preserve">Splatnost faktur je </w:t>
      </w:r>
      <w:r w:rsidR="008E1E99">
        <w:t>dvacet jedna (</w:t>
      </w:r>
      <w:r w:rsidRPr="00D427EB">
        <w:t>21</w:t>
      </w:r>
      <w:r w:rsidR="008E1E99">
        <w:t>)</w:t>
      </w:r>
      <w:r w:rsidRPr="00D427EB">
        <w:t xml:space="preserve"> dní ode dne </w:t>
      </w:r>
      <w:r>
        <w:t xml:space="preserve">jejich </w:t>
      </w:r>
      <w:r w:rsidRPr="00D427EB">
        <w:t xml:space="preserve">doručení </w:t>
      </w:r>
      <w:r w:rsidR="00785624">
        <w:t>o</w:t>
      </w:r>
      <w:r>
        <w:t>bjednat</w:t>
      </w:r>
      <w:r w:rsidRPr="00D427EB">
        <w:t xml:space="preserve">eli. Dnem zdanitelného plnění se rozumí datum </w:t>
      </w:r>
      <w:r>
        <w:t xml:space="preserve">akceptace díla nebo v případě podpory poslední den příslušného čtvrtletí. </w:t>
      </w:r>
      <w:r w:rsidRPr="00C14DFC">
        <w:t>Stejná lhůta splatnosti platí i při placení jiných plateb (např. úroků</w:t>
      </w:r>
      <w:r>
        <w:t xml:space="preserve"> z </w:t>
      </w:r>
      <w:r w:rsidRPr="00C14DFC">
        <w:t xml:space="preserve">prodlení, smluvních pokut, náhrady </w:t>
      </w:r>
      <w:r>
        <w:t>újmy</w:t>
      </w:r>
      <w:r w:rsidRPr="00C14DFC">
        <w:t xml:space="preserve"> aj.).</w:t>
      </w:r>
    </w:p>
    <w:p w14:paraId="65A1CBAD" w14:textId="7F12D832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>Povinnost zaplatit je splněna dnem odepsání příslušné částky</w:t>
      </w:r>
      <w:r>
        <w:t xml:space="preserve"> z </w:t>
      </w:r>
      <w:r w:rsidRPr="00C14DFC">
        <w:t xml:space="preserve">účtu </w:t>
      </w:r>
      <w:r w:rsidR="00785624">
        <w:t>o</w:t>
      </w:r>
      <w:r w:rsidRPr="00C14DFC">
        <w:t>bjednatele</w:t>
      </w:r>
      <w:r>
        <w:t>.</w:t>
      </w:r>
    </w:p>
    <w:p w14:paraId="0B0FA383" w14:textId="36068AB4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9E09FC">
        <w:t xml:space="preserve">Veškeré úhrady </w:t>
      </w:r>
      <w:r w:rsidR="00785624">
        <w:t>o</w:t>
      </w:r>
      <w:r>
        <w:t xml:space="preserve">bjednatele na základě této </w:t>
      </w:r>
      <w:r w:rsidR="00785624">
        <w:t>s</w:t>
      </w:r>
      <w:r w:rsidRPr="009E09FC">
        <w:t xml:space="preserve">mlouvy budou prováděny bezhotovostním převodem na bankovní účet </w:t>
      </w:r>
      <w:r w:rsidR="00785624">
        <w:t>z</w:t>
      </w:r>
      <w:r>
        <w:t>hotovitele</w:t>
      </w:r>
      <w:r w:rsidRPr="009E09FC">
        <w:t xml:space="preserve"> uvedený ve faktuře</w:t>
      </w:r>
      <w:r>
        <w:t>.</w:t>
      </w:r>
    </w:p>
    <w:p w14:paraId="72008F23" w14:textId="75CFFAF3" w:rsidR="00DB6E92" w:rsidRDefault="00DB6E92" w:rsidP="00DB6E92">
      <w:pPr>
        <w:pStyle w:val="lnek05"/>
        <w:numPr>
          <w:ilvl w:val="0"/>
          <w:numId w:val="20"/>
        </w:numPr>
        <w:ind w:left="426" w:hanging="426"/>
      </w:pPr>
      <w:r w:rsidRPr="00C14DFC">
        <w:t xml:space="preserve">Smluvní strany se dohodly, že platba bude provedena na číslo účtu uvedené </w:t>
      </w:r>
      <w:r w:rsidR="00785624">
        <w:t>z</w:t>
      </w:r>
      <w:r>
        <w:t>hotovit</w:t>
      </w:r>
      <w:r w:rsidRPr="00C14DFC">
        <w:t>elem ve faktuře bez ohledu na číslo účtu uvedené</w:t>
      </w:r>
      <w:r>
        <w:t xml:space="preserve"> v </w:t>
      </w:r>
      <w:r w:rsidRPr="00C14DFC">
        <w:t xml:space="preserve">záhlaví této smlouvy, přičemž plnění bude vždy bez výjimky považováno za plnění předmětu díla </w:t>
      </w:r>
      <w:r w:rsidR="00785624">
        <w:t>z</w:t>
      </w:r>
      <w:r>
        <w:t>hotovit</w:t>
      </w:r>
      <w:r w:rsidRPr="00C14DFC">
        <w:t>elem</w:t>
      </w:r>
      <w:r>
        <w:t xml:space="preserve"> v </w:t>
      </w:r>
      <w:r w:rsidRPr="00C14DFC">
        <w:t>souladu</w:t>
      </w:r>
      <w:r>
        <w:t xml:space="preserve"> s touto </w:t>
      </w:r>
      <w:r w:rsidR="00785624">
        <w:t>s</w:t>
      </w:r>
      <w:r w:rsidRPr="00C14DFC">
        <w:t>mlouvou</w:t>
      </w:r>
      <w:r>
        <w:t>.</w:t>
      </w:r>
    </w:p>
    <w:p w14:paraId="78CAC4D2" w14:textId="77777777" w:rsidR="00CF5B20" w:rsidRDefault="00CF5B20" w:rsidP="00CF5B20">
      <w:pPr>
        <w:pStyle w:val="Nzevaslolnku"/>
      </w:pPr>
      <w:r>
        <w:t>Článek VII.</w:t>
      </w:r>
      <w:r>
        <w:br/>
      </w:r>
      <w:r w:rsidRPr="00CF5B20">
        <w:t>Odpovědnost za vady a záruka za dílo</w:t>
      </w:r>
    </w:p>
    <w:p w14:paraId="2EC29841" w14:textId="6E24BE51" w:rsidR="003E3F00" w:rsidRPr="003E3F00" w:rsidRDefault="00CF5B20" w:rsidP="00962FE8">
      <w:pPr>
        <w:pStyle w:val="lnek07"/>
      </w:pPr>
      <w:r w:rsidRPr="00CF5B20">
        <w:t>Zhotovitel odpovídá za to, že jím poskytnuté plnění na základě této smlouvy objednateli je způsobilé k použití pro smluvený účel blíže specifikovaný v příloze č. 1 této smlouvy</w:t>
      </w:r>
      <w:r w:rsidR="00D52AC4">
        <w:rPr>
          <w:color w:val="FF0000"/>
        </w:rPr>
        <w:t>.</w:t>
      </w:r>
    </w:p>
    <w:p w14:paraId="3DE7D873" w14:textId="08F13948" w:rsidR="00251B33" w:rsidRDefault="00251B33" w:rsidP="00CF5B20">
      <w:pPr>
        <w:pStyle w:val="lnek07"/>
      </w:pPr>
      <w:r>
        <w:t xml:space="preserve">Záruka se poskytuje na dobu </w:t>
      </w:r>
      <w:r w:rsidR="008E1E99">
        <w:t>dvou (</w:t>
      </w:r>
      <w:r>
        <w:t>2</w:t>
      </w:r>
      <w:r w:rsidR="008E1E99">
        <w:t>)</w:t>
      </w:r>
      <w:r>
        <w:t xml:space="preserve"> let od doby předání díla do užívání.</w:t>
      </w:r>
    </w:p>
    <w:p w14:paraId="247C22A8" w14:textId="098E949C" w:rsidR="00CF5B20" w:rsidRDefault="00CF5B20" w:rsidP="00CF5B20">
      <w:pPr>
        <w:pStyle w:val="lnek07"/>
      </w:pPr>
      <w:r>
        <w:t>Zárukou za jakost zhotovitel přejímá závazek, že dílo bude po celou záruční dobu plně funkční a způsobilé k řádnému užívání a že si zachová své vlastnosti.</w:t>
      </w:r>
      <w:r w:rsidR="00D952FD">
        <w:t xml:space="preserve"> </w:t>
      </w:r>
    </w:p>
    <w:p w14:paraId="40E41131" w14:textId="0C395938" w:rsidR="00CF5B20" w:rsidRDefault="00CF5B20" w:rsidP="00CF5B20">
      <w:pPr>
        <w:pStyle w:val="lnek07"/>
      </w:pPr>
      <w:r>
        <w:t>Vady díla zjištěné objednatelem po předání a převzetí díla objednatel oznámí zhotoviteli bez zbytečného odkladu. Servisní zásah</w:t>
      </w:r>
      <w:r w:rsidR="000225B2">
        <w:t xml:space="preserve"> vč. odstranění vady </w:t>
      </w:r>
      <w:r>
        <w:t xml:space="preserve">musí být ukončen nejpozději </w:t>
      </w:r>
      <w:r w:rsidR="00303AE9">
        <w:t>druhý</w:t>
      </w:r>
      <w:r>
        <w:t xml:space="preserve"> pracovní den po na</w:t>
      </w:r>
      <w:r w:rsidR="000225B2">
        <w:t>hlášení závady v místě plnění</w:t>
      </w:r>
      <w:r w:rsidR="003D5942">
        <w:t xml:space="preserve"> tak, aby byla zachována </w:t>
      </w:r>
      <w:r w:rsidR="00D260E6">
        <w:t xml:space="preserve">či obnovena </w:t>
      </w:r>
      <w:r w:rsidR="003D5942">
        <w:t>funkčnost díla</w:t>
      </w:r>
      <w:r>
        <w:t>.</w:t>
      </w:r>
      <w:r w:rsidR="000225B2">
        <w:t xml:space="preserve"> Uvedené platí po celou dobu běhu záruční doby.</w:t>
      </w:r>
    </w:p>
    <w:p w14:paraId="08744F5C" w14:textId="77777777" w:rsidR="00CF5B20" w:rsidRDefault="00CF5B20" w:rsidP="00CF5B20">
      <w:pPr>
        <w:pStyle w:val="lnek07"/>
      </w:pPr>
      <w:r>
        <w:t>Zhotovitel nenese odpovědnost a záruka se nevztahuje na vady a chyby prokazatelně vzniklé:</w:t>
      </w:r>
    </w:p>
    <w:p w14:paraId="3FB52683" w14:textId="3CE7603E" w:rsidR="004942EB" w:rsidRDefault="00CF5B20" w:rsidP="0089171F">
      <w:pPr>
        <w:pStyle w:val="Odstavecseseznamem"/>
        <w:ind w:left="700"/>
      </w:pPr>
      <w:r>
        <w:t xml:space="preserve">provozováním díla </w:t>
      </w:r>
      <w:r w:rsidR="00962FE8">
        <w:t>objednatelem</w:t>
      </w:r>
      <w:r w:rsidR="00BF367A">
        <w:t xml:space="preserve"> </w:t>
      </w:r>
      <w:r w:rsidR="00962FE8">
        <w:t>v rozporu s</w:t>
      </w:r>
      <w:r w:rsidR="00667C96">
        <w:t xml:space="preserve"> pravidly stanovenými v dokumentaci </w:t>
      </w:r>
      <w:r w:rsidR="00BD2484">
        <w:t xml:space="preserve">nebo </w:t>
      </w:r>
    </w:p>
    <w:p w14:paraId="53518DF1" w14:textId="68EA935D" w:rsidR="00CF5B20" w:rsidRDefault="004942EB" w:rsidP="0089171F">
      <w:pPr>
        <w:pStyle w:val="Odstavecseseznamem"/>
        <w:ind w:left="700"/>
      </w:pPr>
      <w:r>
        <w:t>neoprávněným nebo neodborným zásahem</w:t>
      </w:r>
      <w:r w:rsidR="00130D56" w:rsidRPr="00435865">
        <w:t xml:space="preserve"> do díla.</w:t>
      </w:r>
    </w:p>
    <w:p w14:paraId="7ABF4B83" w14:textId="20CE519D" w:rsidR="003600AD" w:rsidRPr="003600AD" w:rsidRDefault="00986734" w:rsidP="003600AD">
      <w:pPr>
        <w:pStyle w:val="Nzevaslolnku"/>
        <w:rPr>
          <w:noProof/>
        </w:rPr>
      </w:pPr>
      <w:r>
        <w:rPr>
          <w:noProof/>
        </w:rPr>
        <w:t>Článe</w:t>
      </w:r>
      <w:r w:rsidR="00CF5B20">
        <w:rPr>
          <w:noProof/>
        </w:rPr>
        <w:t>k</w:t>
      </w:r>
      <w:r>
        <w:rPr>
          <w:noProof/>
        </w:rPr>
        <w:t xml:space="preserve"> </w:t>
      </w:r>
      <w:r w:rsidR="003600AD" w:rsidRPr="003600AD">
        <w:rPr>
          <w:noProof/>
        </w:rPr>
        <w:t>V</w:t>
      </w:r>
      <w:r>
        <w:rPr>
          <w:noProof/>
        </w:rPr>
        <w:t>I</w:t>
      </w:r>
      <w:r w:rsidR="003600AD" w:rsidRPr="003600AD">
        <w:rPr>
          <w:noProof/>
        </w:rPr>
        <w:t>I</w:t>
      </w:r>
      <w:r w:rsidR="00CF5B20">
        <w:rPr>
          <w:noProof/>
        </w:rPr>
        <w:t>I</w:t>
      </w:r>
      <w:r w:rsidR="003600AD" w:rsidRPr="003600AD">
        <w:rPr>
          <w:noProof/>
        </w:rPr>
        <w:t>.</w:t>
      </w:r>
      <w:r w:rsidR="003600AD">
        <w:rPr>
          <w:noProof/>
        </w:rPr>
        <w:br/>
      </w:r>
      <w:r w:rsidR="005D5AB9">
        <w:rPr>
          <w:noProof/>
        </w:rPr>
        <w:t>Akceptace</w:t>
      </w:r>
    </w:p>
    <w:p w14:paraId="5DFFDBFF" w14:textId="7AB3D5CA" w:rsidR="00150CFD" w:rsidRDefault="00150CFD" w:rsidP="00CF5B20">
      <w:pPr>
        <w:pStyle w:val="lnek08"/>
      </w:pPr>
      <w:r>
        <w:t xml:space="preserve">Veškeré práce patřící </w:t>
      </w:r>
      <w:r w:rsidR="008E1E99">
        <w:t xml:space="preserve">do implementace </w:t>
      </w:r>
      <w:r>
        <w:t>a související s </w:t>
      </w:r>
      <w:r w:rsidR="008E1E99">
        <w:t>ní</w:t>
      </w:r>
      <w:r>
        <w:t xml:space="preserve"> </w:t>
      </w:r>
      <w:r w:rsidR="00EE5667">
        <w:t>budou prováděny</w:t>
      </w:r>
      <w:r>
        <w:t xml:space="preserve"> po domluvě s odpovědnými osobami </w:t>
      </w:r>
      <w:r w:rsidR="00785624">
        <w:t>O</w:t>
      </w:r>
      <w:r w:rsidR="00B60626">
        <w:t>ddělení informatiky</w:t>
      </w:r>
      <w:r w:rsidR="00981711">
        <w:t>, Ústředního inspektorátu</w:t>
      </w:r>
      <w:r>
        <w:t xml:space="preserve"> ČOI. </w:t>
      </w:r>
    </w:p>
    <w:p w14:paraId="17C0CF30" w14:textId="3405A850" w:rsidR="003600AD" w:rsidRDefault="00B60626" w:rsidP="00CF5B20">
      <w:pPr>
        <w:pStyle w:val="lnek08"/>
      </w:pPr>
      <w:r>
        <w:t xml:space="preserve">Po dodávce </w:t>
      </w:r>
      <w:r w:rsidR="008E1E99">
        <w:t>S</w:t>
      </w:r>
      <w:r w:rsidR="00C66389">
        <w:t>ystému pro centralizovanou správu logů</w:t>
      </w:r>
      <w:r w:rsidR="00FF7D51">
        <w:t>,</w:t>
      </w:r>
      <w:r w:rsidR="00BB3B5B">
        <w:t xml:space="preserve"> implementaci a provedeném školení</w:t>
      </w:r>
      <w:r w:rsidR="00150CFD">
        <w:t xml:space="preserve"> podepíše </w:t>
      </w:r>
      <w:r w:rsidR="00EE5667">
        <w:t>z</w:t>
      </w:r>
      <w:r w:rsidR="005D5AB9" w:rsidRPr="00471EC3">
        <w:t xml:space="preserve">hotovitel </w:t>
      </w:r>
      <w:r w:rsidR="00150CFD">
        <w:t>s </w:t>
      </w:r>
      <w:r w:rsidR="000434AA">
        <w:t>oprávněnou</w:t>
      </w:r>
      <w:r w:rsidR="00150CFD">
        <w:t xml:space="preserve"> </w:t>
      </w:r>
      <w:r w:rsidR="00D056C5">
        <w:t xml:space="preserve">osobou </w:t>
      </w:r>
      <w:r w:rsidR="000434AA">
        <w:t>objednatele</w:t>
      </w:r>
      <w:r w:rsidR="00D056C5">
        <w:t xml:space="preserve">  „</w:t>
      </w:r>
      <w:r w:rsidR="00D056C5" w:rsidRPr="00D056C5">
        <w:rPr>
          <w:b/>
        </w:rPr>
        <w:t>Akceptační protokol</w:t>
      </w:r>
      <w:r w:rsidR="00D056C5">
        <w:rPr>
          <w:b/>
        </w:rPr>
        <w:t>“,</w:t>
      </w:r>
      <w:r w:rsidR="00D056C5">
        <w:t xml:space="preserve"> </w:t>
      </w:r>
      <w:r w:rsidR="005D5AB9" w:rsidRPr="00471EC3">
        <w:lastRenderedPageBreak/>
        <w:t xml:space="preserve">v němž </w:t>
      </w:r>
      <w:r w:rsidR="005D5AB9">
        <w:t xml:space="preserve">se </w:t>
      </w:r>
      <w:r w:rsidR="005D5AB9" w:rsidRPr="00471EC3">
        <w:t xml:space="preserve">zejména uvede, zda </w:t>
      </w:r>
      <w:r w:rsidR="00BD3EEA">
        <w:t>díl</w:t>
      </w:r>
      <w:r w:rsidR="005D5AB9">
        <w:t>o</w:t>
      </w:r>
      <w:r w:rsidR="005D5AB9" w:rsidRPr="00471EC3">
        <w:t xml:space="preserve"> </w:t>
      </w:r>
      <w:r w:rsidR="005D5AB9">
        <w:t xml:space="preserve">je v souladu </w:t>
      </w:r>
      <w:r w:rsidR="005D5AB9" w:rsidRPr="00471EC3">
        <w:t xml:space="preserve">se </w:t>
      </w:r>
      <w:r w:rsidR="00BD3EEA">
        <w:t>s</w:t>
      </w:r>
      <w:r w:rsidR="004D02D5">
        <w:t>mlouv</w:t>
      </w:r>
      <w:r w:rsidR="004D02D5" w:rsidRPr="00471EC3">
        <w:t>ou</w:t>
      </w:r>
      <w:r w:rsidR="004D02D5">
        <w:t>, či jaké jsou výhrady objednatele k</w:t>
      </w:r>
      <w:r w:rsidR="00A32847">
        <w:t> </w:t>
      </w:r>
      <w:r w:rsidR="004D02D5">
        <w:t>dílu</w:t>
      </w:r>
      <w:r w:rsidR="004D02D5" w:rsidRPr="00986734">
        <w:t>.</w:t>
      </w:r>
      <w:r w:rsidR="004D02D5">
        <w:t xml:space="preserve"> Akceptační protokol obsahuje minimálně tyto náležitosti</w:t>
      </w:r>
      <w:r w:rsidR="00DC1CB2">
        <w:t>:</w:t>
      </w:r>
    </w:p>
    <w:p w14:paraId="3786F0F3" w14:textId="46DEE217" w:rsidR="00DC1CB2" w:rsidRPr="00D0488C" w:rsidRDefault="00DC1CB2" w:rsidP="0089171F">
      <w:pPr>
        <w:pStyle w:val="Odstavecseseznamem"/>
        <w:ind w:left="700"/>
      </w:pPr>
      <w:r w:rsidRPr="00D0488C">
        <w:t>číslo smlouvy a datum jejího uzavření,</w:t>
      </w:r>
    </w:p>
    <w:p w14:paraId="4ED65D56" w14:textId="035136B0" w:rsidR="00DC1CB2" w:rsidRPr="00D0488C" w:rsidRDefault="00DC1CB2" w:rsidP="0089171F">
      <w:pPr>
        <w:pStyle w:val="Odstavecseseznamem"/>
        <w:ind w:left="700"/>
      </w:pPr>
      <w:r w:rsidRPr="00D0488C">
        <w:t>označení předmětu plnění nebo jeho části,</w:t>
      </w:r>
    </w:p>
    <w:p w14:paraId="10C79BE3" w14:textId="3A9E5EBE" w:rsidR="00DC1CB2" w:rsidRPr="00D0488C" w:rsidRDefault="00DC1CB2" w:rsidP="0089171F">
      <w:pPr>
        <w:pStyle w:val="Odstavecseseznamem"/>
        <w:ind w:left="700"/>
      </w:pPr>
      <w:r w:rsidRPr="00D0488C">
        <w:t>název, sídlo, IČ</w:t>
      </w:r>
      <w:r w:rsidR="00EE5667">
        <w:t>O</w:t>
      </w:r>
      <w:r w:rsidRPr="00D0488C">
        <w:t xml:space="preserve"> a DIČ </w:t>
      </w:r>
      <w:r w:rsidR="00EE5667">
        <w:t>o</w:t>
      </w:r>
      <w:r w:rsidRPr="00D0488C">
        <w:t xml:space="preserve">bjednatele a </w:t>
      </w:r>
      <w:r w:rsidR="00EE5667">
        <w:t>z</w:t>
      </w:r>
      <w:r w:rsidRPr="00D0488C">
        <w:t>hotovitele,</w:t>
      </w:r>
    </w:p>
    <w:p w14:paraId="54B41FAA" w14:textId="05FE5AE1" w:rsidR="00DC1CB2" w:rsidRPr="00D0488C" w:rsidRDefault="00DC1CB2" w:rsidP="0089171F">
      <w:pPr>
        <w:pStyle w:val="Odstavecseseznamem"/>
        <w:ind w:left="700"/>
      </w:pPr>
      <w:r w:rsidRPr="00D0488C">
        <w:t>datum zahájení a dokončení pl</w:t>
      </w:r>
      <w:r>
        <w:t xml:space="preserve">nění </w:t>
      </w:r>
      <w:r w:rsidRPr="00D0488C">
        <w:t>díla,</w:t>
      </w:r>
    </w:p>
    <w:p w14:paraId="1D2FB28C" w14:textId="739511D4" w:rsidR="00DC1CB2" w:rsidRPr="00D0488C" w:rsidRDefault="00DC1CB2" w:rsidP="0089171F">
      <w:pPr>
        <w:pStyle w:val="Odstavecseseznamem"/>
        <w:ind w:left="700"/>
      </w:pPr>
      <w:r w:rsidRPr="00D0488C">
        <w:t>podrobné vymezení rozsahu poskytnutého plnění,</w:t>
      </w:r>
    </w:p>
    <w:p w14:paraId="26DF114B" w14:textId="77777777" w:rsidR="00FD7B69" w:rsidRDefault="00DC1CB2" w:rsidP="0089171F">
      <w:pPr>
        <w:pStyle w:val="Odstavecseseznamem"/>
        <w:ind w:left="700"/>
      </w:pPr>
      <w:r w:rsidRPr="00D0488C">
        <w:t xml:space="preserve">prohlášení </w:t>
      </w:r>
      <w:r w:rsidR="00EE5667">
        <w:t>o</w:t>
      </w:r>
      <w:r w:rsidRPr="00D0488C">
        <w:t>bjednatele, že plnění (jeho část) přejím</w:t>
      </w:r>
      <w:r>
        <w:t>á (nepřejímá),</w:t>
      </w:r>
    </w:p>
    <w:p w14:paraId="49E16D04" w14:textId="44DA054C" w:rsidR="00DC1CB2" w:rsidRPr="00D0488C" w:rsidRDefault="00DC1CB2" w:rsidP="0089171F">
      <w:pPr>
        <w:pStyle w:val="Odstavecseseznamem"/>
        <w:ind w:left="700"/>
      </w:pPr>
      <w:r>
        <w:t xml:space="preserve">podpis oprávněné </w:t>
      </w:r>
      <w:r w:rsidRPr="00D0488C">
        <w:t xml:space="preserve">osoby </w:t>
      </w:r>
      <w:r w:rsidR="00EE5667">
        <w:t>o</w:t>
      </w:r>
      <w:r>
        <w:t>bjednat</w:t>
      </w:r>
      <w:r w:rsidRPr="00D0488C">
        <w:t>ele</w:t>
      </w:r>
      <w:r w:rsidR="00553841">
        <w:t xml:space="preserve"> a zhotovitele</w:t>
      </w:r>
      <w:r w:rsidR="00994B51">
        <w:t xml:space="preserve"> </w:t>
      </w:r>
      <w:r w:rsidR="00553841">
        <w:t>(</w:t>
      </w:r>
      <w:r w:rsidR="00994B51">
        <w:t>oprávněnou osobou</w:t>
      </w:r>
      <w:r w:rsidR="002D78CA">
        <w:t xml:space="preserve"> za ČOI</w:t>
      </w:r>
      <w:r w:rsidR="00994B51">
        <w:t xml:space="preserve"> je </w:t>
      </w:r>
      <w:proofErr w:type="spellStart"/>
      <w:r w:rsidR="00D208CB" w:rsidRPr="009D6CC3">
        <w:rPr>
          <w:highlight w:val="black"/>
        </w:rPr>
        <w:t>xxxxxxxxxxxx</w:t>
      </w:r>
      <w:proofErr w:type="spellEnd"/>
      <w:r w:rsidR="00994B51" w:rsidRPr="0089171F">
        <w:t>,</w:t>
      </w:r>
      <w:r w:rsidR="002D78CA">
        <w:t xml:space="preserve"> mob. telefon </w:t>
      </w:r>
      <w:proofErr w:type="spellStart"/>
      <w:r w:rsidR="00D208CB" w:rsidRPr="009D6CC3">
        <w:rPr>
          <w:highlight w:val="black"/>
        </w:rPr>
        <w:t>xxxxxxxxxxxxx</w:t>
      </w:r>
      <w:proofErr w:type="spellEnd"/>
      <w:r w:rsidR="00553841">
        <w:t>).</w:t>
      </w:r>
    </w:p>
    <w:p w14:paraId="200B57C6" w14:textId="5CD95DA7" w:rsidR="00994B51" w:rsidRDefault="00994B51" w:rsidP="00994B51">
      <w:pPr>
        <w:pStyle w:val="Odstavecseseznamem"/>
        <w:numPr>
          <w:ilvl w:val="0"/>
          <w:numId w:val="0"/>
        </w:numPr>
        <w:ind w:left="709"/>
      </w:pPr>
    </w:p>
    <w:p w14:paraId="5AD91BCF" w14:textId="77777777" w:rsidR="003600AD" w:rsidRPr="00986734" w:rsidRDefault="005D5AB9" w:rsidP="00CF5B20">
      <w:pPr>
        <w:pStyle w:val="lnek08"/>
      </w:pPr>
      <w:r>
        <w:t xml:space="preserve">Zhotovitel </w:t>
      </w:r>
      <w:r w:rsidRPr="00471EC3">
        <w:t xml:space="preserve">předá </w:t>
      </w:r>
      <w:r>
        <w:t xml:space="preserve">objednateli </w:t>
      </w:r>
      <w:r w:rsidRPr="00471EC3">
        <w:t xml:space="preserve">a </w:t>
      </w:r>
      <w:r>
        <w:t xml:space="preserve">objednatel </w:t>
      </w:r>
      <w:r w:rsidRPr="00471EC3">
        <w:t xml:space="preserve">od </w:t>
      </w:r>
      <w:r>
        <w:t xml:space="preserve">zhotovitele </w:t>
      </w:r>
      <w:r w:rsidRPr="00471EC3">
        <w:t xml:space="preserve">převezme </w:t>
      </w:r>
      <w:r w:rsidR="00BD3EEA">
        <w:t>díl</w:t>
      </w:r>
      <w:r w:rsidRPr="00471EC3">
        <w:t>o po úspěšné</w:t>
      </w:r>
      <w:r>
        <w:t xml:space="preserve"> akceptaci</w:t>
      </w:r>
      <w:r w:rsidR="003600AD" w:rsidRPr="00986734">
        <w:t>.</w:t>
      </w:r>
    </w:p>
    <w:p w14:paraId="560CB6F4" w14:textId="77777777" w:rsidR="004A72F2" w:rsidRPr="00986734" w:rsidRDefault="004A72F2" w:rsidP="00CF5B20">
      <w:pPr>
        <w:pStyle w:val="lnek08"/>
      </w:pPr>
      <w:r w:rsidRPr="00986734">
        <w:t>V případě, že objednatel dílo nepřevezme, bude mezi smluvními stranami sepsán zápis s uvedením důvodu nepřevzetí díla a s uvedením stanovisek obou smluvních stran. V případě nepřevzetí díla dohodnou smluvní strany náhradní termín předání a převzetí díla.</w:t>
      </w:r>
    </w:p>
    <w:p w14:paraId="40D397EA" w14:textId="77777777" w:rsidR="004A72F2" w:rsidRPr="00986734" w:rsidRDefault="004A72F2" w:rsidP="00CF5B20">
      <w:pPr>
        <w:pStyle w:val="lnek08"/>
      </w:pPr>
      <w:r w:rsidRPr="00986734">
        <w:t>Bude-li dílo objednatelem převzato i s vadami nebo nedodělky, považuje se dílo za řádně dokončené teprve odstraněním všech vad nebo nedodělků uvedených v</w:t>
      </w:r>
      <w:r>
        <w:t xml:space="preserve"> Akceptačním </w:t>
      </w:r>
      <w:r w:rsidRPr="00986734">
        <w:t>protokolu nebo řádným uspokojením jiného zákonného či smluvního nároku uplatněného objednatelem z titulu odpovědnosti zhotovitele za vady díla, nebude-li mezi smluvními stranami písemně dohodnuto jinak.</w:t>
      </w:r>
    </w:p>
    <w:p w14:paraId="1077CDB8" w14:textId="3C30FC4F" w:rsidR="003600AD" w:rsidRPr="00986734" w:rsidRDefault="003600AD" w:rsidP="00CF5B20">
      <w:pPr>
        <w:pStyle w:val="lnek08"/>
      </w:pPr>
      <w:r w:rsidRPr="00986734">
        <w:t>Zhotovitel se zavazuje řádně odstranit veškeré vady a nedodělky, jež vyplynou z přejímacího řízení, a to v termínu stanoveném v</w:t>
      </w:r>
      <w:r w:rsidR="004A72F2">
        <w:t xml:space="preserve"> Akceptačním </w:t>
      </w:r>
      <w:r w:rsidRPr="00986734">
        <w:t>protokolu nebo v zápise o nepřevzetí</w:t>
      </w:r>
      <w:r w:rsidR="001F3F1F" w:rsidRPr="00986734">
        <w:t xml:space="preserve"> díl</w:t>
      </w:r>
      <w:r w:rsidRPr="00986734">
        <w:t xml:space="preserve">a podle odst. </w:t>
      </w:r>
      <w:r w:rsidR="00EE5667">
        <w:t>4</w:t>
      </w:r>
      <w:r w:rsidRPr="00986734">
        <w:t xml:space="preserve"> tohoto článku. Nebude-li termín odstranění vady nebo nedodělku stanoven tímto způsobem a neuplatní-li</w:t>
      </w:r>
      <w:r w:rsidR="001F3F1F" w:rsidRPr="00986734">
        <w:t xml:space="preserve"> objednat</w:t>
      </w:r>
      <w:r w:rsidRPr="00986734">
        <w:t>el ohledně zjištěné vady nebo nedodělku jiný zákonný či smluvní nárok vyplývající z odpovědnosti</w:t>
      </w:r>
      <w:r w:rsidR="001F3F1F" w:rsidRPr="00986734">
        <w:t xml:space="preserve"> zhotovit</w:t>
      </w:r>
      <w:r w:rsidRPr="00986734">
        <w:t>ele za vady</w:t>
      </w:r>
      <w:r w:rsidR="001F3F1F" w:rsidRPr="00986734">
        <w:t xml:space="preserve"> díl</w:t>
      </w:r>
      <w:r w:rsidRPr="00986734">
        <w:t>a, je</w:t>
      </w:r>
      <w:r w:rsidR="001F3F1F" w:rsidRPr="00986734">
        <w:t xml:space="preserve"> zhotovit</w:t>
      </w:r>
      <w:r w:rsidRPr="00986734">
        <w:t xml:space="preserve">el povinen na vadu nebo nedodělek nastoupit k jeho odstranění nejpozději do </w:t>
      </w:r>
      <w:r w:rsidR="00785624">
        <w:t>pěti (</w:t>
      </w:r>
      <w:r w:rsidRPr="00986734">
        <w:t>5</w:t>
      </w:r>
      <w:r w:rsidR="00785624">
        <w:t>)</w:t>
      </w:r>
      <w:r w:rsidRPr="00986734">
        <w:t xml:space="preserve"> pracovních dnů ode dne jeho nahlášení</w:t>
      </w:r>
      <w:r w:rsidR="001F3F1F" w:rsidRPr="00986734">
        <w:t xml:space="preserve"> objednat</w:t>
      </w:r>
      <w:r w:rsidRPr="00986734">
        <w:t>elem.</w:t>
      </w:r>
    </w:p>
    <w:p w14:paraId="5F1BB9EC" w14:textId="77777777" w:rsidR="003600AD" w:rsidRDefault="003600AD" w:rsidP="00CF5B20">
      <w:pPr>
        <w:pStyle w:val="lnek08"/>
      </w:pPr>
      <w:r w:rsidRPr="00986734">
        <w:t>Objednatel není oprávněn odmítnout převzetí</w:t>
      </w:r>
      <w:r w:rsidR="001F3F1F" w:rsidRPr="00986734">
        <w:t xml:space="preserve"> díl</w:t>
      </w:r>
      <w:r w:rsidRPr="00986734">
        <w:t>a pro závady, jejichž původ je v podkladech, které zhotoviteli sám předal, jestliže</w:t>
      </w:r>
      <w:r w:rsidR="001F3F1F" w:rsidRPr="00986734">
        <w:t xml:space="preserve"> zhotovit</w:t>
      </w:r>
      <w:r w:rsidRPr="00986734">
        <w:t>el nemohl zjistit tyto závady ani při vynaložení odborné péče nebo na ně objednatele písemně upozornil a</w:t>
      </w:r>
      <w:r w:rsidR="001F3F1F" w:rsidRPr="00986734">
        <w:t xml:space="preserve"> objednat</w:t>
      </w:r>
      <w:r w:rsidRPr="00986734">
        <w:t>el na jejich použití trval.</w:t>
      </w:r>
    </w:p>
    <w:p w14:paraId="45B887C6" w14:textId="77777777" w:rsidR="004A72F2" w:rsidRPr="003600AD" w:rsidRDefault="004A72F2" w:rsidP="004A72F2">
      <w:pPr>
        <w:pStyle w:val="Nzevaslolnku"/>
        <w:rPr>
          <w:noProof/>
        </w:rPr>
      </w:pPr>
      <w:r w:rsidRPr="003600AD">
        <w:rPr>
          <w:noProof/>
        </w:rPr>
        <w:t xml:space="preserve">Článek </w:t>
      </w:r>
      <w:r w:rsidR="00CF5B20">
        <w:rPr>
          <w:noProof/>
        </w:rPr>
        <w:t>IX</w:t>
      </w:r>
      <w:r w:rsidRPr="003600AD">
        <w:rPr>
          <w:noProof/>
        </w:rPr>
        <w:t>.</w:t>
      </w:r>
      <w:r>
        <w:rPr>
          <w:noProof/>
        </w:rPr>
        <w:br/>
      </w:r>
      <w:r w:rsidR="00B979B4">
        <w:rPr>
          <w:noProof/>
        </w:rPr>
        <w:t>Sankční ujednání</w:t>
      </w:r>
    </w:p>
    <w:p w14:paraId="533D8621" w14:textId="055B4F6C" w:rsidR="00B979B4" w:rsidRDefault="000225B2" w:rsidP="00CF5B20">
      <w:pPr>
        <w:pStyle w:val="lnek09"/>
      </w:pPr>
      <w:r>
        <w:t xml:space="preserve">Smluvní strany se </w:t>
      </w:r>
      <w:r w:rsidR="00B979B4">
        <w:t xml:space="preserve">dohodly, že v případě nedodržení kteréhokoliv termínu pro plnění </w:t>
      </w:r>
      <w:r w:rsidR="00BD3EEA">
        <w:t>díl</w:t>
      </w:r>
      <w:r w:rsidR="00B979B4">
        <w:t xml:space="preserve">a </w:t>
      </w:r>
      <w:r w:rsidR="00715FAD">
        <w:t>(vztahuje se na jakékoli smluvní ujednání</w:t>
      </w:r>
      <w:r w:rsidR="00903C93">
        <w:t xml:space="preserve"> vč. lhůty pro odstranění vady</w:t>
      </w:r>
      <w:r w:rsidR="00A32847">
        <w:t xml:space="preserve">, </w:t>
      </w:r>
      <w:r w:rsidR="00715FAD">
        <w:t xml:space="preserve">není-li dále upraveno jinak) </w:t>
      </w:r>
      <w:r w:rsidR="00B979B4">
        <w:t xml:space="preserve">dle této </w:t>
      </w:r>
      <w:r w:rsidR="00BD3EEA">
        <w:t>smlouv</w:t>
      </w:r>
      <w:r w:rsidR="00B979B4">
        <w:t xml:space="preserve">y má objednatel právo účtovat zhotoviteli smluvní pokutu ve výši 0,1 % z celkové ceny </w:t>
      </w:r>
      <w:r w:rsidR="00BD3EEA">
        <w:t>díl</w:t>
      </w:r>
      <w:r w:rsidR="00B979B4">
        <w:t>a bez DPH za každý i započatý den prodlení.</w:t>
      </w:r>
      <w:r w:rsidR="00715FAD">
        <w:t xml:space="preserve"> </w:t>
      </w:r>
    </w:p>
    <w:p w14:paraId="7A4F7999" w14:textId="6DF53D17" w:rsidR="00B979B4" w:rsidRDefault="00B979B4" w:rsidP="00CF5B20">
      <w:pPr>
        <w:pStyle w:val="lnek09"/>
      </w:pPr>
      <w:r>
        <w:t xml:space="preserve">Pro případ prodlení objednatele se zaplacením faktury je objednatel povinen zaplatit zhotoviteli smluvní pokutu ve výši 0,05 % z ceny </w:t>
      </w:r>
      <w:r w:rsidR="00903C93">
        <w:t xml:space="preserve">příslušné části </w:t>
      </w:r>
      <w:r w:rsidR="00BD3EEA">
        <w:t>díl</w:t>
      </w:r>
      <w:r>
        <w:t>a.</w:t>
      </w:r>
    </w:p>
    <w:p w14:paraId="5AED00AD" w14:textId="016516E4" w:rsidR="00B10263" w:rsidRDefault="00B10263" w:rsidP="00CF5B20">
      <w:pPr>
        <w:pStyle w:val="lnek09"/>
      </w:pPr>
      <w:r>
        <w:t xml:space="preserve">V případě, že objednatel </w:t>
      </w:r>
      <w:r w:rsidR="00B277FC">
        <w:t>v termínu do podpisu Akceptačního protokolu (viz článek VIII)</w:t>
      </w:r>
      <w:r w:rsidR="00B7474E">
        <w:t xml:space="preserve"> </w:t>
      </w:r>
      <w:r>
        <w:t>zjistí</w:t>
      </w:r>
      <w:r w:rsidR="00B7474E">
        <w:t>, že nebyl dodrž</w:t>
      </w:r>
      <w:r w:rsidR="00612DED">
        <w:t>en požadavek zadávacích podmínek</w:t>
      </w:r>
      <w:r w:rsidR="00802CDD">
        <w:t xml:space="preserve"> uplatněný v této smlouvě (viz příloha </w:t>
      </w:r>
      <w:proofErr w:type="gramStart"/>
      <w:r w:rsidR="00802CDD">
        <w:t>č.1 Technická</w:t>
      </w:r>
      <w:proofErr w:type="gramEnd"/>
      <w:r w:rsidR="00802CDD">
        <w:t xml:space="preserve"> specifikace díla)</w:t>
      </w:r>
      <w:r w:rsidR="00B7474E">
        <w:t xml:space="preserve">, </w:t>
      </w:r>
      <w:r w:rsidR="00471C65">
        <w:t xml:space="preserve">vyhrazuje si právo odstoupit od smlouvy bez jakýchkoliv sankcí nebo vymáhat </w:t>
      </w:r>
      <w:r w:rsidR="0040249F">
        <w:t xml:space="preserve">po zhotoviteli </w:t>
      </w:r>
      <w:r w:rsidR="00471C65">
        <w:t>smluvní pokutu ve výši 200 000,</w:t>
      </w:r>
      <w:r w:rsidR="0040249F">
        <w:t>- Kč.</w:t>
      </w:r>
    </w:p>
    <w:p w14:paraId="55F8EC13" w14:textId="2DA2D5B3" w:rsidR="00B979B4" w:rsidRDefault="00B979B4" w:rsidP="00CF5B20">
      <w:pPr>
        <w:pStyle w:val="lnek09"/>
      </w:pPr>
      <w:r>
        <w:t xml:space="preserve">Žádná ze smluvních stran nemá povinnost nahradit újmu způsobenou porušením svých povinností vyplývajících z této </w:t>
      </w:r>
      <w:r w:rsidR="00BD3EEA">
        <w:t>smlouv</w:t>
      </w:r>
      <w:r>
        <w:t>y, bránila-li jí v jejich splnění některá z překážek vylučujících povinnost k náhradě škody ve smyslu § 2913 odst. 2 občanského zákoníku.</w:t>
      </w:r>
    </w:p>
    <w:p w14:paraId="49857ABB" w14:textId="31F71DA9" w:rsidR="00B979B4" w:rsidRDefault="0066444F" w:rsidP="00CF5B20">
      <w:pPr>
        <w:pStyle w:val="lnek09"/>
      </w:pPr>
      <w:r w:rsidRPr="00435865">
        <w:lastRenderedPageBreak/>
        <w:t xml:space="preserve">Smluvní pokuta </w:t>
      </w:r>
      <w:r w:rsidR="00B979B4" w:rsidRPr="00435865">
        <w:t>i náhrada zp</w:t>
      </w:r>
      <w:r w:rsidR="00962FE8">
        <w:t xml:space="preserve">ůsobené škody jsou splatné do </w:t>
      </w:r>
      <w:r w:rsidR="00225FA8">
        <w:t>dvaceti jedna (</w:t>
      </w:r>
      <w:r w:rsidR="00962FE8">
        <w:t>21</w:t>
      </w:r>
      <w:r w:rsidR="00225FA8">
        <w:t>)</w:t>
      </w:r>
      <w:r w:rsidR="00B979B4" w:rsidRPr="00435865">
        <w:t xml:space="preserve"> kalendářních dnů ode dne doručení písemné výzvy k zaplacení společně s příslušným daňovým dokladem </w:t>
      </w:r>
      <w:r w:rsidRPr="00435865">
        <w:t>/</w:t>
      </w:r>
      <w:r w:rsidR="00B979B4" w:rsidRPr="00435865">
        <w:t xml:space="preserve"> fakturou</w:t>
      </w:r>
      <w:r w:rsidRPr="00435865">
        <w:t xml:space="preserve"> </w:t>
      </w:r>
      <w:r w:rsidR="00B979B4" w:rsidRPr="00435865">
        <w:t xml:space="preserve">smluvní straně, která je povinná příslušnou </w:t>
      </w:r>
      <w:r w:rsidRPr="00435865">
        <w:t xml:space="preserve">smluvní pokutu </w:t>
      </w:r>
      <w:r w:rsidR="00B979B4" w:rsidRPr="00435865">
        <w:t xml:space="preserve">nebo </w:t>
      </w:r>
      <w:r w:rsidR="00B979B4">
        <w:t>náhradu škody zaplatit.</w:t>
      </w:r>
    </w:p>
    <w:p w14:paraId="20C22C01" w14:textId="1EF389C5" w:rsidR="00B979B4" w:rsidRDefault="00B979B4" w:rsidP="00CF5B20">
      <w:pPr>
        <w:pStyle w:val="lnek09"/>
      </w:pPr>
      <w:r>
        <w:t xml:space="preserve">Zhotovitel neodpovídá za jakékoliv vady </w:t>
      </w:r>
      <w:r w:rsidR="00BD3EEA">
        <w:t>díl</w:t>
      </w:r>
      <w:r>
        <w:t xml:space="preserve">a či jeho části a jakékoliv záruky zhotovitele za </w:t>
      </w:r>
      <w:r w:rsidR="00BD3EEA">
        <w:t>díl</w:t>
      </w:r>
      <w:r>
        <w:t xml:space="preserve">o či jeho část se </w:t>
      </w:r>
      <w:r w:rsidRPr="00435865">
        <w:t xml:space="preserve">nepoužijí v případě, že vada </w:t>
      </w:r>
      <w:r w:rsidR="00BD3EEA" w:rsidRPr="00435865">
        <w:t>díl</w:t>
      </w:r>
      <w:r w:rsidRPr="00435865">
        <w:t>a nebo jeho části vznikla v důsledku takového zásahu</w:t>
      </w:r>
      <w:r w:rsidR="001747A1" w:rsidRPr="00435865">
        <w:t xml:space="preserve"> </w:t>
      </w:r>
      <w:r w:rsidR="00111502" w:rsidRPr="00435865">
        <w:t>objednatele do díla</w:t>
      </w:r>
      <w:r w:rsidR="001747A1" w:rsidRPr="00435865">
        <w:t xml:space="preserve"> nebo jeho části</w:t>
      </w:r>
      <w:r w:rsidRPr="00435865">
        <w:t xml:space="preserve">, který </w:t>
      </w:r>
      <w:r>
        <w:t>nebyl předem schválen zhotovitelem nebo který je prováděn neodborně či v rozporu s pokyny zhotovitele.</w:t>
      </w:r>
    </w:p>
    <w:p w14:paraId="4298F5C1" w14:textId="77777777" w:rsidR="003600AD" w:rsidRPr="00435865" w:rsidRDefault="003600AD" w:rsidP="003600AD">
      <w:pPr>
        <w:pStyle w:val="Nzevaslolnku"/>
        <w:rPr>
          <w:noProof/>
        </w:rPr>
      </w:pPr>
      <w:r w:rsidRPr="003600AD">
        <w:rPr>
          <w:noProof/>
        </w:rPr>
        <w:t xml:space="preserve">Článek </w:t>
      </w:r>
      <w:r w:rsidR="003F3BBE">
        <w:rPr>
          <w:noProof/>
        </w:rPr>
        <w:t>X</w:t>
      </w:r>
      <w:r w:rsidRPr="003600AD">
        <w:rPr>
          <w:noProof/>
        </w:rPr>
        <w:t>.</w:t>
      </w:r>
      <w:r>
        <w:rPr>
          <w:noProof/>
        </w:rPr>
        <w:br/>
      </w:r>
      <w:r w:rsidRPr="00435865">
        <w:rPr>
          <w:noProof/>
        </w:rPr>
        <w:t>Zvláštní ujednání</w:t>
      </w:r>
    </w:p>
    <w:p w14:paraId="0118C4DC" w14:textId="3E4C27A2" w:rsidR="00C94767" w:rsidRPr="00435865" w:rsidRDefault="00EE2DA1" w:rsidP="00CF5B20">
      <w:pPr>
        <w:pStyle w:val="lnek10"/>
        <w:rPr>
          <w:strike/>
          <w:lang w:eastAsia="en-US"/>
        </w:rPr>
      </w:pPr>
      <w:bookmarkStart w:id="1" w:name="_Ref369767655"/>
      <w:r w:rsidRPr="00435865">
        <w:t xml:space="preserve">Smluvní strany prohlašují, že skutečnosti uvedené v této </w:t>
      </w:r>
      <w:r w:rsidR="000E323F">
        <w:t>s</w:t>
      </w:r>
      <w:r w:rsidRPr="00435865">
        <w:t>mlouvě nepovažují za obchodní tajemství ve smyslu § 504 občanského zákoníku a udělují svolení k jejich užití a zveřejnění bez stanovení jakýchkoli dalších podmínek.</w:t>
      </w:r>
    </w:p>
    <w:p w14:paraId="2E44D3EF" w14:textId="77777777" w:rsidR="00C94767" w:rsidRPr="001A7DD1" w:rsidRDefault="00C94767" w:rsidP="00CF5B20">
      <w:pPr>
        <w:pStyle w:val="lnek10"/>
      </w:pPr>
      <w:r w:rsidRPr="00435865">
        <w:t xml:space="preserve">Smluvní strany </w:t>
      </w:r>
      <w:r w:rsidRPr="001A7DD1">
        <w:t>jsou si vědomy toho, že v rámci této smlouvy:</w:t>
      </w:r>
    </w:p>
    <w:p w14:paraId="21835184" w14:textId="77777777" w:rsidR="00C94767" w:rsidRPr="003600AD" w:rsidRDefault="00C94767" w:rsidP="0089171F">
      <w:pPr>
        <w:pStyle w:val="Odstavecseseznamem"/>
        <w:ind w:left="700"/>
      </w:pPr>
      <w:proofErr w:type="gramStart"/>
      <w:r w:rsidRPr="003600AD">
        <w:t>si</w:t>
      </w:r>
      <w:proofErr w:type="gramEnd"/>
      <w:r w:rsidRPr="003600AD">
        <w:t xml:space="preserve"> mohou vzájemně úmyslně nebo i opomenutím poskytnout informace, které budou považovány za důvěrné </w:t>
      </w:r>
      <w:r w:rsidRPr="006A78EC">
        <w:t xml:space="preserve">ve smyslu ustanovení § 1730 občanského zákoníku </w:t>
      </w:r>
      <w:r w:rsidRPr="003600AD">
        <w:t>(dále jen “důvěrné informace“),</w:t>
      </w:r>
    </w:p>
    <w:p w14:paraId="45DB0431" w14:textId="77777777" w:rsidR="00C94767" w:rsidRDefault="00C94767" w:rsidP="0089171F">
      <w:pPr>
        <w:pStyle w:val="Odstavecseseznamem"/>
        <w:ind w:left="700"/>
      </w:pPr>
      <w:r w:rsidRPr="003600AD">
        <w:t>mohou jejich zaměstnanci získat vědomou činností druhé strany nebo i jejím opomenutím přístup k důvěrným informacím druhé strany.</w:t>
      </w:r>
    </w:p>
    <w:p w14:paraId="7E3C95B7" w14:textId="0A994FE4" w:rsidR="00C94767" w:rsidRDefault="005072B9" w:rsidP="00CF5B20">
      <w:pPr>
        <w:pStyle w:val="lnek10"/>
        <w:rPr>
          <w:noProof/>
        </w:rPr>
      </w:pPr>
      <w:r w:rsidRPr="005072B9">
        <w:t>Smluvní</w:t>
      </w:r>
      <w:r w:rsidRPr="005072B9">
        <w:rPr>
          <w:noProof/>
        </w:rPr>
        <w:t xml:space="preserve"> strany se zavazují, že žádná z nich nezpřístupní důvěrné informace ani obchodní tajemství druhé </w:t>
      </w:r>
      <w:r w:rsidR="000E323F">
        <w:rPr>
          <w:noProof/>
        </w:rPr>
        <w:t>s</w:t>
      </w:r>
      <w:r w:rsidRPr="005072B9">
        <w:rPr>
          <w:noProof/>
        </w:rPr>
        <w:t xml:space="preserve">mluvní strany třetí osobě. To neplatí, je-li jejich poskytnutí třetí osobě nezbytné pro plnění závazků z této </w:t>
      </w:r>
      <w:r w:rsidR="00BD3EEA">
        <w:rPr>
          <w:noProof/>
        </w:rPr>
        <w:t>smlouv</w:t>
      </w:r>
      <w:r w:rsidRPr="005072B9">
        <w:rPr>
          <w:noProof/>
        </w:rPr>
        <w:t>y</w:t>
      </w:r>
      <w:r>
        <w:rPr>
          <w:noProof/>
        </w:rPr>
        <w:t>.</w:t>
      </w:r>
    </w:p>
    <w:p w14:paraId="754881C4" w14:textId="77777777" w:rsidR="003B73F8" w:rsidRPr="00C94767" w:rsidRDefault="003B73F8" w:rsidP="00CF5B20">
      <w:pPr>
        <w:pStyle w:val="lnek10"/>
      </w:pPr>
      <w:r w:rsidRPr="00746659">
        <w:rPr>
          <w:szCs w:val="18"/>
        </w:rPr>
        <w:t xml:space="preserve">Smluvní strany tímto souhlasně prohlašují, že nepovažují za porušení ochrany obchodního tajemství či ochrany důvěrných informací situace, kdy smluvní strana poskytne v rozsahu nezbytně nutném informace dle této </w:t>
      </w:r>
      <w:r w:rsidR="00BD3EEA">
        <w:rPr>
          <w:szCs w:val="18"/>
        </w:rPr>
        <w:t>smlouv</w:t>
      </w:r>
      <w:r w:rsidRPr="00746659">
        <w:rPr>
          <w:szCs w:val="18"/>
        </w:rPr>
        <w:t xml:space="preserve">y </w:t>
      </w:r>
      <w:r>
        <w:rPr>
          <w:szCs w:val="18"/>
        </w:rPr>
        <w:t>třetím osobám</w:t>
      </w:r>
      <w:r w:rsidRPr="00746659">
        <w:rPr>
          <w:szCs w:val="18"/>
        </w:rPr>
        <w:t xml:space="preserve">, za předpokladu, že jsou tyto osoby vázány zákonnou nebo smluvní povinností mlčenlivosti alespoň v rozsahu stanoveném v této </w:t>
      </w:r>
      <w:r w:rsidR="00BD3EEA">
        <w:rPr>
          <w:szCs w:val="18"/>
        </w:rPr>
        <w:t>smlouv</w:t>
      </w:r>
      <w:r w:rsidRPr="00746659">
        <w:rPr>
          <w:szCs w:val="18"/>
        </w:rPr>
        <w:t>ě</w:t>
      </w:r>
      <w:r>
        <w:rPr>
          <w:szCs w:val="18"/>
        </w:rPr>
        <w:t>.</w:t>
      </w:r>
    </w:p>
    <w:p w14:paraId="79A738CE" w14:textId="77777777" w:rsidR="003B73F8" w:rsidRPr="003F3BBE" w:rsidRDefault="003B73F8" w:rsidP="00CF5B20">
      <w:pPr>
        <w:pStyle w:val="lnek10"/>
      </w:pPr>
      <w:r w:rsidRPr="003F3BBE">
        <w:t>Smluvní strany výslovně souhlasí s tím, aby tato smlouva byla součástí evidence smluv, veden</w:t>
      </w:r>
      <w:r>
        <w:t>é</w:t>
      </w:r>
      <w:r w:rsidRPr="003F3BBE">
        <w:t xml:space="preserve"> Českou obchodní inspekcí, která bude pří</w:t>
      </w:r>
      <w:r>
        <w:t>stupná podle zákona č. 106/1999 </w:t>
      </w:r>
      <w:r w:rsidRPr="003F3BBE">
        <w:t>Sb., o svobodném přístupu k informacím,</w:t>
      </w:r>
      <w:r>
        <w:t xml:space="preserve"> ve znění pozdějších předpisů</w:t>
      </w:r>
      <w:r w:rsidRPr="003F3BBE">
        <w:t xml:space="preserve"> a která obsahuje údaje o smluvních stranách, předmětu smlouvy, číselné označení této smlouvy a datum jejího podpisu.</w:t>
      </w:r>
    </w:p>
    <w:p w14:paraId="4C5D617B" w14:textId="11E2B9B7" w:rsidR="00FE4267" w:rsidRDefault="00FE4267" w:rsidP="00FE4267">
      <w:pPr>
        <w:pStyle w:val="lnek10"/>
      </w:pPr>
      <w:r>
        <w:t xml:space="preserve">Zhotovitel </w:t>
      </w:r>
      <w:r w:rsidRPr="006F4208">
        <w:t xml:space="preserve">bere na vědomí a souhlasí se zveřejněním uzavřené smlouvy </w:t>
      </w:r>
      <w:r>
        <w:t>v registru smluv ve smyslu zákona č. 340/2015 Sb.</w:t>
      </w:r>
      <w:r w:rsidR="00715FAD">
        <w:t>, ve znění pozdějších předpisů.</w:t>
      </w:r>
    </w:p>
    <w:p w14:paraId="1F3B39BD" w14:textId="77777777" w:rsidR="003B73F8" w:rsidRPr="003B73F8" w:rsidRDefault="003B73F8" w:rsidP="00CF5B20">
      <w:pPr>
        <w:pStyle w:val="lnek10"/>
      </w:pPr>
      <w:r w:rsidRPr="00746659">
        <w:rPr>
          <w:szCs w:val="18"/>
        </w:rPr>
        <w:t>Obě smluvní strany jsou oprávněny sdělovat důvěrné informace</w:t>
      </w:r>
      <w:r w:rsidRPr="00746659">
        <w:rPr>
          <w:szCs w:val="18"/>
          <w:lang w:eastAsia="en-US"/>
        </w:rPr>
        <w:t xml:space="preserve"> a obchodní tajemství </w:t>
      </w:r>
      <w:r>
        <w:rPr>
          <w:szCs w:val="18"/>
          <w:lang w:eastAsia="en-US"/>
        </w:rPr>
        <w:t xml:space="preserve">pouze </w:t>
      </w:r>
      <w:r w:rsidRPr="00746659">
        <w:rPr>
          <w:szCs w:val="18"/>
          <w:lang w:eastAsia="en-US"/>
        </w:rPr>
        <w:t>v rozsahu, v jakém je to vyžadováno právními předpisy</w:t>
      </w:r>
      <w:r>
        <w:rPr>
          <w:szCs w:val="18"/>
          <w:lang w:eastAsia="en-US"/>
        </w:rPr>
        <w:t>.</w:t>
      </w:r>
    </w:p>
    <w:p w14:paraId="3E22C7B9" w14:textId="77777777" w:rsidR="003B73F8" w:rsidRPr="003600AD" w:rsidRDefault="003B73F8" w:rsidP="003B73F8">
      <w:pPr>
        <w:pStyle w:val="Nzevaslolnku"/>
        <w:rPr>
          <w:noProof/>
        </w:rPr>
      </w:pPr>
      <w:r w:rsidRPr="003600AD">
        <w:rPr>
          <w:noProof/>
        </w:rPr>
        <w:t>Článek X</w:t>
      </w:r>
      <w:r w:rsidR="00CF5B20">
        <w:rPr>
          <w:noProof/>
        </w:rPr>
        <w:t>I</w:t>
      </w:r>
      <w:r w:rsidRPr="003600AD">
        <w:rPr>
          <w:noProof/>
        </w:rPr>
        <w:t>.</w:t>
      </w:r>
      <w:r>
        <w:rPr>
          <w:noProof/>
        </w:rPr>
        <w:br/>
        <w:t>Rozhodné právo a řešení sporů</w:t>
      </w:r>
    </w:p>
    <w:p w14:paraId="5754E9A9" w14:textId="77777777" w:rsidR="003B73F8" w:rsidRDefault="003B73F8" w:rsidP="00CF5B20">
      <w:pPr>
        <w:pStyle w:val="lnek11"/>
      </w:pPr>
      <w:r w:rsidRPr="00C42223">
        <w:t xml:space="preserve">Práva a povinnosti smluvních stran, které nejsou výslovně upraveny touto smlouvou, se řídí příslušnými ustanoveními </w:t>
      </w:r>
      <w:r>
        <w:t>občanského zákoníku</w:t>
      </w:r>
      <w:r w:rsidRPr="00C42223">
        <w:t>.</w:t>
      </w:r>
    </w:p>
    <w:p w14:paraId="6F94CFFC" w14:textId="77777777" w:rsidR="003B73F8" w:rsidRPr="003B73F8" w:rsidRDefault="003B73F8" w:rsidP="00CF5B20">
      <w:pPr>
        <w:pStyle w:val="lnek11"/>
      </w:pPr>
      <w:r w:rsidRPr="00275A2D">
        <w:rPr>
          <w:szCs w:val="18"/>
          <w:lang w:eastAsia="en-US"/>
        </w:rPr>
        <w:t xml:space="preserve">Smluvní strany se zavazují vyvinout maximální úsilí k odstranění vzájemných sporů vzniklých na základě </w:t>
      </w:r>
      <w:r w:rsidR="00BD3EEA">
        <w:rPr>
          <w:szCs w:val="18"/>
          <w:lang w:eastAsia="en-US"/>
        </w:rPr>
        <w:t>smlouv</w:t>
      </w:r>
      <w:r w:rsidRPr="00275A2D">
        <w:rPr>
          <w:szCs w:val="18"/>
          <w:lang w:eastAsia="en-US"/>
        </w:rPr>
        <w:t>y nebo v souvislosti s ní, včetně sporů o její výklad či platnost a usilovat se o smírné vyřešení těchto sporů nejprve prostřednictvím jednání kontaktních osob nebo pověřených zástupců</w:t>
      </w:r>
      <w:r>
        <w:rPr>
          <w:szCs w:val="18"/>
          <w:lang w:eastAsia="en-US"/>
        </w:rPr>
        <w:t>.</w:t>
      </w:r>
    </w:p>
    <w:p w14:paraId="3AFBDD59" w14:textId="369A8FBB" w:rsidR="003B73F8" w:rsidRPr="00EB6950" w:rsidRDefault="003B73F8" w:rsidP="00CF5B20">
      <w:pPr>
        <w:pStyle w:val="lnek11"/>
      </w:pPr>
      <w:r w:rsidRPr="00275A2D">
        <w:rPr>
          <w:szCs w:val="18"/>
          <w:lang w:eastAsia="en-US"/>
        </w:rPr>
        <w:lastRenderedPageBreak/>
        <w:t xml:space="preserve">Nebude-li </w:t>
      </w:r>
      <w:r w:rsidR="00B425DD">
        <w:rPr>
          <w:szCs w:val="18"/>
          <w:lang w:eastAsia="en-US"/>
        </w:rPr>
        <w:t xml:space="preserve">spor </w:t>
      </w:r>
      <w:r w:rsidRPr="00275A2D">
        <w:rPr>
          <w:szCs w:val="18"/>
          <w:lang w:eastAsia="en-US"/>
        </w:rPr>
        <w:t>vyřešen</w:t>
      </w:r>
      <w:r w:rsidRPr="00275A2D">
        <w:rPr>
          <w:szCs w:val="18"/>
        </w:rPr>
        <w:t xml:space="preserve"> smírně, bude každý spor vzniklý na základě </w:t>
      </w:r>
      <w:r w:rsidR="00BD3EEA">
        <w:rPr>
          <w:szCs w:val="18"/>
        </w:rPr>
        <w:t>smlouv</w:t>
      </w:r>
      <w:r w:rsidRPr="00275A2D">
        <w:rPr>
          <w:szCs w:val="18"/>
        </w:rPr>
        <w:t xml:space="preserve">y rozhodován u obecného soudu České republiky, který je místně příslušný pro </w:t>
      </w:r>
      <w:r w:rsidR="000E323F">
        <w:rPr>
          <w:szCs w:val="18"/>
        </w:rPr>
        <w:t>o</w:t>
      </w:r>
      <w:r>
        <w:rPr>
          <w:szCs w:val="18"/>
        </w:rPr>
        <w:t>bjednatele</w:t>
      </w:r>
      <w:r w:rsidRPr="00275A2D">
        <w:rPr>
          <w:szCs w:val="18"/>
        </w:rPr>
        <w:t>, nestanoví-li zákon výlučnou místní příslušnost jiného soudu</w:t>
      </w:r>
      <w:r>
        <w:rPr>
          <w:szCs w:val="18"/>
        </w:rPr>
        <w:t>.</w:t>
      </w:r>
    </w:p>
    <w:p w14:paraId="63C6F662" w14:textId="6288D1B9" w:rsidR="00EB6950" w:rsidRPr="00EB6950" w:rsidRDefault="000E323F" w:rsidP="00EB6950">
      <w:pPr>
        <w:pStyle w:val="slolnku"/>
        <w:spacing w:before="0"/>
      </w:pPr>
      <w:r>
        <w:t>Článek</w:t>
      </w:r>
      <w:r w:rsidR="00EB6950" w:rsidRPr="00EB6950">
        <w:t xml:space="preserve"> XII</w:t>
      </w:r>
      <w:r>
        <w:t>.</w:t>
      </w:r>
    </w:p>
    <w:p w14:paraId="62E6FB4B" w14:textId="2EFEECFF" w:rsidR="00EB6950" w:rsidRPr="00EB6950" w:rsidRDefault="00EB6950" w:rsidP="00EB6950">
      <w:pPr>
        <w:pStyle w:val="Nadpis3"/>
        <w:rPr>
          <w:rFonts w:ascii="Arial" w:hAnsi="Arial" w:cs="Arial"/>
          <w:b/>
          <w:color w:val="auto"/>
        </w:rPr>
      </w:pPr>
      <w:r w:rsidRPr="00EB6950">
        <w:rPr>
          <w:rFonts w:ascii="Arial" w:hAnsi="Arial" w:cs="Arial"/>
          <w:b/>
          <w:color w:val="auto"/>
        </w:rPr>
        <w:t xml:space="preserve">                                 </w:t>
      </w:r>
      <w:r>
        <w:rPr>
          <w:rFonts w:ascii="Arial" w:hAnsi="Arial" w:cs="Arial"/>
          <w:b/>
          <w:color w:val="auto"/>
        </w:rPr>
        <w:t xml:space="preserve">                </w:t>
      </w:r>
      <w:r w:rsidRPr="00EB6950">
        <w:rPr>
          <w:rFonts w:ascii="Arial" w:hAnsi="Arial" w:cs="Arial"/>
          <w:b/>
          <w:color w:val="auto"/>
        </w:rPr>
        <w:t xml:space="preserve"> Zpracování osobních údajů</w:t>
      </w:r>
    </w:p>
    <w:p w14:paraId="52436973" w14:textId="77777777" w:rsidR="00EB6950" w:rsidRDefault="00EB6950" w:rsidP="00EB6950">
      <w:pPr>
        <w:keepNext/>
        <w:spacing w:after="120"/>
        <w:rPr>
          <w:bCs/>
          <w:caps/>
          <w:sz w:val="24"/>
        </w:rPr>
      </w:pPr>
    </w:p>
    <w:p w14:paraId="7F314E9E" w14:textId="4EBE6DDD" w:rsidR="00EB6950" w:rsidRDefault="00EB6950" w:rsidP="0089171F">
      <w:pPr>
        <w:pStyle w:val="Odstavecseseznamem"/>
        <w:numPr>
          <w:ilvl w:val="0"/>
          <w:numId w:val="24"/>
        </w:numPr>
        <w:ind w:left="357" w:hanging="357"/>
      </w:pPr>
      <w:r>
        <w:t xml:space="preserve">V případě, že při plnění činností podle této smlouvy bude docházet ke zpracování osobních údajů, jejichž správcem je </w:t>
      </w:r>
      <w:r w:rsidR="000E323F">
        <w:t>o</w:t>
      </w:r>
      <w:r>
        <w:t xml:space="preserve">bjednatel, </w:t>
      </w:r>
      <w:r w:rsidR="000E323F">
        <w:t>zhotovitelem</w:t>
      </w:r>
      <w:r>
        <w:t xml:space="preserve">, který se tak stane zpracovatelem těchto osobních údajů ve smyslu Nařízení Evropského parlamentu a Rady (EU) 2016/679, o ochraně fyzických osob v souvislosti se zpracováním osobních údajů a o volném pohybu těchto údajů a o zrušení směrnice 95/46/ES (obecné nařízení o ochraně osobních údajů): </w:t>
      </w:r>
    </w:p>
    <w:p w14:paraId="21A20E8B" w14:textId="7A89A6A0" w:rsidR="00EB6950" w:rsidRDefault="00EB6950" w:rsidP="0089171F">
      <w:pPr>
        <w:numPr>
          <w:ilvl w:val="0"/>
          <w:numId w:val="25"/>
        </w:numPr>
        <w:spacing w:after="120"/>
        <w:ind w:left="723"/>
        <w:jc w:val="both"/>
      </w:pPr>
      <w:r>
        <w:t xml:space="preserve">se </w:t>
      </w:r>
      <w:proofErr w:type="gramStart"/>
      <w:r w:rsidR="000E323F">
        <w:t>zhotovitel</w:t>
      </w:r>
      <w:proofErr w:type="gramEnd"/>
      <w:r>
        <w:t xml:space="preserve"> zavazuje přijmout všechna bezpečnostní, technická, organizační a jiná opatření požadovaná v čl. 32 obecného nařízení o ochraně osobních údajů; přitom přihlédne ke stavu techniky, nákladům na provedení, povaze zpracování, rozsahu zpracování, kontextu zpracování a účelům zpracování i k různě pravděpodobným a různě závažným rizikům pro práva a svobody fyzických osob,</w:t>
      </w:r>
    </w:p>
    <w:p w14:paraId="6114A9CF" w14:textId="7D90DF19" w:rsidR="00EB6950" w:rsidRDefault="00EB6950" w:rsidP="0089171F">
      <w:pPr>
        <w:numPr>
          <w:ilvl w:val="0"/>
          <w:numId w:val="25"/>
        </w:numPr>
        <w:spacing w:after="120"/>
        <w:ind w:left="723"/>
        <w:jc w:val="both"/>
      </w:pPr>
      <w:r>
        <w:t xml:space="preserve">se </w:t>
      </w:r>
      <w:proofErr w:type="gramStart"/>
      <w:r w:rsidR="000E323F">
        <w:t>zhotovitel</w:t>
      </w:r>
      <w:proofErr w:type="gramEnd"/>
      <w:r>
        <w:t xml:space="preserve"> zavazuje nezapojit do zpracování žádné další osoby bez předchozího písemného souhlasu </w:t>
      </w:r>
      <w:r w:rsidR="000E323F">
        <w:t>o</w:t>
      </w:r>
      <w:r>
        <w:t xml:space="preserve">bjednatele. Pokud </w:t>
      </w:r>
      <w:r w:rsidR="000E323F">
        <w:t>zhotovitel</w:t>
      </w:r>
      <w:r>
        <w:t xml:space="preserve"> zapojí na základě předchozího písemného souhlasu </w:t>
      </w:r>
      <w:r w:rsidR="000E323F">
        <w:t>o</w:t>
      </w:r>
      <w:r>
        <w:t xml:space="preserve">bjednatele podle předchozí věty do zpracování dalšího zpracovatele, aby jménem </w:t>
      </w:r>
      <w:r w:rsidR="001D3806">
        <w:t>zhotovitele</w:t>
      </w:r>
      <w:r>
        <w:t xml:space="preserve"> provedl určité činnosti zpracování, je povinen zajistit, aby tomuto zpracovateli byly uloženy na základě smlouvy stejné povinnosti na ochranu osobních údajů, jaké jsou uloženy v této smlouvě </w:t>
      </w:r>
      <w:r w:rsidR="000E323F">
        <w:t>zhotoviteli</w:t>
      </w:r>
      <w:r>
        <w:t xml:space="preserve">, a to zejména poskytnutí dostatečných záruk, pokud jde o zavedení vhodných technických a organizačních opatření tak, aby zpracování splňovalo požadavky obecného nařízení o ochraně osobních údajů a dalších obecně závazných právních předpisů. Neplní-li další zpracovatel své povinnosti v oblasti ochrany osobních údajů, odpovídá </w:t>
      </w:r>
      <w:r w:rsidR="000E323F">
        <w:t>o</w:t>
      </w:r>
      <w:r>
        <w:t xml:space="preserve">bjednateli za plnění povinností dotčeného dalšího zpracovatele i nadále plně </w:t>
      </w:r>
      <w:r w:rsidR="000E323F">
        <w:t>zhotovitel</w:t>
      </w:r>
      <w:r>
        <w:t>,</w:t>
      </w:r>
    </w:p>
    <w:p w14:paraId="70C356B1" w14:textId="2BFD8830" w:rsidR="00EB6950" w:rsidRDefault="007011DC" w:rsidP="0089171F">
      <w:pPr>
        <w:numPr>
          <w:ilvl w:val="0"/>
          <w:numId w:val="25"/>
        </w:numPr>
        <w:spacing w:after="120"/>
        <w:ind w:left="723"/>
        <w:jc w:val="both"/>
      </w:pPr>
      <w:r>
        <w:t xml:space="preserve">se </w:t>
      </w:r>
      <w:proofErr w:type="gramStart"/>
      <w:r w:rsidR="000E323F">
        <w:t>zhotovitel</w:t>
      </w:r>
      <w:proofErr w:type="gramEnd"/>
      <w:r w:rsidR="00EB6950">
        <w:t xml:space="preserve"> zavazuje zpracovávat osobní údaje pouze na základě doložených pokynů </w:t>
      </w:r>
      <w:r w:rsidR="000E323F">
        <w:t>o</w:t>
      </w:r>
      <w:r w:rsidR="00EB6950">
        <w:t xml:space="preserve">bjednatele (včetně předání údajů do třetích zemí a mezinárodním organizacím). Výjimkou jsou pouze případy, kdy jsou určité povinnosti </w:t>
      </w:r>
      <w:r w:rsidR="000E323F">
        <w:t>zhotoviteli</w:t>
      </w:r>
      <w:r w:rsidR="00EB6950">
        <w:t xml:space="preserve"> uloženy přímo právním předpisem. V takovém případě je </w:t>
      </w:r>
      <w:r w:rsidR="00935ADE">
        <w:t>zhotovitel</w:t>
      </w:r>
      <w:r w:rsidR="00EB6950">
        <w:t xml:space="preserve"> povinen </w:t>
      </w:r>
      <w:r w:rsidR="00935ADE">
        <w:t>o</w:t>
      </w:r>
      <w:r w:rsidR="00EB6950">
        <w:t xml:space="preserve">bjednatele před zpracováním informovat o tomto právním požadavku; tuto povinnost informování </w:t>
      </w:r>
      <w:r w:rsidR="00935ADE">
        <w:t>zhotovitel</w:t>
      </w:r>
      <w:r w:rsidR="00EB6950">
        <w:t xml:space="preserve"> nemá, pokud tyto právní předpisy toto informování zakazují z důležitých důvodů veřejného zájmu,</w:t>
      </w:r>
    </w:p>
    <w:p w14:paraId="10E1C51B" w14:textId="385E6D6F" w:rsidR="00EB6950" w:rsidRDefault="00EB6950" w:rsidP="0089171F">
      <w:pPr>
        <w:numPr>
          <w:ilvl w:val="0"/>
          <w:numId w:val="25"/>
        </w:numPr>
        <w:spacing w:after="120"/>
        <w:ind w:left="723"/>
        <w:jc w:val="both"/>
      </w:pPr>
      <w:r>
        <w:t xml:space="preserve">je </w:t>
      </w:r>
      <w:r w:rsidR="00935ADE">
        <w:t>zhotovitel</w:t>
      </w:r>
      <w:r>
        <w:t xml:space="preserve"> povinen zajistit, aby se osoby oprávněné zpracovávat osobní údaje zavázaly k mlčenlivosti, nebo aby se na ně vztahovala zákonná povinnost mlčenlivosti,</w:t>
      </w:r>
    </w:p>
    <w:p w14:paraId="40535993" w14:textId="62466E21" w:rsidR="00EB6950" w:rsidRDefault="00EB6950" w:rsidP="0089171F">
      <w:pPr>
        <w:numPr>
          <w:ilvl w:val="0"/>
          <w:numId w:val="25"/>
        </w:numPr>
        <w:spacing w:after="120"/>
        <w:ind w:left="723"/>
        <w:jc w:val="both"/>
      </w:pPr>
      <w:r>
        <w:t xml:space="preserve">se </w:t>
      </w:r>
      <w:r w:rsidR="00935ADE">
        <w:t>zhotovitel</w:t>
      </w:r>
      <w:r>
        <w:t xml:space="preserve"> zavazuje být </w:t>
      </w:r>
      <w:r w:rsidR="00935ADE">
        <w:t>o</w:t>
      </w:r>
      <w:r>
        <w:t xml:space="preserve">bjednateli bez zbytečného odkladu nápomocen při plnění povinností </w:t>
      </w:r>
      <w:r w:rsidR="00935ADE">
        <w:t>o</w:t>
      </w:r>
      <w:r>
        <w:t xml:space="preserve">bjednatele jako správce osobních údajů, zejména povinnosti reagovat na žádosti o výkon práv subjektů údajů, povinnosti ohlašovat případy porušení zabezpečení osobních údajů dozorovému úřadu dle čl. 33 obecného nařízení o ochraně osobních údajů, povinnosti oznamovat případy porušení zabezpečení osobních údajů subjektu údajů dle čl. 34 obecného nařízení o ochraně osobních údajů, povinnosti posoudit vliv na ochranu osobních údajů dle čl. 35 obecného nařízení o ochraně osobních údajů a provádění předchozí konzultace dle čl. 36 obecného nařízení o ochraně osobních údajů, a že za tímto účelem </w:t>
      </w:r>
      <w:r w:rsidR="00935ADE">
        <w:t>zhotovitel</w:t>
      </w:r>
      <w:r>
        <w:t xml:space="preserve"> zajistí nebo přijme vhodná technická a organizační opatření, o kterých ihned informuje </w:t>
      </w:r>
      <w:r w:rsidR="00935ADE">
        <w:t>o</w:t>
      </w:r>
      <w:r>
        <w:t xml:space="preserve">bjednatele, a to při zohlednění povahy zpracování a informací, jež má </w:t>
      </w:r>
      <w:r w:rsidR="00935ADE">
        <w:t>zhotovitel</w:t>
      </w:r>
      <w:r>
        <w:t xml:space="preserve"> k dispozici,</w:t>
      </w:r>
    </w:p>
    <w:p w14:paraId="58A04227" w14:textId="14037944" w:rsidR="00EB6950" w:rsidRDefault="00EB6950" w:rsidP="0089171F">
      <w:pPr>
        <w:numPr>
          <w:ilvl w:val="0"/>
          <w:numId w:val="25"/>
        </w:numPr>
        <w:spacing w:after="120"/>
        <w:ind w:left="723"/>
        <w:jc w:val="both"/>
      </w:pPr>
      <w:r>
        <w:t xml:space="preserve">je </w:t>
      </w:r>
      <w:r w:rsidR="00935ADE">
        <w:t>zhotovitel</w:t>
      </w:r>
      <w:r>
        <w:t xml:space="preserve"> povinen v souladu s rozhodnutím </w:t>
      </w:r>
      <w:r w:rsidR="00935ADE">
        <w:t>o</w:t>
      </w:r>
      <w:r>
        <w:t xml:space="preserve">bjednatele všechny osobní údaje buď vymazat, nebo je vrátit </w:t>
      </w:r>
      <w:r w:rsidR="00935ADE">
        <w:t>o</w:t>
      </w:r>
      <w:r>
        <w:t>bjednateli po ukončení poskytování služeb spojených se zpracováním osobních údajů a vymazat veškeré existující kopie, pokud právní předpis nepožaduje uložení daných osobních údajů,</w:t>
      </w:r>
    </w:p>
    <w:p w14:paraId="1716C5A3" w14:textId="66570ADD" w:rsidR="00EB6950" w:rsidRDefault="00EB6950" w:rsidP="0089171F">
      <w:pPr>
        <w:numPr>
          <w:ilvl w:val="0"/>
          <w:numId w:val="25"/>
        </w:numPr>
        <w:spacing w:after="120"/>
        <w:ind w:left="723"/>
        <w:jc w:val="both"/>
      </w:pPr>
      <w:r>
        <w:lastRenderedPageBreak/>
        <w:t xml:space="preserve">je </w:t>
      </w:r>
      <w:r w:rsidR="00935ADE">
        <w:t>zhotovitel</w:t>
      </w:r>
      <w:r>
        <w:t xml:space="preserve"> povinen poskytnout </w:t>
      </w:r>
      <w:r w:rsidR="00935ADE">
        <w:t>o</w:t>
      </w:r>
      <w:r>
        <w:t>bjednateli veškeré informace potřebné k doložení toho, že byly splněny povinnosti stanovené v článku 28 obecného nařízení o ochraně osobních údajů,</w:t>
      </w:r>
    </w:p>
    <w:p w14:paraId="5FA8AE2B" w14:textId="4BA2D837" w:rsidR="00EB6950" w:rsidRDefault="00EB6950" w:rsidP="0089171F">
      <w:pPr>
        <w:numPr>
          <w:ilvl w:val="0"/>
          <w:numId w:val="25"/>
        </w:numPr>
        <w:spacing w:after="120"/>
        <w:ind w:left="723"/>
        <w:jc w:val="both"/>
      </w:pPr>
      <w:r>
        <w:t xml:space="preserve">se </w:t>
      </w:r>
      <w:proofErr w:type="gramStart"/>
      <w:r w:rsidR="00935ADE">
        <w:t>zhotovitel</w:t>
      </w:r>
      <w:proofErr w:type="gramEnd"/>
      <w:r>
        <w:t xml:space="preserve"> zavazuje umožnit audity či inspekce prováděné </w:t>
      </w:r>
      <w:r w:rsidR="00935ADE">
        <w:t>o</w:t>
      </w:r>
      <w:r>
        <w:t xml:space="preserve">bjednatelem nebo jiným auditorem, kterého </w:t>
      </w:r>
      <w:r w:rsidR="00935ADE">
        <w:t>o</w:t>
      </w:r>
      <w:r>
        <w:t>bjednatel pověří, a k těmto auditům či inspekcím přispět,</w:t>
      </w:r>
    </w:p>
    <w:p w14:paraId="652E8B0D" w14:textId="59C0E3DF" w:rsidR="00EB6950" w:rsidRDefault="00EB6950" w:rsidP="0089171F">
      <w:pPr>
        <w:numPr>
          <w:ilvl w:val="0"/>
          <w:numId w:val="25"/>
        </w:numPr>
        <w:spacing w:after="120"/>
        <w:ind w:left="723"/>
        <w:jc w:val="both"/>
      </w:pPr>
      <w:r>
        <w:t xml:space="preserve">je </w:t>
      </w:r>
      <w:r w:rsidR="00935ADE">
        <w:t>zhotovitel</w:t>
      </w:r>
      <w:r>
        <w:t xml:space="preserve"> povinen informovat neprodleně </w:t>
      </w:r>
      <w:r w:rsidR="00935ADE">
        <w:t>o</w:t>
      </w:r>
      <w:r>
        <w:t>bjednatele v případě, že podle jeho názoru určitý pokyn porušuje obecné nařízení o ochraně osobních údajů nebo obecně závazný právní předpis týkající se ochrany osobních údajů,</w:t>
      </w:r>
    </w:p>
    <w:p w14:paraId="45994CFC" w14:textId="3EA76CBB" w:rsidR="00EB6950" w:rsidRDefault="00EB6950" w:rsidP="00042AD9">
      <w:pPr>
        <w:numPr>
          <w:ilvl w:val="0"/>
          <w:numId w:val="25"/>
        </w:numPr>
        <w:spacing w:after="120"/>
        <w:ind w:left="723"/>
        <w:jc w:val="both"/>
      </w:pPr>
      <w:r>
        <w:t xml:space="preserve">se </w:t>
      </w:r>
      <w:proofErr w:type="gramStart"/>
      <w:r w:rsidR="00935ADE">
        <w:t>zhotovitel</w:t>
      </w:r>
      <w:proofErr w:type="gramEnd"/>
      <w:r>
        <w:t xml:space="preserve"> zavazuje poskytnout bez zbytečného odkladu nebo ve lhůtě, kterou stanoví </w:t>
      </w:r>
      <w:r w:rsidR="00935ADE">
        <w:t>o</w:t>
      </w:r>
      <w:r>
        <w:t xml:space="preserve">bjednatel, součinnost potřebnou pro plnění zákonných povinností </w:t>
      </w:r>
      <w:r w:rsidR="00935ADE">
        <w:t>o</w:t>
      </w:r>
      <w:r>
        <w:t>bjednatele spojených s ochranou osobních údajů, jejich zpracováním a s plněním ustanovení tohoto článku.</w:t>
      </w:r>
    </w:p>
    <w:p w14:paraId="252B4287" w14:textId="671451B7" w:rsidR="00EB6950" w:rsidRDefault="00EB6950" w:rsidP="00EB6950">
      <w:pPr>
        <w:pStyle w:val="Odstavecseseznamem"/>
        <w:numPr>
          <w:ilvl w:val="0"/>
          <w:numId w:val="24"/>
        </w:numPr>
        <w:tabs>
          <w:tab w:val="num" w:pos="567"/>
        </w:tabs>
      </w:pPr>
      <w:r w:rsidRPr="001260F9">
        <w:t xml:space="preserve">V případě, že </w:t>
      </w:r>
      <w:r w:rsidR="00935ADE">
        <w:t>zhotovitel</w:t>
      </w:r>
      <w:r>
        <w:t xml:space="preserve"> jako z</w:t>
      </w:r>
      <w:r w:rsidRPr="001260F9">
        <w:t>pracovatel</w:t>
      </w:r>
      <w:r>
        <w:t xml:space="preserve"> osobních údajů</w:t>
      </w:r>
      <w:r w:rsidRPr="001260F9">
        <w:t xml:space="preserve"> poruší jakoukoliv povinnost stanovenou v</w:t>
      </w:r>
      <w:r>
        <w:t xml:space="preserve"> tomto </w:t>
      </w:r>
      <w:r w:rsidRPr="001260F9">
        <w:t>článk</w:t>
      </w:r>
      <w:r>
        <w:t>u</w:t>
      </w:r>
      <w:r w:rsidRPr="001260F9">
        <w:t xml:space="preserve">, s ohledem na ochranu a povinnosti vztahující se ke zpracování osobních údajů, může se </w:t>
      </w:r>
      <w:r w:rsidR="00935ADE">
        <w:t>o</w:t>
      </w:r>
      <w:r>
        <w:t>bjednatel</w:t>
      </w:r>
      <w:r w:rsidRPr="001260F9">
        <w:t xml:space="preserve"> domáhat okamžitého odstranění závadného stavu.</w:t>
      </w:r>
    </w:p>
    <w:p w14:paraId="07A40CDD" w14:textId="77777777" w:rsidR="00EB6950" w:rsidRPr="001260F9" w:rsidRDefault="00EB6950" w:rsidP="00213EE9">
      <w:pPr>
        <w:pStyle w:val="Odstavecseseznamem"/>
        <w:numPr>
          <w:ilvl w:val="0"/>
          <w:numId w:val="0"/>
        </w:numPr>
        <w:spacing w:after="240"/>
        <w:ind w:left="360"/>
      </w:pPr>
    </w:p>
    <w:p w14:paraId="3B8E2944" w14:textId="0BD85DBE" w:rsidR="00EB6950" w:rsidRDefault="00EB6950" w:rsidP="00EB6950">
      <w:pPr>
        <w:pStyle w:val="Odstavecseseznamem"/>
        <w:numPr>
          <w:ilvl w:val="0"/>
          <w:numId w:val="24"/>
        </w:numPr>
        <w:tabs>
          <w:tab w:val="num" w:pos="567"/>
        </w:tabs>
        <w:spacing w:after="0"/>
      </w:pPr>
      <w:r w:rsidRPr="001260F9">
        <w:t xml:space="preserve">V případě, že </w:t>
      </w:r>
      <w:r w:rsidR="00935ADE">
        <w:t>zhotovitel</w:t>
      </w:r>
      <w:r w:rsidRPr="001260F9">
        <w:t xml:space="preserve"> </w:t>
      </w:r>
      <w:r>
        <w:t>jako z</w:t>
      </w:r>
      <w:r w:rsidRPr="001260F9">
        <w:t>pracovatel</w:t>
      </w:r>
      <w:r>
        <w:t xml:space="preserve"> osobních údajů</w:t>
      </w:r>
      <w:r w:rsidRPr="001260F9">
        <w:t xml:space="preserve"> poruší jakoukoliv povinnost stanovenou v</w:t>
      </w:r>
      <w:r>
        <w:t> tomto článku</w:t>
      </w:r>
      <w:r w:rsidRPr="001260F9">
        <w:t xml:space="preserve">, je </w:t>
      </w:r>
      <w:r w:rsidR="00935ADE">
        <w:t>o</w:t>
      </w:r>
      <w:r>
        <w:t>bjednatel</w:t>
      </w:r>
      <w:r w:rsidRPr="001260F9">
        <w:t xml:space="preserve"> dále oprávněn požadovat smluvní pokutu ve výši </w:t>
      </w:r>
      <w:r w:rsidR="00935ADE">
        <w:t xml:space="preserve"> </w:t>
      </w:r>
      <w:r w:rsidRPr="001260F9">
        <w:t>20</w:t>
      </w:r>
      <w:r w:rsidR="005B1D2D">
        <w:t> </w:t>
      </w:r>
      <w:r w:rsidRPr="001260F9">
        <w:t>000</w:t>
      </w:r>
      <w:r w:rsidR="005B1D2D">
        <w:t>,-</w:t>
      </w:r>
      <w:r w:rsidRPr="001260F9">
        <w:t xml:space="preserve"> Kč za každý jednotlivý případ a </w:t>
      </w:r>
      <w:r w:rsidR="00935ADE">
        <w:t>zhotovitel</w:t>
      </w:r>
      <w:r w:rsidRPr="001260F9">
        <w:t xml:space="preserve"> je povinen tuto pokutu uhradit.</w:t>
      </w:r>
    </w:p>
    <w:p w14:paraId="57D1EB45" w14:textId="77777777" w:rsidR="00EB6950" w:rsidRPr="001260F9" w:rsidRDefault="00EB6950" w:rsidP="00EB6950">
      <w:pPr>
        <w:tabs>
          <w:tab w:val="num" w:pos="567"/>
        </w:tabs>
      </w:pPr>
    </w:p>
    <w:p w14:paraId="2B3BA08B" w14:textId="77777777" w:rsidR="00EB6950" w:rsidRDefault="00EB6950" w:rsidP="00EB6950">
      <w:pPr>
        <w:pStyle w:val="Odstavecseseznamem"/>
        <w:numPr>
          <w:ilvl w:val="0"/>
          <w:numId w:val="24"/>
        </w:numPr>
        <w:tabs>
          <w:tab w:val="num" w:pos="567"/>
        </w:tabs>
      </w:pPr>
      <w:r w:rsidRPr="001260F9">
        <w:t xml:space="preserve">Odpovědnost za škodu způsobenou porušením povinností dle </w:t>
      </w:r>
      <w:r>
        <w:t>tohoto článku</w:t>
      </w:r>
      <w:r w:rsidRPr="001260F9">
        <w:t xml:space="preserve"> se řídí příslušnými ustanoveními občansk</w:t>
      </w:r>
      <w:r>
        <w:t>ého</w:t>
      </w:r>
      <w:r w:rsidRPr="001260F9">
        <w:t xml:space="preserve"> zákoník</w:t>
      </w:r>
      <w:r>
        <w:t>u</w:t>
      </w:r>
      <w:r w:rsidRPr="001260F9">
        <w:t>.</w:t>
      </w:r>
    </w:p>
    <w:p w14:paraId="093444DE" w14:textId="77777777" w:rsidR="00EB6950" w:rsidRPr="003B73F8" w:rsidRDefault="00EB6950" w:rsidP="00EB6950">
      <w:pPr>
        <w:pStyle w:val="lnek11"/>
        <w:numPr>
          <w:ilvl w:val="0"/>
          <w:numId w:val="0"/>
        </w:numPr>
        <w:ind w:left="425"/>
      </w:pPr>
    </w:p>
    <w:p w14:paraId="6B678143" w14:textId="0374F3F4" w:rsidR="003B73F8" w:rsidRDefault="003B73F8" w:rsidP="003B73F8">
      <w:pPr>
        <w:pStyle w:val="Nzevaslolnku"/>
        <w:rPr>
          <w:noProof/>
          <w:szCs w:val="22"/>
        </w:rPr>
      </w:pPr>
      <w:r>
        <w:rPr>
          <w:noProof/>
        </w:rPr>
        <w:t>Článek XI</w:t>
      </w:r>
      <w:r w:rsidR="00CF5B20">
        <w:rPr>
          <w:noProof/>
        </w:rPr>
        <w:t>I</w:t>
      </w:r>
      <w:r w:rsidR="005573C6">
        <w:rPr>
          <w:noProof/>
        </w:rPr>
        <w:t>I</w:t>
      </w:r>
      <w:r>
        <w:rPr>
          <w:noProof/>
        </w:rPr>
        <w:t>.</w:t>
      </w:r>
      <w:r>
        <w:rPr>
          <w:noProof/>
        </w:rPr>
        <w:br/>
      </w:r>
      <w:r w:rsidRPr="003600AD">
        <w:rPr>
          <w:noProof/>
        </w:rPr>
        <w:t>Závěrečná ustanovení</w:t>
      </w:r>
    </w:p>
    <w:p w14:paraId="7CD6D0B0" w14:textId="77777777" w:rsidR="00C94767" w:rsidRPr="00CF5B20" w:rsidRDefault="00826B98" w:rsidP="00CF5B20">
      <w:pPr>
        <w:pStyle w:val="lnek12"/>
      </w:pPr>
      <w:r w:rsidRPr="00CF5B20">
        <w:t xml:space="preserve">Tato </w:t>
      </w:r>
      <w:r w:rsidR="00BD3EEA" w:rsidRPr="00CF5B20">
        <w:t>smlouv</w:t>
      </w:r>
      <w:r w:rsidRPr="00CF5B20">
        <w:t xml:space="preserve">a představuje úplnou dohodu smluvních stran o předmětu této </w:t>
      </w:r>
      <w:r w:rsidR="00BD3EEA" w:rsidRPr="00CF5B20">
        <w:t>smlouv</w:t>
      </w:r>
      <w:r w:rsidRPr="00CF5B20">
        <w:t>y a nahrazuje veškerá předešlá ústní i písemná ujednání smluvních stran.</w:t>
      </w:r>
    </w:p>
    <w:p w14:paraId="5810D8C3" w14:textId="77777777" w:rsidR="00826B98" w:rsidRPr="00826B98" w:rsidRDefault="00826B98" w:rsidP="00CF5B20">
      <w:pPr>
        <w:pStyle w:val="lnek12"/>
      </w:pPr>
      <w:r w:rsidRPr="00275A2D">
        <w:rPr>
          <w:lang w:eastAsia="en-US"/>
        </w:rPr>
        <w:t xml:space="preserve">Tuto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 xml:space="preserve">u je možné měnit pouze písemnou dohodou smluvních stran ve formě číslovaných dodatků této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>y, podepsaných za každou smluvní stranu osobou nebo osobami oprávněnými jednat jménem smluvních stran</w:t>
      </w:r>
      <w:r>
        <w:rPr>
          <w:lang w:eastAsia="en-US"/>
        </w:rPr>
        <w:t>.</w:t>
      </w:r>
    </w:p>
    <w:p w14:paraId="19588F2D" w14:textId="7C911128" w:rsidR="00826B98" w:rsidRDefault="00826B98" w:rsidP="00CF5B20">
      <w:pPr>
        <w:pStyle w:val="lnek12"/>
      </w:pPr>
      <w:r w:rsidRPr="00275A2D">
        <w:rPr>
          <w:lang w:eastAsia="en-US"/>
        </w:rPr>
        <w:t>Smluvní strany určil</w:t>
      </w:r>
      <w:r w:rsidR="00977EEC">
        <w:rPr>
          <w:lang w:eastAsia="en-US"/>
        </w:rPr>
        <w:t>y</w:t>
      </w:r>
      <w:r w:rsidRPr="00275A2D">
        <w:rPr>
          <w:lang w:eastAsia="en-US"/>
        </w:rPr>
        <w:t xml:space="preserve"> pro vzájemnou komunikaci ve věcech plnění této </w:t>
      </w:r>
      <w:r w:rsidR="00BD3EEA">
        <w:rPr>
          <w:lang w:eastAsia="en-US"/>
        </w:rPr>
        <w:t>smlouv</w:t>
      </w:r>
      <w:r w:rsidRPr="00275A2D">
        <w:rPr>
          <w:lang w:eastAsia="en-US"/>
        </w:rPr>
        <w:t xml:space="preserve">y kontaktní osoby </w:t>
      </w:r>
      <w:r w:rsidR="00AD7C15">
        <w:rPr>
          <w:lang w:eastAsia="en-US"/>
        </w:rPr>
        <w:t>uve</w:t>
      </w:r>
      <w:r w:rsidR="00CF578A">
        <w:rPr>
          <w:lang w:eastAsia="en-US"/>
        </w:rPr>
        <w:t>dené ve smlouvě</w:t>
      </w:r>
      <w:r w:rsidRPr="00275A2D">
        <w:rPr>
          <w:lang w:eastAsia="en-US"/>
        </w:rPr>
        <w:t>. Každá smluvní strana</w:t>
      </w:r>
      <w:r>
        <w:rPr>
          <w:lang w:eastAsia="en-US"/>
        </w:rPr>
        <w:t xml:space="preserve"> je oprávněna kontaktní osoby změnit </w:t>
      </w:r>
      <w:r w:rsidRPr="00746659">
        <w:rPr>
          <w:lang w:eastAsia="en-US"/>
        </w:rPr>
        <w:t xml:space="preserve">jednostranným oznámením doručeným </w:t>
      </w:r>
      <w:r>
        <w:rPr>
          <w:lang w:eastAsia="en-US"/>
        </w:rPr>
        <w:t>druhé smluvní straně.</w:t>
      </w:r>
    </w:p>
    <w:p w14:paraId="75797F1F" w14:textId="77777777" w:rsidR="00826B98" w:rsidRPr="00826B98" w:rsidRDefault="00826B98" w:rsidP="00CF5B20">
      <w:pPr>
        <w:pStyle w:val="lnek12"/>
      </w:pPr>
      <w:r w:rsidRPr="00746659">
        <w:rPr>
          <w:szCs w:val="18"/>
          <w:lang w:eastAsia="en-US"/>
        </w:rPr>
        <w:t xml:space="preserve">Pokud by se kterékoliv ustanovení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 xml:space="preserve">y ukázalo být neplatným nebo nevynutitelným, nebo se jím stalo po uzavření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 xml:space="preserve">y, pak tato skutečnost nepůsobí neplatnost ani nevynutitelnost ostatních ustanovení této </w:t>
      </w:r>
      <w:r w:rsidR="00BD3EEA">
        <w:rPr>
          <w:szCs w:val="18"/>
          <w:lang w:eastAsia="en-US"/>
        </w:rPr>
        <w:t>smlouv</w:t>
      </w:r>
      <w:r w:rsidRPr="00746659">
        <w:rPr>
          <w:szCs w:val="18"/>
          <w:lang w:eastAsia="en-US"/>
        </w:rPr>
        <w:t>y, nevyplývá-li z donucujících ustanovení právních předpisů jinak. Smluvní strany se zavazují bez zbytečného odkladu po výzvě kterékoliv strany takové neplatné či nevynutitelné ustanovení nahradit platným a vynutitelným ustanovením, které je svým obsahem nejbližší účelu neplatného či nevynutitelného ustanovení</w:t>
      </w:r>
      <w:r>
        <w:rPr>
          <w:szCs w:val="18"/>
          <w:lang w:eastAsia="en-US"/>
        </w:rPr>
        <w:t>.</w:t>
      </w:r>
    </w:p>
    <w:p w14:paraId="510EB6EE" w14:textId="0BEC87FA" w:rsidR="00826B98" w:rsidRPr="00435865" w:rsidRDefault="00826B98" w:rsidP="00CF5B20">
      <w:pPr>
        <w:pStyle w:val="lnek12"/>
      </w:pPr>
      <w:r w:rsidRPr="003600AD">
        <w:rPr>
          <w:noProof/>
        </w:rPr>
        <w:t xml:space="preserve">Tato smlouva nabývá platnosti dnem jejího podpisu oběma smluvními stranami. Její </w:t>
      </w:r>
      <w:r w:rsidRPr="00435865">
        <w:rPr>
          <w:noProof/>
        </w:rPr>
        <w:t>platnost a účinnost končí splněním závazků obou smluvních stran.</w:t>
      </w:r>
    </w:p>
    <w:p w14:paraId="209B9C84" w14:textId="3EFFDC3F" w:rsidR="00E378A9" w:rsidRPr="00435865" w:rsidRDefault="00E378A9" w:rsidP="00CF5B20">
      <w:pPr>
        <w:pStyle w:val="lnek12"/>
      </w:pPr>
      <w:r w:rsidRPr="00435865">
        <w:t>Zhotovitel bere na vědomí, že tato uzavřená smlouva nenabude účinnosti před jejím zveřejněním v registru smluv podle zákona č. 340/2015 Sb., ve znění pozdějších předpisů (o registru smluv). Pokud nebude tato podmínka zveřejnění podle citovaného zákona splněna do 3 měsíců ode dne jejího uzavření, ruší se tato smlouva od počátku.</w:t>
      </w:r>
    </w:p>
    <w:bookmarkEnd w:id="1"/>
    <w:p w14:paraId="32848574" w14:textId="77777777" w:rsidR="006B3F3F" w:rsidRPr="00C14DFC" w:rsidRDefault="006B3F3F" w:rsidP="006B3F3F">
      <w:pPr>
        <w:pStyle w:val="lnek12"/>
      </w:pPr>
      <w:r>
        <w:t>Nedílnou součásti této S</w:t>
      </w:r>
      <w:r w:rsidRPr="00C14DFC">
        <w:t>mlouvy jsou následující přílohy:</w:t>
      </w:r>
    </w:p>
    <w:p w14:paraId="210090E1" w14:textId="25450BB2" w:rsidR="006B3F3F" w:rsidRDefault="006B3F3F" w:rsidP="006B3F3F">
      <w:pPr>
        <w:tabs>
          <w:tab w:val="left" w:pos="1701"/>
        </w:tabs>
        <w:spacing w:after="120"/>
        <w:ind w:left="425"/>
        <w:contextualSpacing/>
      </w:pPr>
      <w:r w:rsidRPr="00C54F37">
        <w:lastRenderedPageBreak/>
        <w:t>Příloha č.</w:t>
      </w:r>
      <w:r>
        <w:t xml:space="preserve"> </w:t>
      </w:r>
      <w:r w:rsidRPr="00C54F37">
        <w:t>1</w:t>
      </w:r>
      <w:r w:rsidRPr="00C54F37">
        <w:tab/>
        <w:t xml:space="preserve">– </w:t>
      </w:r>
      <w:r w:rsidR="007277CB">
        <w:t>Technická s</w:t>
      </w:r>
      <w:r>
        <w:t>pecifikace díla</w:t>
      </w:r>
      <w:r w:rsidR="00ED21F5">
        <w:t>,</w:t>
      </w:r>
    </w:p>
    <w:p w14:paraId="23EB0F44" w14:textId="7D7B846B" w:rsidR="006B3F3F" w:rsidRDefault="006B3F3F" w:rsidP="006B3F3F">
      <w:pPr>
        <w:tabs>
          <w:tab w:val="left" w:pos="1701"/>
        </w:tabs>
        <w:spacing w:after="120"/>
        <w:ind w:left="425"/>
        <w:contextualSpacing/>
      </w:pPr>
      <w:r w:rsidRPr="00C54F37">
        <w:t>Příloha č.</w:t>
      </w:r>
      <w:r w:rsidR="00114E03">
        <w:t xml:space="preserve"> </w:t>
      </w:r>
      <w:r w:rsidR="00EC7530">
        <w:t>2</w:t>
      </w:r>
      <w:r w:rsidRPr="00C54F37">
        <w:tab/>
        <w:t xml:space="preserve">– </w:t>
      </w:r>
      <w:r>
        <w:t>Seznam kontaktních osob</w:t>
      </w:r>
      <w:r w:rsidR="00ED21F5">
        <w:t>,</w:t>
      </w:r>
    </w:p>
    <w:p w14:paraId="0BB55F0D" w14:textId="6495A541" w:rsidR="006B3F3F" w:rsidRDefault="00114E03" w:rsidP="006B3F3F">
      <w:pPr>
        <w:tabs>
          <w:tab w:val="left" w:pos="1701"/>
        </w:tabs>
        <w:spacing w:after="120"/>
        <w:ind w:left="425"/>
        <w:contextualSpacing/>
      </w:pPr>
      <w:r>
        <w:t xml:space="preserve">Příloha č. </w:t>
      </w:r>
      <w:r w:rsidR="00EC7530">
        <w:t>3</w:t>
      </w:r>
      <w:r w:rsidR="006B3F3F">
        <w:t xml:space="preserve"> </w:t>
      </w:r>
      <w:r w:rsidR="006B3F3F">
        <w:tab/>
      </w:r>
      <w:r w:rsidR="006B3F3F" w:rsidRPr="00C54F37">
        <w:t>–</w:t>
      </w:r>
      <w:r w:rsidR="006B3F3F">
        <w:t xml:space="preserve"> Pojistný certifikát</w:t>
      </w:r>
      <w:r w:rsidR="00ED21F5">
        <w:t>.</w:t>
      </w:r>
    </w:p>
    <w:p w14:paraId="144F7E4F" w14:textId="07C53EC6" w:rsidR="003600AD" w:rsidRDefault="003600AD" w:rsidP="00CF5B20">
      <w:pPr>
        <w:pStyle w:val="lnek12"/>
        <w:rPr>
          <w:noProof/>
        </w:rPr>
      </w:pPr>
      <w:r w:rsidRPr="003600AD">
        <w:rPr>
          <w:noProof/>
        </w:rPr>
        <w:t xml:space="preserve">Tato smlouva je vyhotovena ve </w:t>
      </w:r>
      <w:r w:rsidR="00EE5667">
        <w:rPr>
          <w:noProof/>
        </w:rPr>
        <w:t>dvou</w:t>
      </w:r>
      <w:r w:rsidRPr="003600AD">
        <w:rPr>
          <w:noProof/>
        </w:rPr>
        <w:t xml:space="preserve"> vyhotoveních s platností originálů, z nichž </w:t>
      </w:r>
      <w:r w:rsidR="00EE5667">
        <w:rPr>
          <w:noProof/>
        </w:rPr>
        <w:t>každá ze smluvních stran obdrží po jednom</w:t>
      </w:r>
      <w:r w:rsidR="00826B98">
        <w:rPr>
          <w:noProof/>
        </w:rPr>
        <w:t xml:space="preserve"> vyhotovení</w:t>
      </w:r>
      <w:r w:rsidRPr="003600AD">
        <w:rPr>
          <w:noProof/>
        </w:rPr>
        <w:t>.</w:t>
      </w:r>
    </w:p>
    <w:p w14:paraId="48AD5485" w14:textId="4851E0DB" w:rsidR="00826B98" w:rsidRPr="003600AD" w:rsidRDefault="00826B98" w:rsidP="00CF5B20">
      <w:pPr>
        <w:pStyle w:val="lnek12"/>
        <w:rPr>
          <w:noProof/>
        </w:rPr>
      </w:pPr>
      <w:r w:rsidRPr="00746659">
        <w:rPr>
          <w:szCs w:val="18"/>
        </w:rPr>
        <w:t xml:space="preserve">Smluvní strany po řádném přečtení této </w:t>
      </w:r>
      <w:r w:rsidR="00BD3EEA">
        <w:rPr>
          <w:szCs w:val="18"/>
        </w:rPr>
        <w:t>smlouv</w:t>
      </w:r>
      <w:r w:rsidRPr="00746659">
        <w:rPr>
          <w:szCs w:val="18"/>
        </w:rPr>
        <w:t xml:space="preserve">y prohlašují, že </w:t>
      </w:r>
      <w:r w:rsidR="00BD3EEA">
        <w:rPr>
          <w:szCs w:val="18"/>
        </w:rPr>
        <w:t>smlouv</w:t>
      </w:r>
      <w:r w:rsidRPr="00746659">
        <w:rPr>
          <w:szCs w:val="18"/>
        </w:rPr>
        <w:t xml:space="preserve">a byla uzavřena po vzájemném projednání, na základě jejich pravé, vážně míněné a svobodné vůle, při respektování principu poctivost, spravedlnosti a rovnosti </w:t>
      </w:r>
      <w:r w:rsidR="00633CEB">
        <w:rPr>
          <w:szCs w:val="18"/>
        </w:rPr>
        <w:t>s</w:t>
      </w:r>
      <w:r w:rsidRPr="00746659">
        <w:rPr>
          <w:szCs w:val="18"/>
        </w:rPr>
        <w:t>mluvních stran. Na důkaz uvedených skutečností připojují své podpisy</w:t>
      </w:r>
      <w:r w:rsidR="00037299">
        <w:rPr>
          <w:szCs w:val="18"/>
        </w:rPr>
        <w:t>.</w:t>
      </w:r>
    </w:p>
    <w:p w14:paraId="3C905885" w14:textId="23EF5F86" w:rsidR="003600AD" w:rsidRDefault="003600AD" w:rsidP="003600AD">
      <w:pPr>
        <w:rPr>
          <w:noProof/>
        </w:rPr>
      </w:pPr>
    </w:p>
    <w:p w14:paraId="31306934" w14:textId="77777777" w:rsidR="006270DA" w:rsidRPr="003600AD" w:rsidRDefault="006270DA" w:rsidP="003600AD">
      <w:pPr>
        <w:rPr>
          <w:noProof/>
        </w:rPr>
      </w:pPr>
    </w:p>
    <w:tbl>
      <w:tblPr>
        <w:tblW w:w="9618" w:type="dxa"/>
        <w:tblLook w:val="04A0" w:firstRow="1" w:lastRow="0" w:firstColumn="1" w:lastColumn="0" w:noHBand="0" w:noVBand="1"/>
      </w:tblPr>
      <w:tblGrid>
        <w:gridCol w:w="3646"/>
        <w:gridCol w:w="2024"/>
        <w:gridCol w:w="3948"/>
      </w:tblGrid>
      <w:tr w:rsidR="003600AD" w:rsidRPr="003600AD" w14:paraId="3F71633D" w14:textId="77777777" w:rsidTr="00B565BC">
        <w:trPr>
          <w:trHeight w:val="457"/>
        </w:trPr>
        <w:tc>
          <w:tcPr>
            <w:tcW w:w="3646" w:type="dxa"/>
            <w:shd w:val="clear" w:color="auto" w:fill="auto"/>
          </w:tcPr>
          <w:p w14:paraId="08A0B6DE" w14:textId="1CD81EB6" w:rsidR="003600AD" w:rsidRPr="00E25689" w:rsidRDefault="009F0C2B" w:rsidP="00E25689">
            <w:pPr>
              <w:rPr>
                <w:rFonts w:eastAsia="Calibri"/>
              </w:rPr>
            </w:pPr>
            <w:r w:rsidRPr="00E25689">
              <w:rPr>
                <w:rFonts w:eastAsia="Calibri"/>
              </w:rPr>
              <w:t xml:space="preserve">V </w:t>
            </w:r>
            <w:r w:rsidR="00E25689" w:rsidRPr="00E25689">
              <w:rPr>
                <w:rFonts w:eastAsia="Calibri"/>
              </w:rPr>
              <w:t>Praze d</w:t>
            </w:r>
            <w:r w:rsidR="003600AD" w:rsidRPr="00E25689">
              <w:rPr>
                <w:rFonts w:eastAsia="Calibri"/>
              </w:rPr>
              <w:t>ne:</w:t>
            </w:r>
            <w:r w:rsidR="004116F9" w:rsidRPr="00E25689">
              <w:rPr>
                <w:rFonts w:eastAsia="Calibri"/>
              </w:rPr>
              <w:t xml:space="preserve"> </w:t>
            </w:r>
            <w:r w:rsidR="00114E03" w:rsidRPr="00E25689">
              <w:rPr>
                <w:rFonts w:eastAsia="Calibri"/>
              </w:rPr>
              <w:t>………….</w:t>
            </w:r>
          </w:p>
        </w:tc>
        <w:tc>
          <w:tcPr>
            <w:tcW w:w="2024" w:type="dxa"/>
            <w:shd w:val="clear" w:color="auto" w:fill="auto"/>
          </w:tcPr>
          <w:p w14:paraId="1894203E" w14:textId="77777777" w:rsidR="003600AD" w:rsidRPr="00E25689" w:rsidRDefault="003600AD" w:rsidP="00646FE4">
            <w:pPr>
              <w:rPr>
                <w:rFonts w:eastAsia="Calibri"/>
              </w:rPr>
            </w:pPr>
          </w:p>
        </w:tc>
        <w:tc>
          <w:tcPr>
            <w:tcW w:w="3948" w:type="dxa"/>
            <w:shd w:val="clear" w:color="auto" w:fill="auto"/>
          </w:tcPr>
          <w:p w14:paraId="05A5A9D7" w14:textId="29F9D609" w:rsidR="003600AD" w:rsidRPr="00E25689" w:rsidRDefault="003600AD" w:rsidP="00646FE4">
            <w:pPr>
              <w:rPr>
                <w:rFonts w:eastAsia="Calibri"/>
              </w:rPr>
            </w:pPr>
            <w:r w:rsidRPr="00E25689">
              <w:rPr>
                <w:rFonts w:eastAsia="Calibri"/>
              </w:rPr>
              <w:t>V Praze dne:</w:t>
            </w:r>
            <w:r w:rsidR="00E25689">
              <w:rPr>
                <w:rFonts w:eastAsia="Calibri"/>
              </w:rPr>
              <w:t xml:space="preserve"> </w:t>
            </w:r>
            <w:r w:rsidR="00114E03" w:rsidRPr="00E25689">
              <w:rPr>
                <w:rFonts w:eastAsia="Calibri"/>
              </w:rPr>
              <w:t>…………….</w:t>
            </w:r>
          </w:p>
        </w:tc>
      </w:tr>
      <w:tr w:rsidR="003600AD" w:rsidRPr="003600AD" w14:paraId="4ADA45F7" w14:textId="77777777" w:rsidTr="00B565BC">
        <w:trPr>
          <w:trHeight w:val="258"/>
        </w:trPr>
        <w:tc>
          <w:tcPr>
            <w:tcW w:w="3646" w:type="dxa"/>
            <w:shd w:val="clear" w:color="auto" w:fill="auto"/>
          </w:tcPr>
          <w:p w14:paraId="7BF8F598" w14:textId="77777777" w:rsidR="003600AD" w:rsidRPr="00646FE4" w:rsidRDefault="003600AD" w:rsidP="00646FE4">
            <w:pPr>
              <w:rPr>
                <w:rFonts w:eastAsia="Calibri"/>
              </w:rPr>
            </w:pPr>
          </w:p>
        </w:tc>
        <w:tc>
          <w:tcPr>
            <w:tcW w:w="2024" w:type="dxa"/>
            <w:shd w:val="clear" w:color="auto" w:fill="auto"/>
          </w:tcPr>
          <w:p w14:paraId="18F2D1A4" w14:textId="77777777" w:rsidR="003600AD" w:rsidRPr="00646FE4" w:rsidRDefault="003600AD" w:rsidP="00646FE4">
            <w:pPr>
              <w:rPr>
                <w:rFonts w:eastAsia="Calibri"/>
              </w:rPr>
            </w:pPr>
          </w:p>
        </w:tc>
        <w:tc>
          <w:tcPr>
            <w:tcW w:w="3948" w:type="dxa"/>
            <w:shd w:val="clear" w:color="auto" w:fill="auto"/>
          </w:tcPr>
          <w:p w14:paraId="36613926" w14:textId="77777777" w:rsidR="003600AD" w:rsidRPr="00646FE4" w:rsidRDefault="003600AD" w:rsidP="00646FE4">
            <w:pPr>
              <w:rPr>
                <w:rFonts w:eastAsia="Calibri"/>
              </w:rPr>
            </w:pPr>
          </w:p>
        </w:tc>
      </w:tr>
      <w:tr w:rsidR="003600AD" w:rsidRPr="003600AD" w14:paraId="4241339B" w14:textId="77777777" w:rsidTr="00B565BC">
        <w:trPr>
          <w:trHeight w:val="1048"/>
        </w:trPr>
        <w:tc>
          <w:tcPr>
            <w:tcW w:w="3646" w:type="dxa"/>
            <w:shd w:val="clear" w:color="auto" w:fill="auto"/>
          </w:tcPr>
          <w:p w14:paraId="32BAE26F" w14:textId="021D6796" w:rsidR="003600AD" w:rsidRPr="00E25689" w:rsidRDefault="00114E03" w:rsidP="00646FE4">
            <w:pPr>
              <w:rPr>
                <w:rFonts w:eastAsia="Calibri"/>
              </w:rPr>
            </w:pPr>
            <w:r w:rsidRPr="00E25689">
              <w:rPr>
                <w:rFonts w:eastAsia="Calibri"/>
              </w:rPr>
              <w:t xml:space="preserve">        </w:t>
            </w:r>
            <w:r w:rsidR="003600AD" w:rsidRPr="00E25689">
              <w:rPr>
                <w:rFonts w:eastAsia="Calibri"/>
              </w:rPr>
              <w:t>Za</w:t>
            </w:r>
            <w:r w:rsidR="001F3F1F" w:rsidRPr="00E25689">
              <w:rPr>
                <w:rFonts w:eastAsia="Calibri"/>
              </w:rPr>
              <w:t xml:space="preserve"> zhotovit</w:t>
            </w:r>
            <w:r w:rsidR="003600AD" w:rsidRPr="00E25689">
              <w:rPr>
                <w:rFonts w:eastAsia="Calibri"/>
              </w:rPr>
              <w:t>ele:</w:t>
            </w:r>
          </w:p>
        </w:tc>
        <w:tc>
          <w:tcPr>
            <w:tcW w:w="2024" w:type="dxa"/>
            <w:shd w:val="clear" w:color="auto" w:fill="auto"/>
          </w:tcPr>
          <w:p w14:paraId="468D7DA9" w14:textId="2AFE2A62" w:rsidR="003600AD" w:rsidRPr="00646FE4" w:rsidRDefault="00B565BC" w:rsidP="00B565BC">
            <w:pPr>
              <w:ind w:right="-87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</w:t>
            </w:r>
          </w:p>
        </w:tc>
        <w:tc>
          <w:tcPr>
            <w:tcW w:w="3948" w:type="dxa"/>
            <w:shd w:val="clear" w:color="auto" w:fill="auto"/>
          </w:tcPr>
          <w:p w14:paraId="3D1AA538" w14:textId="096B772E" w:rsidR="003600AD" w:rsidRPr="00646FE4" w:rsidRDefault="00B565BC" w:rsidP="00114E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114E03">
              <w:rPr>
                <w:rFonts w:eastAsia="Calibri"/>
              </w:rPr>
              <w:t xml:space="preserve">    </w:t>
            </w:r>
            <w:r>
              <w:rPr>
                <w:rFonts w:eastAsia="Calibri"/>
              </w:rPr>
              <w:t xml:space="preserve">  </w:t>
            </w:r>
            <w:r w:rsidR="003600AD" w:rsidRPr="00646FE4">
              <w:rPr>
                <w:rFonts w:eastAsia="Calibri"/>
              </w:rPr>
              <w:t>Za</w:t>
            </w:r>
            <w:r w:rsidR="001F3F1F" w:rsidRPr="00646FE4">
              <w:rPr>
                <w:rFonts w:eastAsia="Calibri"/>
              </w:rPr>
              <w:t xml:space="preserve"> objednat</w:t>
            </w:r>
            <w:r w:rsidR="003600AD" w:rsidRPr="00646FE4">
              <w:rPr>
                <w:rFonts w:eastAsia="Calibri"/>
              </w:rPr>
              <w:t>ele:</w:t>
            </w:r>
          </w:p>
        </w:tc>
      </w:tr>
      <w:tr w:rsidR="003600AD" w:rsidRPr="003600AD" w14:paraId="5DF95FD7" w14:textId="77777777" w:rsidTr="00B565BC">
        <w:tc>
          <w:tcPr>
            <w:tcW w:w="3646" w:type="dxa"/>
            <w:shd w:val="clear" w:color="auto" w:fill="auto"/>
          </w:tcPr>
          <w:p w14:paraId="5E359C9E" w14:textId="3D02E09C" w:rsidR="003600AD" w:rsidRPr="00E25689" w:rsidRDefault="00E25689" w:rsidP="00E2568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</w:t>
            </w:r>
            <w:r w:rsidRPr="00E25689">
              <w:rPr>
                <w:rFonts w:eastAsia="Calibri"/>
              </w:rPr>
              <w:t>Jan Zinek</w:t>
            </w:r>
          </w:p>
          <w:p w14:paraId="5A65881D" w14:textId="5B877C6E" w:rsidR="00E25689" w:rsidRPr="00E25689" w:rsidRDefault="00E25689" w:rsidP="00E2568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p</w:t>
            </w:r>
            <w:r w:rsidRPr="00E25689">
              <w:rPr>
                <w:rFonts w:eastAsia="Calibri"/>
              </w:rPr>
              <w:t>ředseda představenstva</w:t>
            </w:r>
          </w:p>
        </w:tc>
        <w:tc>
          <w:tcPr>
            <w:tcW w:w="2024" w:type="dxa"/>
            <w:shd w:val="clear" w:color="auto" w:fill="auto"/>
          </w:tcPr>
          <w:p w14:paraId="0423B354" w14:textId="77777777" w:rsidR="003600AD" w:rsidRPr="003600AD" w:rsidRDefault="003600AD" w:rsidP="003600AD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948" w:type="dxa"/>
            <w:shd w:val="clear" w:color="auto" w:fill="auto"/>
          </w:tcPr>
          <w:p w14:paraId="40470E20" w14:textId="5AC4DBE9" w:rsidR="00E25689" w:rsidRDefault="00E25689" w:rsidP="00114E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</w:t>
            </w:r>
            <w:r w:rsidR="003600AD" w:rsidRPr="00646FE4">
              <w:rPr>
                <w:rFonts w:eastAsia="Calibri"/>
              </w:rPr>
              <w:t>Ing. Mojmír Bezecný</w:t>
            </w:r>
          </w:p>
          <w:p w14:paraId="68A35B7B" w14:textId="2A1EEB49" w:rsidR="003600AD" w:rsidRPr="00646FE4" w:rsidRDefault="00E25689" w:rsidP="00E2568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</w:t>
            </w:r>
            <w:r w:rsidR="003600AD" w:rsidRPr="00646FE4">
              <w:rPr>
                <w:rFonts w:eastAsia="Calibri"/>
              </w:rPr>
              <w:t>ústřední ředitel</w:t>
            </w:r>
          </w:p>
        </w:tc>
      </w:tr>
      <w:tr w:rsidR="003600AD" w:rsidRPr="003600AD" w14:paraId="4E990F21" w14:textId="77777777" w:rsidTr="00B565BC">
        <w:trPr>
          <w:trHeight w:val="80"/>
        </w:trPr>
        <w:tc>
          <w:tcPr>
            <w:tcW w:w="3646" w:type="dxa"/>
            <w:shd w:val="clear" w:color="auto" w:fill="auto"/>
          </w:tcPr>
          <w:p w14:paraId="42DE92FF" w14:textId="4643079B" w:rsidR="003600AD" w:rsidRPr="00E25689" w:rsidRDefault="00E25689" w:rsidP="00E2568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</w:t>
            </w:r>
            <w:r w:rsidRPr="00E25689">
              <w:rPr>
                <w:rFonts w:eastAsia="Calibri"/>
              </w:rPr>
              <w:t>A</w:t>
            </w:r>
            <w:r>
              <w:rPr>
                <w:rFonts w:eastAsia="Calibri"/>
              </w:rPr>
              <w:t>NECT</w:t>
            </w:r>
            <w:r w:rsidRPr="00E25689">
              <w:rPr>
                <w:rFonts w:eastAsia="Calibri"/>
              </w:rPr>
              <w:t>, a.</w:t>
            </w:r>
            <w:r>
              <w:rPr>
                <w:rFonts w:eastAsia="Calibri"/>
              </w:rPr>
              <w:t xml:space="preserve"> </w:t>
            </w:r>
            <w:r w:rsidRPr="00E25689">
              <w:rPr>
                <w:rFonts w:eastAsia="Calibri"/>
              </w:rPr>
              <w:t>s.</w:t>
            </w:r>
          </w:p>
        </w:tc>
        <w:tc>
          <w:tcPr>
            <w:tcW w:w="2024" w:type="dxa"/>
            <w:shd w:val="clear" w:color="auto" w:fill="auto"/>
          </w:tcPr>
          <w:p w14:paraId="6FBA1CF2" w14:textId="77777777" w:rsidR="003600AD" w:rsidRPr="003600AD" w:rsidRDefault="003600AD" w:rsidP="003600AD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948" w:type="dxa"/>
            <w:shd w:val="clear" w:color="auto" w:fill="auto"/>
          </w:tcPr>
          <w:p w14:paraId="51F567B9" w14:textId="18D095F5" w:rsidR="003600AD" w:rsidRPr="00646FE4" w:rsidRDefault="00114E03" w:rsidP="00114E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</w:t>
            </w:r>
            <w:r w:rsidR="003600AD" w:rsidRPr="00646FE4">
              <w:rPr>
                <w:rFonts w:eastAsia="Calibri"/>
              </w:rPr>
              <w:t>České obchodní inspekce</w:t>
            </w:r>
          </w:p>
        </w:tc>
      </w:tr>
    </w:tbl>
    <w:p w14:paraId="60E6468B" w14:textId="77777777" w:rsidR="003600AD" w:rsidRPr="003600AD" w:rsidRDefault="003600AD" w:rsidP="003600AD">
      <w:pPr>
        <w:rPr>
          <w:rFonts w:eastAsia="Calibri"/>
          <w:szCs w:val="22"/>
          <w:lang w:eastAsia="en-US"/>
        </w:rPr>
      </w:pPr>
    </w:p>
    <w:p w14:paraId="7D2D2F5D" w14:textId="77777777" w:rsidR="003600AD" w:rsidRPr="003600AD" w:rsidRDefault="003600AD" w:rsidP="003600AD">
      <w:pPr>
        <w:rPr>
          <w:rFonts w:eastAsia="Calibri"/>
          <w:szCs w:val="22"/>
          <w:lang w:eastAsia="en-US"/>
        </w:rPr>
      </w:pPr>
    </w:p>
    <w:p w14:paraId="44D9043A" w14:textId="6547B9E8" w:rsidR="00840871" w:rsidRPr="00CD5FBC" w:rsidRDefault="00840871" w:rsidP="00234181">
      <w:pPr>
        <w:rPr>
          <w:highlight w:val="yellow"/>
        </w:rPr>
      </w:pPr>
    </w:p>
    <w:sectPr w:rsidR="00840871" w:rsidRPr="00CD5FBC" w:rsidSect="0096207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72D94" w14:textId="77777777" w:rsidR="003651CF" w:rsidRDefault="003651CF" w:rsidP="00A605A0">
      <w:r>
        <w:separator/>
      </w:r>
    </w:p>
  </w:endnote>
  <w:endnote w:type="continuationSeparator" w:id="0">
    <w:p w14:paraId="533C3DE2" w14:textId="77777777" w:rsidR="003651CF" w:rsidRDefault="003651CF" w:rsidP="00A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21146"/>
      <w:docPartObj>
        <w:docPartGallery w:val="Page Numbers (Bottom of Page)"/>
        <w:docPartUnique/>
      </w:docPartObj>
    </w:sdtPr>
    <w:sdtEndPr/>
    <w:sdtContent>
      <w:p w14:paraId="509FE6B1" w14:textId="17C816C8" w:rsidR="00633CEB" w:rsidRDefault="00633C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CC3">
          <w:rPr>
            <w:noProof/>
          </w:rPr>
          <w:t>10</w:t>
        </w:r>
        <w:r>
          <w:fldChar w:fldCharType="end"/>
        </w:r>
      </w:p>
    </w:sdtContent>
  </w:sdt>
  <w:p w14:paraId="44EE35AC" w14:textId="503AE6BC" w:rsidR="00633CEB" w:rsidRPr="00A514BA" w:rsidRDefault="00633CEB" w:rsidP="00A514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BA0CD" w14:textId="77777777" w:rsidR="003651CF" w:rsidRDefault="003651CF" w:rsidP="00A605A0">
      <w:r>
        <w:separator/>
      </w:r>
    </w:p>
  </w:footnote>
  <w:footnote w:type="continuationSeparator" w:id="0">
    <w:p w14:paraId="7F1BD612" w14:textId="77777777" w:rsidR="003651CF" w:rsidRDefault="003651CF" w:rsidP="00A6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DA47A" w14:textId="5AB5B1AB" w:rsidR="00016321" w:rsidRPr="008F3EB9" w:rsidRDefault="00016321" w:rsidP="00016321">
    <w:pPr>
      <w:pStyle w:val="Zhlav"/>
      <w:jc w:val="right"/>
      <w:rPr>
        <w:rFonts w:ascii="CKGinis" w:hAnsi="CKGinis"/>
        <w:color w:val="000000" w:themeColor="text1"/>
        <w:sz w:val="56"/>
        <w:szCs w:val="56"/>
      </w:rPr>
    </w:pPr>
    <w:r w:rsidRPr="008F3EB9">
      <w:rPr>
        <w:rFonts w:ascii="CKGinis" w:hAnsi="CKGinis"/>
        <w:color w:val="000000" w:themeColor="text1"/>
        <w:sz w:val="56"/>
        <w:szCs w:val="56"/>
      </w:rPr>
      <w:fldChar w:fldCharType="begin"/>
    </w:r>
    <w:r w:rsidRPr="008F3EB9">
      <w:rPr>
        <w:rFonts w:ascii="CKGinis" w:hAnsi="CKGinis"/>
        <w:color w:val="000000" w:themeColor="text1"/>
        <w:sz w:val="56"/>
        <w:szCs w:val="56"/>
      </w:rPr>
      <w:instrText>MACROBUTTON MSWField(id_pisemnosti_car) *COI0X0197TGR*</w:instrText>
    </w:r>
    <w:r w:rsidRPr="008F3EB9">
      <w:rPr>
        <w:rFonts w:ascii="CKGinis" w:hAnsi="CKGinis"/>
        <w:color w:val="000000" w:themeColor="text1"/>
        <w:sz w:val="56"/>
        <w:szCs w:val="56"/>
      </w:rPr>
      <w:fldChar w:fldCharType="separate"/>
    </w:r>
    <w:r>
      <w:t>*COI0X0197TGR*</w:t>
    </w:r>
    <w:r w:rsidRPr="008F3EB9">
      <w:rPr>
        <w:rFonts w:ascii="CKGinis" w:hAnsi="CKGinis"/>
        <w:color w:val="000000" w:themeColor="text1"/>
        <w:sz w:val="56"/>
        <w:szCs w:val="56"/>
      </w:rPr>
      <w:fldChar w:fldCharType="end"/>
    </w:r>
  </w:p>
  <w:p w14:paraId="4366C821" w14:textId="608BB256" w:rsidR="00633CEB" w:rsidRPr="00E26AAC" w:rsidRDefault="00016321" w:rsidP="00016321">
    <w:pPr>
      <w:pStyle w:val="Zhlav"/>
      <w:ind w:left="3252" w:firstLine="4536"/>
      <w:rPr>
        <w:sz w:val="20"/>
        <w:szCs w:val="20"/>
      </w:rPr>
    </w:pPr>
    <w:r w:rsidRPr="008F3EB9">
      <w:rPr>
        <w:color w:val="000000" w:themeColor="text1"/>
        <w:sz w:val="16"/>
        <w:szCs w:val="16"/>
      </w:rPr>
      <w:fldChar w:fldCharType="begin"/>
    </w:r>
    <w:r w:rsidRPr="008F3EB9">
      <w:rPr>
        <w:color w:val="000000" w:themeColor="text1"/>
        <w:sz w:val="16"/>
        <w:szCs w:val="16"/>
      </w:rPr>
      <w:instrText>MACROBUTTON MSWField(id_pisemnosti) COI0X0197TGR</w:instrText>
    </w:r>
    <w:r w:rsidRPr="008F3EB9">
      <w:rPr>
        <w:color w:val="000000" w:themeColor="text1"/>
        <w:sz w:val="16"/>
        <w:szCs w:val="16"/>
      </w:rPr>
      <w:fldChar w:fldCharType="separate"/>
    </w:r>
    <w:r>
      <w:t>COI0X0197TGR</w:t>
    </w:r>
    <w:r w:rsidRPr="008F3EB9">
      <w:rPr>
        <w:color w:val="000000" w:themeColor="text1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02B6"/>
    <w:multiLevelType w:val="hybridMultilevel"/>
    <w:tmpl w:val="F750714C"/>
    <w:lvl w:ilvl="0" w:tplc="0322AE88">
      <w:start w:val="1"/>
      <w:numFmt w:val="decimal"/>
      <w:pStyle w:val="lnek14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06F8"/>
    <w:multiLevelType w:val="hybridMultilevel"/>
    <w:tmpl w:val="1BA4EB90"/>
    <w:lvl w:ilvl="0" w:tplc="A9A0ED02">
      <w:start w:val="2"/>
      <w:numFmt w:val="bullet"/>
      <w:pStyle w:val="Odstavecseseznamem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57A7A"/>
    <w:multiLevelType w:val="hybridMultilevel"/>
    <w:tmpl w:val="BF00EE80"/>
    <w:lvl w:ilvl="0" w:tplc="50403C34">
      <w:start w:val="1"/>
      <w:numFmt w:val="decimal"/>
      <w:pStyle w:val="lnek0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93F9D"/>
    <w:multiLevelType w:val="hybridMultilevel"/>
    <w:tmpl w:val="AAB8CA7E"/>
    <w:lvl w:ilvl="0" w:tplc="C93202BA">
      <w:start w:val="1"/>
      <w:numFmt w:val="decimal"/>
      <w:lvlText w:val="(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0320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2005D3"/>
    <w:multiLevelType w:val="hybridMultilevel"/>
    <w:tmpl w:val="6ED2E022"/>
    <w:lvl w:ilvl="0" w:tplc="04050017">
      <w:start w:val="1"/>
      <w:numFmt w:val="lowerLetter"/>
      <w:lvlText w:val="%1)"/>
      <w:lvlJc w:val="left"/>
      <w:pPr>
        <w:ind w:left="127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77BB1"/>
    <w:multiLevelType w:val="hybridMultilevel"/>
    <w:tmpl w:val="866C5AAC"/>
    <w:lvl w:ilvl="0" w:tplc="08B21936">
      <w:start w:val="1"/>
      <w:numFmt w:val="decimal"/>
      <w:pStyle w:val="lnek03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50878"/>
    <w:multiLevelType w:val="hybridMultilevel"/>
    <w:tmpl w:val="CFC0A678"/>
    <w:lvl w:ilvl="0" w:tplc="D5C2069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A115D77"/>
    <w:multiLevelType w:val="hybridMultilevel"/>
    <w:tmpl w:val="A1A4B080"/>
    <w:lvl w:ilvl="0" w:tplc="8F808BDE">
      <w:start w:val="1"/>
      <w:numFmt w:val="decimal"/>
      <w:pStyle w:val="lnek01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0A6A"/>
    <w:multiLevelType w:val="hybridMultilevel"/>
    <w:tmpl w:val="44DE8BFC"/>
    <w:lvl w:ilvl="0" w:tplc="D632E3D2">
      <w:start w:val="1"/>
      <w:numFmt w:val="decimal"/>
      <w:pStyle w:val="lnek08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6788D"/>
    <w:multiLevelType w:val="hybridMultilevel"/>
    <w:tmpl w:val="0EC26B38"/>
    <w:lvl w:ilvl="0" w:tplc="28BE51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F4C7E"/>
    <w:multiLevelType w:val="hybridMultilevel"/>
    <w:tmpl w:val="D7AA2782"/>
    <w:lvl w:ilvl="0" w:tplc="0D980700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6142A18"/>
    <w:multiLevelType w:val="hybridMultilevel"/>
    <w:tmpl w:val="B9FC845A"/>
    <w:lvl w:ilvl="0" w:tplc="EA3EF9AE">
      <w:start w:val="1"/>
      <w:numFmt w:val="decimal"/>
      <w:pStyle w:val="lnek10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959FC"/>
    <w:multiLevelType w:val="hybridMultilevel"/>
    <w:tmpl w:val="2690B3A8"/>
    <w:lvl w:ilvl="0" w:tplc="B65EE528">
      <w:start w:val="1"/>
      <w:numFmt w:val="decimal"/>
      <w:pStyle w:val="lnek00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29D7219"/>
    <w:multiLevelType w:val="hybridMultilevel"/>
    <w:tmpl w:val="B1FEF1A2"/>
    <w:lvl w:ilvl="0" w:tplc="6C184F9A">
      <w:start w:val="1"/>
      <w:numFmt w:val="decimal"/>
      <w:pStyle w:val="lnek05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567A3"/>
    <w:multiLevelType w:val="hybridMultilevel"/>
    <w:tmpl w:val="AC664F8C"/>
    <w:lvl w:ilvl="0" w:tplc="0FCC4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70983"/>
    <w:multiLevelType w:val="hybridMultilevel"/>
    <w:tmpl w:val="17243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E2061"/>
    <w:multiLevelType w:val="hybridMultilevel"/>
    <w:tmpl w:val="368AD84C"/>
    <w:lvl w:ilvl="0" w:tplc="588A1BEA">
      <w:start w:val="1"/>
      <w:numFmt w:val="decimal"/>
      <w:pStyle w:val="lnek07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A5CA6"/>
    <w:multiLevelType w:val="hybridMultilevel"/>
    <w:tmpl w:val="449C70F2"/>
    <w:lvl w:ilvl="0" w:tplc="ED6A8A0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27869"/>
    <w:multiLevelType w:val="hybridMultilevel"/>
    <w:tmpl w:val="12AE1012"/>
    <w:lvl w:ilvl="0" w:tplc="029A47D2">
      <w:start w:val="1"/>
      <w:numFmt w:val="decimal"/>
      <w:pStyle w:val="lnek1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10916"/>
    <w:multiLevelType w:val="multilevel"/>
    <w:tmpl w:val="9DECD6A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5DD639A"/>
    <w:multiLevelType w:val="hybridMultilevel"/>
    <w:tmpl w:val="A21EE7F2"/>
    <w:lvl w:ilvl="0" w:tplc="D4D0C6CC">
      <w:start w:val="1"/>
      <w:numFmt w:val="decimal"/>
      <w:pStyle w:val="lnek04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9246F"/>
    <w:multiLevelType w:val="hybridMultilevel"/>
    <w:tmpl w:val="6CFEE092"/>
    <w:lvl w:ilvl="0" w:tplc="E2764B88">
      <w:start w:val="1"/>
      <w:numFmt w:val="decimal"/>
      <w:pStyle w:val="lnek09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42201"/>
    <w:multiLevelType w:val="hybridMultilevel"/>
    <w:tmpl w:val="66C03C9A"/>
    <w:lvl w:ilvl="0" w:tplc="32601676">
      <w:start w:val="1"/>
      <w:numFmt w:val="decimal"/>
      <w:pStyle w:val="lnek11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9184E"/>
    <w:multiLevelType w:val="hybridMultilevel"/>
    <w:tmpl w:val="903835DC"/>
    <w:lvl w:ilvl="0" w:tplc="96C6C496">
      <w:start w:val="1"/>
      <w:numFmt w:val="decimal"/>
      <w:pStyle w:val="lnek06"/>
      <w:lvlText w:val="(%1)"/>
      <w:lvlJc w:val="left"/>
      <w:pPr>
        <w:ind w:left="720" w:hanging="360"/>
      </w:pPr>
      <w:rPr>
        <w:rFonts w:hint="default"/>
      </w:rPr>
    </w:lvl>
    <w:lvl w:ilvl="1" w:tplc="FB4EA82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21"/>
  </w:num>
  <w:num w:numId="5">
    <w:abstractNumId w:val="14"/>
  </w:num>
  <w:num w:numId="6">
    <w:abstractNumId w:val="24"/>
  </w:num>
  <w:num w:numId="7">
    <w:abstractNumId w:val="17"/>
  </w:num>
  <w:num w:numId="8">
    <w:abstractNumId w:val="9"/>
  </w:num>
  <w:num w:numId="9">
    <w:abstractNumId w:val="22"/>
  </w:num>
  <w:num w:numId="10">
    <w:abstractNumId w:val="12"/>
  </w:num>
  <w:num w:numId="11">
    <w:abstractNumId w:val="23"/>
  </w:num>
  <w:num w:numId="12">
    <w:abstractNumId w:val="1"/>
  </w:num>
  <w:num w:numId="13">
    <w:abstractNumId w:val="13"/>
  </w:num>
  <w:num w:numId="14">
    <w:abstractNumId w:val="18"/>
  </w:num>
  <w:num w:numId="15">
    <w:abstractNumId w:val="16"/>
  </w:num>
  <w:num w:numId="16">
    <w:abstractNumId w:val="19"/>
  </w:num>
  <w:num w:numId="17">
    <w:abstractNumId w:val="0"/>
  </w:num>
  <w:num w:numId="18">
    <w:abstractNumId w:val="5"/>
  </w:num>
  <w:num w:numId="19">
    <w:abstractNumId w:val="11"/>
  </w:num>
  <w:num w:numId="20">
    <w:abstractNumId w:val="3"/>
  </w:num>
  <w:num w:numId="21">
    <w:abstractNumId w:val="15"/>
  </w:num>
  <w:num w:numId="22">
    <w:abstractNumId w:val="10"/>
  </w:num>
  <w:num w:numId="23">
    <w:abstractNumId w:val="7"/>
  </w:num>
  <w:num w:numId="24">
    <w:abstractNumId w:val="4"/>
  </w:num>
  <w:num w:numId="25">
    <w:abstractNumId w:val="20"/>
  </w:num>
  <w:num w:numId="26">
    <w:abstractNumId w:val="1"/>
  </w:num>
  <w:num w:numId="27">
    <w:abstractNumId w:val="1"/>
  </w:num>
  <w:num w:numId="2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B5"/>
    <w:rsid w:val="00002AF5"/>
    <w:rsid w:val="00002C0E"/>
    <w:rsid w:val="00003BC9"/>
    <w:rsid w:val="00012EAD"/>
    <w:rsid w:val="00016321"/>
    <w:rsid w:val="00020B95"/>
    <w:rsid w:val="000225B2"/>
    <w:rsid w:val="000255BB"/>
    <w:rsid w:val="000321F8"/>
    <w:rsid w:val="000349CD"/>
    <w:rsid w:val="00037299"/>
    <w:rsid w:val="00042AD9"/>
    <w:rsid w:val="000434AA"/>
    <w:rsid w:val="00044E67"/>
    <w:rsid w:val="000453F6"/>
    <w:rsid w:val="000741ED"/>
    <w:rsid w:val="000770F9"/>
    <w:rsid w:val="0007717A"/>
    <w:rsid w:val="00082253"/>
    <w:rsid w:val="0009144F"/>
    <w:rsid w:val="000A010E"/>
    <w:rsid w:val="000B1D25"/>
    <w:rsid w:val="000B786C"/>
    <w:rsid w:val="000C4FE6"/>
    <w:rsid w:val="000E0F12"/>
    <w:rsid w:val="000E323F"/>
    <w:rsid w:val="000E494D"/>
    <w:rsid w:val="000E5B66"/>
    <w:rsid w:val="000F0A60"/>
    <w:rsid w:val="0010022C"/>
    <w:rsid w:val="00105EC6"/>
    <w:rsid w:val="00110F35"/>
    <w:rsid w:val="00111502"/>
    <w:rsid w:val="00112E6B"/>
    <w:rsid w:val="00114E03"/>
    <w:rsid w:val="001155C1"/>
    <w:rsid w:val="00121B6D"/>
    <w:rsid w:val="00122DA9"/>
    <w:rsid w:val="00123135"/>
    <w:rsid w:val="001241B2"/>
    <w:rsid w:val="00125093"/>
    <w:rsid w:val="00130D56"/>
    <w:rsid w:val="00140144"/>
    <w:rsid w:val="00146805"/>
    <w:rsid w:val="00150CFD"/>
    <w:rsid w:val="00153482"/>
    <w:rsid w:val="00165402"/>
    <w:rsid w:val="001747A1"/>
    <w:rsid w:val="00191539"/>
    <w:rsid w:val="001A3615"/>
    <w:rsid w:val="001A7DD1"/>
    <w:rsid w:val="001A7FCC"/>
    <w:rsid w:val="001D22AD"/>
    <w:rsid w:val="001D3806"/>
    <w:rsid w:val="001D69C1"/>
    <w:rsid w:val="001D6F55"/>
    <w:rsid w:val="001E5649"/>
    <w:rsid w:val="001F3F1F"/>
    <w:rsid w:val="00212640"/>
    <w:rsid w:val="00213C66"/>
    <w:rsid w:val="00213EE9"/>
    <w:rsid w:val="002219B2"/>
    <w:rsid w:val="00222BC6"/>
    <w:rsid w:val="00225FA8"/>
    <w:rsid w:val="00234181"/>
    <w:rsid w:val="002369E3"/>
    <w:rsid w:val="002447F1"/>
    <w:rsid w:val="00247FA7"/>
    <w:rsid w:val="0025028D"/>
    <w:rsid w:val="00251B33"/>
    <w:rsid w:val="00253559"/>
    <w:rsid w:val="00253BD0"/>
    <w:rsid w:val="0025780E"/>
    <w:rsid w:val="00262249"/>
    <w:rsid w:val="00267F97"/>
    <w:rsid w:val="00270956"/>
    <w:rsid w:val="00273074"/>
    <w:rsid w:val="00280349"/>
    <w:rsid w:val="002854FD"/>
    <w:rsid w:val="002959D8"/>
    <w:rsid w:val="00295CB6"/>
    <w:rsid w:val="002A00A1"/>
    <w:rsid w:val="002A0218"/>
    <w:rsid w:val="002A2803"/>
    <w:rsid w:val="002A28A3"/>
    <w:rsid w:val="002A4933"/>
    <w:rsid w:val="002B7EE5"/>
    <w:rsid w:val="002C1F84"/>
    <w:rsid w:val="002D0BE5"/>
    <w:rsid w:val="002D40C7"/>
    <w:rsid w:val="002D78CA"/>
    <w:rsid w:val="002E046D"/>
    <w:rsid w:val="002E2DFF"/>
    <w:rsid w:val="002E7306"/>
    <w:rsid w:val="002F147B"/>
    <w:rsid w:val="002F14D9"/>
    <w:rsid w:val="003027E8"/>
    <w:rsid w:val="00303AE9"/>
    <w:rsid w:val="00311F19"/>
    <w:rsid w:val="00320CE9"/>
    <w:rsid w:val="00320D22"/>
    <w:rsid w:val="00332A5A"/>
    <w:rsid w:val="00335AAB"/>
    <w:rsid w:val="00340D3F"/>
    <w:rsid w:val="00342D65"/>
    <w:rsid w:val="003430B1"/>
    <w:rsid w:val="00346602"/>
    <w:rsid w:val="003600AD"/>
    <w:rsid w:val="003616DB"/>
    <w:rsid w:val="003651CF"/>
    <w:rsid w:val="00366A39"/>
    <w:rsid w:val="00376B5B"/>
    <w:rsid w:val="00395C08"/>
    <w:rsid w:val="003A1D9A"/>
    <w:rsid w:val="003A258B"/>
    <w:rsid w:val="003A388A"/>
    <w:rsid w:val="003A4A39"/>
    <w:rsid w:val="003A6E31"/>
    <w:rsid w:val="003B0AD1"/>
    <w:rsid w:val="003B53C4"/>
    <w:rsid w:val="003B73F8"/>
    <w:rsid w:val="003B7EB6"/>
    <w:rsid w:val="003C00B1"/>
    <w:rsid w:val="003D0B4A"/>
    <w:rsid w:val="003D318A"/>
    <w:rsid w:val="003D4426"/>
    <w:rsid w:val="003D5942"/>
    <w:rsid w:val="003E0A40"/>
    <w:rsid w:val="003E3DB6"/>
    <w:rsid w:val="003E3F00"/>
    <w:rsid w:val="003E7948"/>
    <w:rsid w:val="003E7C9E"/>
    <w:rsid w:val="003F3BBE"/>
    <w:rsid w:val="004001A5"/>
    <w:rsid w:val="0040249F"/>
    <w:rsid w:val="004108CF"/>
    <w:rsid w:val="00411471"/>
    <w:rsid w:val="004116F9"/>
    <w:rsid w:val="00416932"/>
    <w:rsid w:val="0042008D"/>
    <w:rsid w:val="00423568"/>
    <w:rsid w:val="00425C00"/>
    <w:rsid w:val="00430DAF"/>
    <w:rsid w:val="00433CA6"/>
    <w:rsid w:val="00435865"/>
    <w:rsid w:val="0044056D"/>
    <w:rsid w:val="0044233A"/>
    <w:rsid w:val="00454157"/>
    <w:rsid w:val="00463B3A"/>
    <w:rsid w:val="00471044"/>
    <w:rsid w:val="00471C65"/>
    <w:rsid w:val="0047575B"/>
    <w:rsid w:val="00483B18"/>
    <w:rsid w:val="004871F8"/>
    <w:rsid w:val="004879B4"/>
    <w:rsid w:val="00493769"/>
    <w:rsid w:val="00493796"/>
    <w:rsid w:val="004942EB"/>
    <w:rsid w:val="004A244D"/>
    <w:rsid w:val="004A72F2"/>
    <w:rsid w:val="004A769A"/>
    <w:rsid w:val="004B2558"/>
    <w:rsid w:val="004B55BF"/>
    <w:rsid w:val="004D02D5"/>
    <w:rsid w:val="004D28B5"/>
    <w:rsid w:val="004F632A"/>
    <w:rsid w:val="004F6585"/>
    <w:rsid w:val="00503588"/>
    <w:rsid w:val="005072B9"/>
    <w:rsid w:val="0052636E"/>
    <w:rsid w:val="00527CBE"/>
    <w:rsid w:val="00532D81"/>
    <w:rsid w:val="00553841"/>
    <w:rsid w:val="005573C6"/>
    <w:rsid w:val="00561203"/>
    <w:rsid w:val="00565BCD"/>
    <w:rsid w:val="005740F7"/>
    <w:rsid w:val="005764A3"/>
    <w:rsid w:val="00580391"/>
    <w:rsid w:val="00584959"/>
    <w:rsid w:val="00584F93"/>
    <w:rsid w:val="00590234"/>
    <w:rsid w:val="005973AF"/>
    <w:rsid w:val="005B1D2D"/>
    <w:rsid w:val="005B1DD5"/>
    <w:rsid w:val="005B52E1"/>
    <w:rsid w:val="005B6C8D"/>
    <w:rsid w:val="005C6008"/>
    <w:rsid w:val="005C6924"/>
    <w:rsid w:val="005D0563"/>
    <w:rsid w:val="005D5AB9"/>
    <w:rsid w:val="005E14DA"/>
    <w:rsid w:val="005E5425"/>
    <w:rsid w:val="005F1A2A"/>
    <w:rsid w:val="005F4395"/>
    <w:rsid w:val="005F4ACB"/>
    <w:rsid w:val="005F4BFD"/>
    <w:rsid w:val="00600093"/>
    <w:rsid w:val="00600DF6"/>
    <w:rsid w:val="00610AC0"/>
    <w:rsid w:val="00612BE3"/>
    <w:rsid w:val="00612DED"/>
    <w:rsid w:val="006270DA"/>
    <w:rsid w:val="0063317A"/>
    <w:rsid w:val="00633CEB"/>
    <w:rsid w:val="00646FE4"/>
    <w:rsid w:val="00651BE2"/>
    <w:rsid w:val="00662E04"/>
    <w:rsid w:val="0066444F"/>
    <w:rsid w:val="00664F29"/>
    <w:rsid w:val="00667C96"/>
    <w:rsid w:val="006722B1"/>
    <w:rsid w:val="00674599"/>
    <w:rsid w:val="00675DDB"/>
    <w:rsid w:val="00676488"/>
    <w:rsid w:val="006831CD"/>
    <w:rsid w:val="00685F09"/>
    <w:rsid w:val="006940A6"/>
    <w:rsid w:val="006A1912"/>
    <w:rsid w:val="006A78EC"/>
    <w:rsid w:val="006A7DFE"/>
    <w:rsid w:val="006B0B97"/>
    <w:rsid w:val="006B1370"/>
    <w:rsid w:val="006B3A17"/>
    <w:rsid w:val="006B3F3F"/>
    <w:rsid w:val="006C4A64"/>
    <w:rsid w:val="006C5E8B"/>
    <w:rsid w:val="006D07B7"/>
    <w:rsid w:val="006D4EF0"/>
    <w:rsid w:val="006E3D27"/>
    <w:rsid w:val="006E448B"/>
    <w:rsid w:val="006E49A2"/>
    <w:rsid w:val="006E5E1E"/>
    <w:rsid w:val="006E68E3"/>
    <w:rsid w:val="006F207D"/>
    <w:rsid w:val="006F5BCC"/>
    <w:rsid w:val="007011DC"/>
    <w:rsid w:val="00702B34"/>
    <w:rsid w:val="007039EF"/>
    <w:rsid w:val="007064EA"/>
    <w:rsid w:val="00715FAD"/>
    <w:rsid w:val="007272A5"/>
    <w:rsid w:val="007277CB"/>
    <w:rsid w:val="00741B64"/>
    <w:rsid w:val="00742887"/>
    <w:rsid w:val="00755380"/>
    <w:rsid w:val="00756C0E"/>
    <w:rsid w:val="00770303"/>
    <w:rsid w:val="007720D5"/>
    <w:rsid w:val="00773099"/>
    <w:rsid w:val="00773E48"/>
    <w:rsid w:val="007744DA"/>
    <w:rsid w:val="00785624"/>
    <w:rsid w:val="00790D49"/>
    <w:rsid w:val="0079124C"/>
    <w:rsid w:val="00797A7F"/>
    <w:rsid w:val="007A2641"/>
    <w:rsid w:val="007A33CF"/>
    <w:rsid w:val="007B2F45"/>
    <w:rsid w:val="007B2F77"/>
    <w:rsid w:val="007B3517"/>
    <w:rsid w:val="007B4D57"/>
    <w:rsid w:val="007B6CB3"/>
    <w:rsid w:val="007B7BDF"/>
    <w:rsid w:val="007C3624"/>
    <w:rsid w:val="007C6F7B"/>
    <w:rsid w:val="007D167A"/>
    <w:rsid w:val="007D1806"/>
    <w:rsid w:val="007D5D61"/>
    <w:rsid w:val="007E66E1"/>
    <w:rsid w:val="007F2926"/>
    <w:rsid w:val="007F414B"/>
    <w:rsid w:val="007F5D4E"/>
    <w:rsid w:val="007F72D6"/>
    <w:rsid w:val="00802CDD"/>
    <w:rsid w:val="00804FCC"/>
    <w:rsid w:val="00811DE2"/>
    <w:rsid w:val="00812626"/>
    <w:rsid w:val="00817D06"/>
    <w:rsid w:val="00822916"/>
    <w:rsid w:val="00826B98"/>
    <w:rsid w:val="00840871"/>
    <w:rsid w:val="008556A8"/>
    <w:rsid w:val="00856CEA"/>
    <w:rsid w:val="00860390"/>
    <w:rsid w:val="008610D9"/>
    <w:rsid w:val="00863FE2"/>
    <w:rsid w:val="00866C85"/>
    <w:rsid w:val="008675E1"/>
    <w:rsid w:val="00872876"/>
    <w:rsid w:val="00874A9B"/>
    <w:rsid w:val="008771CC"/>
    <w:rsid w:val="008778B9"/>
    <w:rsid w:val="00882068"/>
    <w:rsid w:val="0089171F"/>
    <w:rsid w:val="008920F7"/>
    <w:rsid w:val="0089253C"/>
    <w:rsid w:val="008A4BA8"/>
    <w:rsid w:val="008A5075"/>
    <w:rsid w:val="008A54D0"/>
    <w:rsid w:val="008B134B"/>
    <w:rsid w:val="008B75C1"/>
    <w:rsid w:val="008C1C1A"/>
    <w:rsid w:val="008C7DFC"/>
    <w:rsid w:val="008D0B67"/>
    <w:rsid w:val="008E1E99"/>
    <w:rsid w:val="008E2892"/>
    <w:rsid w:val="008E7671"/>
    <w:rsid w:val="008F2216"/>
    <w:rsid w:val="008F7426"/>
    <w:rsid w:val="008F773E"/>
    <w:rsid w:val="00902F43"/>
    <w:rsid w:val="00903C93"/>
    <w:rsid w:val="0091098F"/>
    <w:rsid w:val="009112EB"/>
    <w:rsid w:val="009143C9"/>
    <w:rsid w:val="00915228"/>
    <w:rsid w:val="00916B39"/>
    <w:rsid w:val="00920947"/>
    <w:rsid w:val="00921D13"/>
    <w:rsid w:val="00922F07"/>
    <w:rsid w:val="009303A7"/>
    <w:rsid w:val="00932A6E"/>
    <w:rsid w:val="0093476F"/>
    <w:rsid w:val="00935ADE"/>
    <w:rsid w:val="00936312"/>
    <w:rsid w:val="0094397A"/>
    <w:rsid w:val="009469A9"/>
    <w:rsid w:val="00953C20"/>
    <w:rsid w:val="009570F4"/>
    <w:rsid w:val="00962078"/>
    <w:rsid w:val="00962FE8"/>
    <w:rsid w:val="009672BD"/>
    <w:rsid w:val="0096781D"/>
    <w:rsid w:val="00972004"/>
    <w:rsid w:val="0097232E"/>
    <w:rsid w:val="00974ADB"/>
    <w:rsid w:val="00977EEC"/>
    <w:rsid w:val="00981711"/>
    <w:rsid w:val="00986734"/>
    <w:rsid w:val="00994B51"/>
    <w:rsid w:val="009A0F82"/>
    <w:rsid w:val="009A1A9F"/>
    <w:rsid w:val="009B5A35"/>
    <w:rsid w:val="009B6A76"/>
    <w:rsid w:val="009D6CC3"/>
    <w:rsid w:val="009F0C2B"/>
    <w:rsid w:val="00A02AA1"/>
    <w:rsid w:val="00A065EB"/>
    <w:rsid w:val="00A13C9F"/>
    <w:rsid w:val="00A2646B"/>
    <w:rsid w:val="00A27EA2"/>
    <w:rsid w:val="00A32847"/>
    <w:rsid w:val="00A35835"/>
    <w:rsid w:val="00A43F61"/>
    <w:rsid w:val="00A46C30"/>
    <w:rsid w:val="00A514BA"/>
    <w:rsid w:val="00A54463"/>
    <w:rsid w:val="00A605A0"/>
    <w:rsid w:val="00A6266E"/>
    <w:rsid w:val="00A67700"/>
    <w:rsid w:val="00A77BE2"/>
    <w:rsid w:val="00A85FA3"/>
    <w:rsid w:val="00A8605D"/>
    <w:rsid w:val="00A91BC2"/>
    <w:rsid w:val="00A92B2F"/>
    <w:rsid w:val="00A96E9F"/>
    <w:rsid w:val="00A97E88"/>
    <w:rsid w:val="00AA1E67"/>
    <w:rsid w:val="00AA2C55"/>
    <w:rsid w:val="00AB51D9"/>
    <w:rsid w:val="00AB6282"/>
    <w:rsid w:val="00AC5B83"/>
    <w:rsid w:val="00AC5E93"/>
    <w:rsid w:val="00AD5246"/>
    <w:rsid w:val="00AD7C15"/>
    <w:rsid w:val="00AE14FB"/>
    <w:rsid w:val="00AE6FD3"/>
    <w:rsid w:val="00AF2A36"/>
    <w:rsid w:val="00AF5B94"/>
    <w:rsid w:val="00AF5FDC"/>
    <w:rsid w:val="00AF75F8"/>
    <w:rsid w:val="00B0785B"/>
    <w:rsid w:val="00B07BB0"/>
    <w:rsid w:val="00B10263"/>
    <w:rsid w:val="00B1114A"/>
    <w:rsid w:val="00B149C6"/>
    <w:rsid w:val="00B17B85"/>
    <w:rsid w:val="00B2003B"/>
    <w:rsid w:val="00B20455"/>
    <w:rsid w:val="00B23CE8"/>
    <w:rsid w:val="00B277FC"/>
    <w:rsid w:val="00B301ED"/>
    <w:rsid w:val="00B30C93"/>
    <w:rsid w:val="00B3163D"/>
    <w:rsid w:val="00B32D16"/>
    <w:rsid w:val="00B35514"/>
    <w:rsid w:val="00B35607"/>
    <w:rsid w:val="00B37DC7"/>
    <w:rsid w:val="00B40FA5"/>
    <w:rsid w:val="00B425DD"/>
    <w:rsid w:val="00B508B7"/>
    <w:rsid w:val="00B565BC"/>
    <w:rsid w:val="00B6021F"/>
    <w:rsid w:val="00B60626"/>
    <w:rsid w:val="00B636EA"/>
    <w:rsid w:val="00B7474E"/>
    <w:rsid w:val="00B750AD"/>
    <w:rsid w:val="00B767AF"/>
    <w:rsid w:val="00B84A7A"/>
    <w:rsid w:val="00B90025"/>
    <w:rsid w:val="00B93152"/>
    <w:rsid w:val="00B979B4"/>
    <w:rsid w:val="00BA2B3E"/>
    <w:rsid w:val="00BA38A1"/>
    <w:rsid w:val="00BA61A3"/>
    <w:rsid w:val="00BA798A"/>
    <w:rsid w:val="00BA7A2E"/>
    <w:rsid w:val="00BB322E"/>
    <w:rsid w:val="00BB3B5B"/>
    <w:rsid w:val="00BB78A6"/>
    <w:rsid w:val="00BD2484"/>
    <w:rsid w:val="00BD2C40"/>
    <w:rsid w:val="00BD3EEA"/>
    <w:rsid w:val="00BE2E94"/>
    <w:rsid w:val="00BE4960"/>
    <w:rsid w:val="00BE6AE4"/>
    <w:rsid w:val="00BF367A"/>
    <w:rsid w:val="00BF739C"/>
    <w:rsid w:val="00C0031E"/>
    <w:rsid w:val="00C11FF6"/>
    <w:rsid w:val="00C217D0"/>
    <w:rsid w:val="00C25372"/>
    <w:rsid w:val="00C26D40"/>
    <w:rsid w:val="00C3656A"/>
    <w:rsid w:val="00C3737B"/>
    <w:rsid w:val="00C42223"/>
    <w:rsid w:val="00C4637B"/>
    <w:rsid w:val="00C60600"/>
    <w:rsid w:val="00C61CBA"/>
    <w:rsid w:val="00C64355"/>
    <w:rsid w:val="00C66389"/>
    <w:rsid w:val="00C717FE"/>
    <w:rsid w:val="00C71AD1"/>
    <w:rsid w:val="00C86BEC"/>
    <w:rsid w:val="00C91555"/>
    <w:rsid w:val="00C92C09"/>
    <w:rsid w:val="00C94767"/>
    <w:rsid w:val="00C96990"/>
    <w:rsid w:val="00CA1EC7"/>
    <w:rsid w:val="00CA2C95"/>
    <w:rsid w:val="00CA4180"/>
    <w:rsid w:val="00CA4D16"/>
    <w:rsid w:val="00CB1C5F"/>
    <w:rsid w:val="00CB3951"/>
    <w:rsid w:val="00CB5F0C"/>
    <w:rsid w:val="00CB6C46"/>
    <w:rsid w:val="00CE369C"/>
    <w:rsid w:val="00CE4742"/>
    <w:rsid w:val="00CF578A"/>
    <w:rsid w:val="00CF5B20"/>
    <w:rsid w:val="00CF6027"/>
    <w:rsid w:val="00D056C5"/>
    <w:rsid w:val="00D059E2"/>
    <w:rsid w:val="00D15144"/>
    <w:rsid w:val="00D20248"/>
    <w:rsid w:val="00D208CB"/>
    <w:rsid w:val="00D260E6"/>
    <w:rsid w:val="00D27FD2"/>
    <w:rsid w:val="00D3194D"/>
    <w:rsid w:val="00D439D8"/>
    <w:rsid w:val="00D52AC4"/>
    <w:rsid w:val="00D57938"/>
    <w:rsid w:val="00D615F6"/>
    <w:rsid w:val="00D64A8A"/>
    <w:rsid w:val="00D6570B"/>
    <w:rsid w:val="00D71D9D"/>
    <w:rsid w:val="00D84515"/>
    <w:rsid w:val="00D852CC"/>
    <w:rsid w:val="00D94645"/>
    <w:rsid w:val="00D952FD"/>
    <w:rsid w:val="00D95A04"/>
    <w:rsid w:val="00D96E64"/>
    <w:rsid w:val="00D975A6"/>
    <w:rsid w:val="00DA04FA"/>
    <w:rsid w:val="00DA2CB4"/>
    <w:rsid w:val="00DA45B9"/>
    <w:rsid w:val="00DA7C5C"/>
    <w:rsid w:val="00DB6E92"/>
    <w:rsid w:val="00DC1CB2"/>
    <w:rsid w:val="00DD0F89"/>
    <w:rsid w:val="00DD6671"/>
    <w:rsid w:val="00E103E3"/>
    <w:rsid w:val="00E12AF3"/>
    <w:rsid w:val="00E163D6"/>
    <w:rsid w:val="00E209B5"/>
    <w:rsid w:val="00E242BE"/>
    <w:rsid w:val="00E25689"/>
    <w:rsid w:val="00E26AAC"/>
    <w:rsid w:val="00E27FD1"/>
    <w:rsid w:val="00E345DB"/>
    <w:rsid w:val="00E378A9"/>
    <w:rsid w:val="00E436A7"/>
    <w:rsid w:val="00E477A6"/>
    <w:rsid w:val="00E50E77"/>
    <w:rsid w:val="00E73DEC"/>
    <w:rsid w:val="00E750D9"/>
    <w:rsid w:val="00E77B3E"/>
    <w:rsid w:val="00E803C6"/>
    <w:rsid w:val="00E90585"/>
    <w:rsid w:val="00E92ADF"/>
    <w:rsid w:val="00E94E7F"/>
    <w:rsid w:val="00E9716F"/>
    <w:rsid w:val="00EA22BE"/>
    <w:rsid w:val="00EB10D2"/>
    <w:rsid w:val="00EB39E0"/>
    <w:rsid w:val="00EB6127"/>
    <w:rsid w:val="00EB6950"/>
    <w:rsid w:val="00EB7271"/>
    <w:rsid w:val="00EC5E00"/>
    <w:rsid w:val="00EC7530"/>
    <w:rsid w:val="00EC7DD1"/>
    <w:rsid w:val="00ED12B8"/>
    <w:rsid w:val="00ED21F5"/>
    <w:rsid w:val="00ED26A0"/>
    <w:rsid w:val="00ED2FBF"/>
    <w:rsid w:val="00EE2990"/>
    <w:rsid w:val="00EE2DA1"/>
    <w:rsid w:val="00EE5667"/>
    <w:rsid w:val="00EF06DC"/>
    <w:rsid w:val="00F15044"/>
    <w:rsid w:val="00F21DF2"/>
    <w:rsid w:val="00F31346"/>
    <w:rsid w:val="00F33B88"/>
    <w:rsid w:val="00F360AF"/>
    <w:rsid w:val="00F41835"/>
    <w:rsid w:val="00F44B42"/>
    <w:rsid w:val="00F519C0"/>
    <w:rsid w:val="00F531F9"/>
    <w:rsid w:val="00F5578A"/>
    <w:rsid w:val="00F62700"/>
    <w:rsid w:val="00F67FFD"/>
    <w:rsid w:val="00F70AC2"/>
    <w:rsid w:val="00F745E5"/>
    <w:rsid w:val="00F76ACA"/>
    <w:rsid w:val="00F77FD4"/>
    <w:rsid w:val="00F85164"/>
    <w:rsid w:val="00F902B0"/>
    <w:rsid w:val="00F916BB"/>
    <w:rsid w:val="00FA20FB"/>
    <w:rsid w:val="00FA21F6"/>
    <w:rsid w:val="00FB3E88"/>
    <w:rsid w:val="00FB61BF"/>
    <w:rsid w:val="00FD32D9"/>
    <w:rsid w:val="00FD7B69"/>
    <w:rsid w:val="00FE0904"/>
    <w:rsid w:val="00FE4267"/>
    <w:rsid w:val="00FE58A8"/>
    <w:rsid w:val="00FF1A40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F8671"/>
  <w15:docId w15:val="{E018A603-213F-42E5-8C5A-8F42A0B5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05A0"/>
    <w:rPr>
      <w:rFonts w:ascii="Arial" w:hAnsi="Arial" w:cs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003BC9"/>
    <w:pPr>
      <w:keepNext/>
      <w:spacing w:before="120"/>
      <w:jc w:val="center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qFormat/>
    <w:rsid w:val="00B3551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69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03BC9"/>
    <w:rPr>
      <w:rFonts w:ascii="Arial" w:hAnsi="Arial" w:cs="Arial"/>
      <w:b/>
      <w:snapToGrid w:val="0"/>
      <w:sz w:val="28"/>
      <w:szCs w:val="24"/>
    </w:rPr>
  </w:style>
  <w:style w:type="paragraph" w:styleId="Nzev">
    <w:name w:val="Title"/>
    <w:basedOn w:val="Normln"/>
    <w:link w:val="NzevChar"/>
    <w:qFormat/>
    <w:rsid w:val="00BA61A3"/>
    <w:pPr>
      <w:jc w:val="center"/>
    </w:pPr>
    <w:rPr>
      <w:b/>
      <w:smallCaps/>
      <w:sz w:val="32"/>
    </w:rPr>
  </w:style>
  <w:style w:type="character" w:customStyle="1" w:styleId="NzevChar">
    <w:name w:val="Název Char"/>
    <w:link w:val="Nzev"/>
    <w:rsid w:val="00BA61A3"/>
    <w:rPr>
      <w:rFonts w:ascii="Arial" w:hAnsi="Arial" w:cs="Arial"/>
      <w:b/>
      <w:smallCap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46FE4"/>
    <w:pPr>
      <w:numPr>
        <w:numId w:val="12"/>
      </w:numPr>
      <w:spacing w:after="120"/>
      <w:contextualSpacing/>
      <w:jc w:val="both"/>
    </w:pPr>
  </w:style>
  <w:style w:type="paragraph" w:styleId="Zhlav">
    <w:name w:val="header"/>
    <w:basedOn w:val="Normln"/>
    <w:link w:val="ZhlavChar"/>
    <w:uiPriority w:val="99"/>
    <w:rsid w:val="00212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2640"/>
    <w:rPr>
      <w:sz w:val="24"/>
    </w:rPr>
  </w:style>
  <w:style w:type="paragraph" w:styleId="Zpat">
    <w:name w:val="footer"/>
    <w:basedOn w:val="Normln"/>
    <w:link w:val="ZpatChar"/>
    <w:uiPriority w:val="99"/>
    <w:rsid w:val="0021264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2640"/>
    <w:rPr>
      <w:sz w:val="24"/>
    </w:rPr>
  </w:style>
  <w:style w:type="table" w:styleId="Mkatabulky">
    <w:name w:val="Table Grid"/>
    <w:basedOn w:val="Normlntabulka"/>
    <w:uiPriority w:val="39"/>
    <w:rsid w:val="0047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aslolnku">
    <w:name w:val="Název a číslo článku"/>
    <w:basedOn w:val="Normln"/>
    <w:next w:val="Normln"/>
    <w:qFormat/>
    <w:rsid w:val="000770F9"/>
    <w:pPr>
      <w:keepNext/>
      <w:spacing w:before="360" w:after="240"/>
      <w:contextualSpacing/>
      <w:jc w:val="center"/>
    </w:pPr>
    <w:rPr>
      <w:rFonts w:cs="Times New Roman"/>
      <w:b/>
      <w:sz w:val="24"/>
      <w:szCs w:val="20"/>
    </w:rPr>
  </w:style>
  <w:style w:type="paragraph" w:customStyle="1" w:styleId="lnek00">
    <w:name w:val="Článek 00"/>
    <w:basedOn w:val="Normln"/>
    <w:qFormat/>
    <w:rsid w:val="00646FE4"/>
    <w:pPr>
      <w:numPr>
        <w:numId w:val="13"/>
      </w:numPr>
      <w:spacing w:after="120"/>
      <w:ind w:left="426" w:hanging="426"/>
      <w:jc w:val="both"/>
    </w:pPr>
    <w:rPr>
      <w:rFonts w:cs="Times New Roman"/>
      <w:szCs w:val="20"/>
    </w:rPr>
  </w:style>
  <w:style w:type="paragraph" w:customStyle="1" w:styleId="lnek01">
    <w:name w:val="Článek 01"/>
    <w:basedOn w:val="Normln"/>
    <w:qFormat/>
    <w:rsid w:val="00320CE9"/>
    <w:pPr>
      <w:numPr>
        <w:numId w:val="1"/>
      </w:numPr>
      <w:spacing w:after="120"/>
      <w:ind w:left="426" w:hanging="426"/>
      <w:jc w:val="both"/>
    </w:pPr>
    <w:rPr>
      <w:rFonts w:cs="Times New Roman"/>
      <w:szCs w:val="20"/>
    </w:rPr>
  </w:style>
  <w:style w:type="paragraph" w:customStyle="1" w:styleId="lnek02">
    <w:name w:val="Článek 02"/>
    <w:basedOn w:val="Normln"/>
    <w:qFormat/>
    <w:rsid w:val="00584959"/>
    <w:pPr>
      <w:numPr>
        <w:numId w:val="2"/>
      </w:numPr>
      <w:spacing w:after="120"/>
      <w:ind w:left="425" w:hanging="425"/>
      <w:jc w:val="both"/>
    </w:pPr>
  </w:style>
  <w:style w:type="paragraph" w:customStyle="1" w:styleId="lnek03">
    <w:name w:val="Článek 03"/>
    <w:basedOn w:val="Normln"/>
    <w:qFormat/>
    <w:rsid w:val="0010022C"/>
    <w:pPr>
      <w:numPr>
        <w:numId w:val="3"/>
      </w:numPr>
      <w:spacing w:after="120"/>
      <w:ind w:left="425" w:hanging="425"/>
      <w:jc w:val="both"/>
    </w:pPr>
  </w:style>
  <w:style w:type="paragraph" w:customStyle="1" w:styleId="lnek04">
    <w:name w:val="Článek 04"/>
    <w:basedOn w:val="Normln"/>
    <w:qFormat/>
    <w:rsid w:val="0025028D"/>
    <w:pPr>
      <w:numPr>
        <w:numId w:val="4"/>
      </w:numPr>
      <w:spacing w:after="120"/>
      <w:ind w:left="426" w:hanging="426"/>
      <w:jc w:val="both"/>
    </w:pPr>
  </w:style>
  <w:style w:type="paragraph" w:customStyle="1" w:styleId="lnek05">
    <w:name w:val="Článek 05"/>
    <w:basedOn w:val="Normln"/>
    <w:qFormat/>
    <w:rsid w:val="00812626"/>
    <w:pPr>
      <w:numPr>
        <w:numId w:val="5"/>
      </w:numPr>
      <w:spacing w:after="120"/>
      <w:ind w:left="426" w:hanging="426"/>
      <w:jc w:val="both"/>
    </w:pPr>
  </w:style>
  <w:style w:type="paragraph" w:customStyle="1" w:styleId="lnek06">
    <w:name w:val="Článek 06"/>
    <w:basedOn w:val="Normln"/>
    <w:qFormat/>
    <w:rsid w:val="00986734"/>
    <w:pPr>
      <w:numPr>
        <w:numId w:val="6"/>
      </w:numPr>
      <w:spacing w:after="120"/>
      <w:ind w:left="426" w:hanging="426"/>
      <w:jc w:val="both"/>
    </w:pPr>
  </w:style>
  <w:style w:type="paragraph" w:customStyle="1" w:styleId="lnek07">
    <w:name w:val="Článek 07"/>
    <w:basedOn w:val="Normln"/>
    <w:qFormat/>
    <w:rsid w:val="00986734"/>
    <w:pPr>
      <w:numPr>
        <w:numId w:val="7"/>
      </w:numPr>
      <w:spacing w:after="120"/>
      <w:ind w:left="426" w:hanging="426"/>
      <w:jc w:val="both"/>
    </w:pPr>
  </w:style>
  <w:style w:type="paragraph" w:customStyle="1" w:styleId="lnek08">
    <w:name w:val="Článek 08"/>
    <w:basedOn w:val="Normln"/>
    <w:qFormat/>
    <w:rsid w:val="003F3BBE"/>
    <w:pPr>
      <w:numPr>
        <w:numId w:val="8"/>
      </w:numPr>
      <w:spacing w:after="120"/>
      <w:ind w:left="426" w:hanging="426"/>
      <w:jc w:val="both"/>
    </w:pPr>
  </w:style>
  <w:style w:type="paragraph" w:customStyle="1" w:styleId="lnek09">
    <w:name w:val="Článek 09"/>
    <w:basedOn w:val="Normln"/>
    <w:qFormat/>
    <w:rsid w:val="001A7DD1"/>
    <w:pPr>
      <w:numPr>
        <w:numId w:val="9"/>
      </w:numPr>
      <w:spacing w:after="120"/>
      <w:ind w:left="426" w:hanging="426"/>
      <w:jc w:val="both"/>
    </w:pPr>
    <w:rPr>
      <w:rFonts w:eastAsia="Calibri"/>
    </w:rPr>
  </w:style>
  <w:style w:type="paragraph" w:customStyle="1" w:styleId="lnek10">
    <w:name w:val="Článek 10"/>
    <w:basedOn w:val="Normln"/>
    <w:qFormat/>
    <w:rsid w:val="001A7DD1"/>
    <w:pPr>
      <w:numPr>
        <w:numId w:val="10"/>
      </w:numPr>
      <w:spacing w:after="120"/>
      <w:ind w:left="426" w:hanging="426"/>
      <w:jc w:val="both"/>
    </w:pPr>
  </w:style>
  <w:style w:type="numbering" w:customStyle="1" w:styleId="Bezseznamu1">
    <w:name w:val="Bez seznamu1"/>
    <w:next w:val="Bezseznamu"/>
    <w:uiPriority w:val="99"/>
    <w:semiHidden/>
    <w:unhideWhenUsed/>
    <w:rsid w:val="00D6570B"/>
  </w:style>
  <w:style w:type="character" w:styleId="slostrnky">
    <w:name w:val="page number"/>
    <w:rsid w:val="00D6570B"/>
  </w:style>
  <w:style w:type="table" w:customStyle="1" w:styleId="Mkatabulky1">
    <w:name w:val="Mřížka tabulky1"/>
    <w:basedOn w:val="Normlntabulka"/>
    <w:next w:val="Mkatabulky"/>
    <w:uiPriority w:val="59"/>
    <w:rsid w:val="00D6570B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11">
    <w:name w:val="Článek 11"/>
    <w:basedOn w:val="Normln"/>
    <w:qFormat/>
    <w:rsid w:val="00826B98"/>
    <w:pPr>
      <w:numPr>
        <w:numId w:val="11"/>
      </w:numPr>
      <w:spacing w:after="120"/>
      <w:ind w:left="425" w:hanging="425"/>
      <w:jc w:val="both"/>
    </w:pPr>
  </w:style>
  <w:style w:type="paragraph" w:styleId="Textbubliny">
    <w:name w:val="Balloon Text"/>
    <w:basedOn w:val="Normln"/>
    <w:link w:val="TextbublinyChar"/>
    <w:uiPriority w:val="99"/>
    <w:rsid w:val="00ED2F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2FBF"/>
    <w:rPr>
      <w:rFonts w:ascii="Segoe UI" w:hAnsi="Segoe UI" w:cs="Segoe UI"/>
      <w:sz w:val="18"/>
      <w:szCs w:val="18"/>
    </w:rPr>
  </w:style>
  <w:style w:type="paragraph" w:customStyle="1" w:styleId="lnek12">
    <w:name w:val="Článek 12"/>
    <w:basedOn w:val="Normln"/>
    <w:qFormat/>
    <w:rsid w:val="00CF5B20"/>
    <w:pPr>
      <w:numPr>
        <w:numId w:val="16"/>
      </w:numPr>
      <w:spacing w:after="120"/>
      <w:ind w:left="425" w:hanging="425"/>
      <w:jc w:val="both"/>
    </w:pPr>
  </w:style>
  <w:style w:type="character" w:styleId="Odkaznakoment">
    <w:name w:val="annotation reference"/>
    <w:basedOn w:val="Standardnpsmoodstavce"/>
    <w:semiHidden/>
    <w:unhideWhenUsed/>
    <w:rsid w:val="00BA7A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A7A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A7A2E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A7A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A7A2E"/>
    <w:rPr>
      <w:rFonts w:ascii="Arial" w:hAnsi="Arial" w:cs="Arial"/>
      <w:b/>
      <w:bCs/>
    </w:rPr>
  </w:style>
  <w:style w:type="paragraph" w:styleId="Bezmezer">
    <w:name w:val="No Spacing"/>
    <w:uiPriority w:val="1"/>
    <w:qFormat/>
    <w:rsid w:val="006B3F3F"/>
    <w:rPr>
      <w:sz w:val="24"/>
      <w:szCs w:val="24"/>
    </w:rPr>
  </w:style>
  <w:style w:type="paragraph" w:customStyle="1" w:styleId="lnek14">
    <w:name w:val="Článek 14"/>
    <w:basedOn w:val="Normln"/>
    <w:qFormat/>
    <w:rsid w:val="006B3F3F"/>
    <w:pPr>
      <w:numPr>
        <w:numId w:val="17"/>
      </w:numPr>
      <w:spacing w:after="120"/>
      <w:ind w:left="426" w:hanging="426"/>
      <w:jc w:val="both"/>
    </w:pPr>
    <w:rPr>
      <w:rFonts w:cs="Times New Roman"/>
      <w:szCs w:val="20"/>
    </w:rPr>
  </w:style>
  <w:style w:type="paragraph" w:customStyle="1" w:styleId="Nzevplohy">
    <w:name w:val="Název přílohy"/>
    <w:basedOn w:val="Normln"/>
    <w:qFormat/>
    <w:rsid w:val="00840871"/>
    <w:pPr>
      <w:spacing w:after="240"/>
      <w:jc w:val="center"/>
    </w:pPr>
    <w:rPr>
      <w:rFonts w:cs="Times New Roman"/>
      <w:b/>
      <w:sz w:val="24"/>
      <w:szCs w:val="20"/>
    </w:rPr>
  </w:style>
  <w:style w:type="paragraph" w:styleId="Zkladntext">
    <w:name w:val="Body Text"/>
    <w:basedOn w:val="Normln"/>
    <w:link w:val="ZkladntextChar"/>
    <w:rsid w:val="008B75C1"/>
    <w:pPr>
      <w:widowControl w:val="0"/>
      <w:jc w:val="both"/>
    </w:pPr>
    <w:rPr>
      <w:rFonts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B75C1"/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semiHidden/>
    <w:rsid w:val="00EB69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lolnku">
    <w:name w:val="Číslo článku"/>
    <w:basedOn w:val="Normln"/>
    <w:qFormat/>
    <w:rsid w:val="00EB6950"/>
    <w:pPr>
      <w:keepNext/>
      <w:spacing w:before="600"/>
      <w:jc w:val="center"/>
    </w:pPr>
    <w:rPr>
      <w:rFonts w:eastAsia="Calibri"/>
      <w:b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89171F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9B9A-17E9-4EC4-98CB-E1B83D96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3792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Novotný Pavel, JUDr., Ing.</dc:creator>
  <cp:keywords/>
  <cp:lastModifiedBy>Hrubý Josef, Ing.</cp:lastModifiedBy>
  <cp:revision>31</cp:revision>
  <cp:lastPrinted>2019-12-04T12:38:00Z</cp:lastPrinted>
  <dcterms:created xsi:type="dcterms:W3CDTF">2019-11-08T10:42:00Z</dcterms:created>
  <dcterms:modified xsi:type="dcterms:W3CDTF">2020-03-03T11:38:00Z</dcterms:modified>
</cp:coreProperties>
</file>