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Zkladntext"/>
        <w:ind w:left="4211"/>
        <w:jc w:val="left"/>
        <w:rPr>
          <w:rFonts w:ascii="Times New Roman"/>
          <w:sz w:val="20"/>
          <w:lang w:val="cs-CZ"/>
        </w:rPr>
      </w:pPr>
      <w:r>
        <w:rPr>
          <w:rFonts w:ascii="Times New Roman"/>
          <w:noProof/>
          <w:sz w:val="20"/>
          <w:lang w:val="cs-CZ" w:eastAsia="cs-CZ"/>
        </w:rPr>
        <w:drawing>
          <wp:inline distT="0" distB="0" distL="0" distR="0">
            <wp:extent cx="1711519" cy="6827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11519" cy="682751"/>
                    </a:xfrm>
                    <a:prstGeom prst="rect">
                      <a:avLst/>
                    </a:prstGeom>
                  </pic:spPr>
                </pic:pic>
              </a:graphicData>
            </a:graphic>
          </wp:inline>
        </w:drawing>
      </w:r>
    </w:p>
    <w:p>
      <w:pPr>
        <w:pStyle w:val="Nadpis3"/>
        <w:spacing w:before="78"/>
        <w:ind w:left="0" w:right="704" w:firstLine="0"/>
        <w:jc w:val="right"/>
        <w:rPr>
          <w:lang w:val="cs-CZ"/>
        </w:rPr>
      </w:pPr>
      <w:proofErr w:type="gramStart"/>
      <w:r>
        <w:rPr>
          <w:lang w:val="cs-CZ"/>
        </w:rPr>
        <w:t>Č.j.</w:t>
      </w:r>
      <w:proofErr w:type="gramEnd"/>
      <w:r>
        <w:rPr>
          <w:lang w:val="cs-CZ"/>
        </w:rPr>
        <w:t>:</w:t>
      </w:r>
      <w:r>
        <w:rPr>
          <w:spacing w:val="-6"/>
          <w:lang w:val="cs-CZ"/>
        </w:rPr>
        <w:t xml:space="preserve"> </w:t>
      </w:r>
      <w:r>
        <w:rPr>
          <w:lang w:val="cs-CZ"/>
        </w:rPr>
        <w:t>4151/SFDI/350135/17211/2019</w:t>
      </w:r>
    </w:p>
    <w:p>
      <w:pPr>
        <w:spacing w:before="62"/>
        <w:ind w:right="704"/>
        <w:jc w:val="right"/>
        <w:rPr>
          <w:rFonts w:ascii="Times New Roman"/>
          <w:lang w:val="cs-CZ"/>
        </w:rPr>
      </w:pPr>
      <w:r>
        <w:rPr>
          <w:rFonts w:ascii="Times New Roman"/>
          <w:lang w:val="cs-CZ"/>
        </w:rPr>
        <w:t>CES SFDI:</w:t>
      </w:r>
      <w:r>
        <w:rPr>
          <w:rFonts w:ascii="Times New Roman"/>
          <w:spacing w:val="-1"/>
          <w:lang w:val="cs-CZ"/>
        </w:rPr>
        <w:t xml:space="preserve"> </w:t>
      </w:r>
      <w:r>
        <w:rPr>
          <w:rFonts w:ascii="Times New Roman"/>
          <w:lang w:val="cs-CZ"/>
        </w:rPr>
        <w:t>48/2019</w:t>
      </w:r>
    </w:p>
    <w:p>
      <w:pPr>
        <w:pStyle w:val="Zkladntext"/>
        <w:ind w:left="0"/>
        <w:jc w:val="left"/>
        <w:rPr>
          <w:rFonts w:ascii="Times New Roman"/>
          <w:sz w:val="20"/>
          <w:lang w:val="cs-CZ"/>
        </w:rPr>
      </w:pPr>
    </w:p>
    <w:p>
      <w:pPr>
        <w:pStyle w:val="Zkladntext"/>
        <w:ind w:left="0"/>
        <w:jc w:val="left"/>
        <w:rPr>
          <w:rFonts w:ascii="Times New Roman"/>
          <w:sz w:val="17"/>
          <w:lang w:val="cs-CZ"/>
        </w:rPr>
      </w:pPr>
      <w:r>
        <w:rPr>
          <w:noProof/>
          <w:lang w:val="cs-CZ" w:eastAsia="cs-CZ"/>
        </w:rPr>
        <mc:AlternateContent>
          <mc:Choice Requires="wps">
            <w:drawing>
              <wp:anchor distT="0" distB="0" distL="0" distR="0" simplePos="0" relativeHeight="251655680" behindDoc="1" locked="0" layoutInCell="1" allowOverlap="1">
                <wp:simplePos x="0" y="0"/>
                <wp:positionH relativeFrom="page">
                  <wp:posOffset>701040</wp:posOffset>
                </wp:positionH>
                <wp:positionV relativeFrom="paragraph">
                  <wp:posOffset>154305</wp:posOffset>
                </wp:positionV>
                <wp:extent cx="6156960" cy="0"/>
                <wp:effectExtent l="5715" t="11430" r="9525" b="7620"/>
                <wp:wrapTopAndBottom/>
                <wp:docPr id="2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9143">
                          <a:solidFill>
                            <a:srgbClr val="7F807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2.15pt" to="540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" strokecolor="#7f807f" strokeweight=".25397mm">
                <w10:wrap type="topAndBottom" anchorx="page"/>
              </v:line>
            </w:pict>
          </mc:Fallback>
        </mc:AlternateContent>
      </w:r>
    </w:p>
    <w:p>
      <w:pPr>
        <w:pStyle w:val="Zkladntext"/>
        <w:ind w:left="0"/>
        <w:jc w:val="left"/>
        <w:rPr>
          <w:rFonts w:ascii="Times New Roman"/>
          <w:sz w:val="20"/>
          <w:lang w:val="cs-CZ"/>
        </w:rPr>
      </w:pPr>
    </w:p>
    <w:p>
      <w:pPr>
        <w:pStyle w:val="Zkladntext"/>
        <w:ind w:left="0"/>
        <w:jc w:val="left"/>
        <w:rPr>
          <w:rFonts w:ascii="Times New Roman"/>
          <w:sz w:val="20"/>
          <w:lang w:val="cs-CZ"/>
        </w:rPr>
      </w:pPr>
    </w:p>
    <w:p>
      <w:pPr>
        <w:spacing w:before="239"/>
        <w:ind w:left="1728" w:right="873"/>
        <w:jc w:val="center"/>
        <w:rPr>
          <w:rFonts w:ascii="Arial" w:hAnsi="Arial"/>
          <w:b/>
          <w:sz w:val="40"/>
          <w:lang w:val="cs-CZ"/>
        </w:rPr>
      </w:pPr>
      <w:r>
        <w:rPr>
          <w:rFonts w:ascii="Arial" w:hAnsi="Arial"/>
          <w:b/>
          <w:sz w:val="40"/>
          <w:lang w:val="cs-CZ"/>
        </w:rPr>
        <w:t>Smlouva na poskytování služeb</w:t>
      </w:r>
    </w:p>
    <w:p>
      <w:pPr>
        <w:spacing w:before="361"/>
        <w:ind w:left="1728" w:right="763"/>
        <w:jc w:val="center"/>
        <w:rPr>
          <w:rFonts w:ascii="Arial" w:hAnsi="Arial"/>
          <w:b/>
          <w:sz w:val="40"/>
          <w:lang w:val="cs-CZ"/>
        </w:rPr>
      </w:pPr>
      <w:r>
        <w:rPr>
          <w:rFonts w:ascii="Arial" w:hAnsi="Arial"/>
          <w:b/>
          <w:sz w:val="40"/>
          <w:lang w:val="cs-CZ"/>
        </w:rPr>
        <w:t xml:space="preserve">„Microsoft </w:t>
      </w:r>
      <w:proofErr w:type="spellStart"/>
      <w:r>
        <w:rPr>
          <w:rFonts w:ascii="Arial" w:hAnsi="Arial"/>
          <w:b/>
          <w:sz w:val="40"/>
          <w:lang w:val="cs-CZ"/>
        </w:rPr>
        <w:t>Premier</w:t>
      </w:r>
      <w:proofErr w:type="spellEnd"/>
      <w:r>
        <w:rPr>
          <w:rFonts w:ascii="Arial" w:hAnsi="Arial"/>
          <w:b/>
          <w:sz w:val="40"/>
          <w:lang w:val="cs-CZ"/>
        </w:rPr>
        <w:t xml:space="preserve"> Support“</w:t>
      </w:r>
    </w:p>
    <w:p>
      <w:pPr>
        <w:pStyle w:val="Zkladntext"/>
        <w:ind w:left="0"/>
        <w:jc w:val="left"/>
        <w:rPr>
          <w:rFonts w:ascii="Arial"/>
          <w:b/>
          <w:sz w:val="44"/>
          <w:lang w:val="cs-CZ"/>
        </w:rPr>
      </w:pPr>
    </w:p>
    <w:p>
      <w:pPr>
        <w:pStyle w:val="Nadpis1"/>
        <w:numPr>
          <w:ilvl w:val="0"/>
          <w:numId w:val="18"/>
        </w:numPr>
        <w:tabs>
          <w:tab w:val="left" w:pos="4737"/>
          <w:tab w:val="left" w:pos="4738"/>
        </w:tabs>
        <w:spacing w:before="266"/>
        <w:ind w:hanging="708"/>
        <w:jc w:val="left"/>
        <w:rPr>
          <w:lang w:val="cs-CZ"/>
        </w:rPr>
      </w:pPr>
      <w:r>
        <w:rPr>
          <w:lang w:val="cs-CZ"/>
        </w:rPr>
        <w:t>Smluvní</w:t>
      </w:r>
      <w:r>
        <w:rPr>
          <w:spacing w:val="-1"/>
          <w:lang w:val="cs-CZ"/>
        </w:rPr>
        <w:t xml:space="preserve"> </w:t>
      </w:r>
      <w:r>
        <w:rPr>
          <w:lang w:val="cs-CZ"/>
        </w:rPr>
        <w:t>strany</w:t>
      </w:r>
    </w:p>
    <w:p>
      <w:pPr>
        <w:spacing w:before="238"/>
        <w:ind w:left="712"/>
        <w:rPr>
          <w:rFonts w:ascii="Times New Roman" w:hAnsi="Times New Roman"/>
          <w:lang w:val="cs-CZ"/>
        </w:rPr>
      </w:pPr>
      <w:r>
        <w:rPr>
          <w:noProof/>
          <w:lang w:val="cs-CZ" w:eastAsia="cs-CZ"/>
        </w:rPr>
        <mc:AlternateContent>
          <mc:Choice Requires="wps">
            <w:drawing>
              <wp:anchor distT="0" distB="0" distL="114300" distR="114300" simplePos="0" relativeHeight="251652608" behindDoc="0" locked="0" layoutInCell="1" allowOverlap="1">
                <wp:simplePos x="0" y="0"/>
                <wp:positionH relativeFrom="page">
                  <wp:posOffset>756285</wp:posOffset>
                </wp:positionH>
                <wp:positionV relativeFrom="paragraph">
                  <wp:posOffset>316865</wp:posOffset>
                </wp:positionV>
                <wp:extent cx="5196840" cy="798830"/>
                <wp:effectExtent l="3810" t="2540" r="0" b="0"/>
                <wp:wrapNone/>
                <wp:docPr id="2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798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1982"/>
                              <w:gridCol w:w="2682"/>
                              <w:gridCol w:w="1781"/>
                              <w:gridCol w:w="1740"/>
                            </w:tblGrid>
                            <w:tr>
                              <w:trPr>
                                <w:trHeight w:val="755"/>
                              </w:trPr>
                              <w:tc>
                                <w:tcPr>
                                  <w:tcW w:w="1982" w:type="dxa"/>
                                </w:tcPr>
                                <w:p>
                                  <w:pPr>
                                    <w:pStyle w:val="TableParagraph"/>
                                    <w:spacing w:line="244" w:lineRule="exact"/>
                                    <w:ind w:left="50"/>
                                    <w:rPr>
                                      <w:rFonts w:ascii="Times New Roman" w:hAnsi="Times New Roman"/>
                                    </w:rPr>
                                  </w:pPr>
                                  <w:proofErr w:type="spellStart"/>
                                  <w:r>
                                    <w:rPr>
                                      <w:rFonts w:ascii="Times New Roman" w:hAnsi="Times New Roman"/>
                                    </w:rPr>
                                    <w:t>Sídlo</w:t>
                                  </w:r>
                                  <w:proofErr w:type="spellEnd"/>
                                  <w:r>
                                    <w:rPr>
                                      <w:rFonts w:ascii="Times New Roman" w:hAnsi="Times New Roman"/>
                                    </w:rPr>
                                    <w:t>:</w:t>
                                  </w:r>
                                </w:p>
                                <w:p>
                                  <w:pPr>
                                    <w:pStyle w:val="TableParagraph"/>
                                    <w:spacing w:before="5" w:line="252" w:lineRule="exact"/>
                                    <w:ind w:left="50" w:right="677"/>
                                    <w:rPr>
                                      <w:rFonts w:ascii="Times New Roman" w:hAnsi="Times New Roman"/>
                                    </w:rPr>
                                  </w:pPr>
                                  <w:proofErr w:type="spellStart"/>
                                  <w:r>
                                    <w:rPr>
                                      <w:rFonts w:ascii="Times New Roman" w:hAnsi="Times New Roman"/>
                                    </w:rPr>
                                    <w:t>Jednající</w:t>
                                  </w:r>
                                  <w:proofErr w:type="spellEnd"/>
                                  <w:r>
                                    <w:rPr>
                                      <w:rFonts w:ascii="Times New Roman" w:hAnsi="Times New Roman"/>
                                    </w:rPr>
                                    <w:t xml:space="preserve">: bank. </w:t>
                                  </w:r>
                                  <w:proofErr w:type="spellStart"/>
                                  <w:r>
                                    <w:rPr>
                                      <w:rFonts w:ascii="Times New Roman" w:hAnsi="Times New Roman"/>
                                    </w:rPr>
                                    <w:t>spojení</w:t>
                                  </w:r>
                                  <w:proofErr w:type="spellEnd"/>
                                  <w:r>
                                    <w:rPr>
                                      <w:rFonts w:ascii="Times New Roman" w:hAnsi="Times New Roman"/>
                                    </w:rPr>
                                    <w:t>:</w:t>
                                  </w:r>
                                </w:p>
                              </w:tc>
                              <w:tc>
                                <w:tcPr>
                                  <w:tcW w:w="2682" w:type="dxa"/>
                                </w:tcPr>
                                <w:p>
                                  <w:pPr>
                                    <w:pStyle w:val="TableParagraph"/>
                                    <w:spacing w:line="244" w:lineRule="exact"/>
                                    <w:ind w:left="696"/>
                                    <w:rPr>
                                      <w:rFonts w:ascii="Times New Roman" w:hAnsi="Times New Roman"/>
                                    </w:rPr>
                                  </w:pPr>
                                  <w:proofErr w:type="spellStart"/>
                                  <w:r>
                                    <w:rPr>
                                      <w:rFonts w:ascii="Times New Roman" w:hAnsi="Times New Roman"/>
                                    </w:rPr>
                                    <w:t>Sokolovská</w:t>
                                  </w:r>
                                  <w:proofErr w:type="spellEnd"/>
                                  <w:r>
                                    <w:rPr>
                                      <w:rFonts w:ascii="Times New Roman" w:hAnsi="Times New Roman"/>
                                    </w:rPr>
                                    <w:t xml:space="preserve"> 1955/278,</w:t>
                                  </w:r>
                                </w:p>
                                <w:p>
                                  <w:pPr>
                                    <w:pStyle w:val="TableParagraph"/>
                                    <w:spacing w:before="5" w:line="252" w:lineRule="exact"/>
                                    <w:ind w:left="696" w:right="23"/>
                                    <w:rPr>
                                      <w:rFonts w:ascii="Times New Roman" w:hAnsi="Times New Roman"/>
                                    </w:rPr>
                                  </w:pPr>
                                  <w:r>
                                    <w:rPr>
                                      <w:rFonts w:ascii="Times New Roman" w:hAnsi="Times New Roman"/>
                                    </w:rPr>
                                    <w:t xml:space="preserve">Ing. </w:t>
                                  </w:r>
                                  <w:proofErr w:type="spellStart"/>
                                  <w:r>
                                    <w:rPr>
                                      <w:rFonts w:ascii="Times New Roman" w:hAnsi="Times New Roman"/>
                                    </w:rPr>
                                    <w:t>Zbyňek</w:t>
                                  </w:r>
                                  <w:proofErr w:type="spellEnd"/>
                                  <w:r>
                                    <w:rPr>
                                      <w:rFonts w:ascii="Times New Roman" w:hAnsi="Times New Roman"/>
                                    </w:rPr>
                                    <w:t xml:space="preserve"> Hořelica, xxx</w:t>
                                  </w:r>
                                </w:p>
                              </w:tc>
                              <w:tc>
                                <w:tcPr>
                                  <w:tcW w:w="1781" w:type="dxa"/>
                                </w:tcPr>
                                <w:p>
                                  <w:pPr>
                                    <w:pStyle w:val="TableParagraph"/>
                                    <w:spacing w:line="242" w:lineRule="auto"/>
                                    <w:ind w:left="13" w:right="396" w:firstLine="26"/>
                                    <w:rPr>
                                      <w:rFonts w:ascii="Times New Roman" w:hAnsi="Times New Roman"/>
                                    </w:rPr>
                                  </w:pPr>
                                  <w:r>
                                    <w:rPr>
                                      <w:rFonts w:ascii="Times New Roman" w:hAnsi="Times New Roman"/>
                                    </w:rPr>
                                    <w:t xml:space="preserve">190 00 Praha 9 </w:t>
                                  </w:r>
                                  <w:proofErr w:type="spellStart"/>
                                  <w:r>
                                    <w:rPr>
                                      <w:rFonts w:ascii="Times New Roman" w:hAnsi="Times New Roman"/>
                                    </w:rPr>
                                    <w:t>ředitel</w:t>
                                  </w:r>
                                  <w:proofErr w:type="spellEnd"/>
                                </w:p>
                                <w:p>
                                  <w:pPr>
                                    <w:pStyle w:val="TableParagraph"/>
                                    <w:spacing w:line="233" w:lineRule="exact"/>
                                    <w:ind w:left="246"/>
                                    <w:rPr>
                                      <w:rFonts w:ascii="Times New Roman" w:hAnsi="Times New Roman"/>
                                    </w:rPr>
                                  </w:pPr>
                                  <w:proofErr w:type="spellStart"/>
                                  <w:r>
                                    <w:rPr>
                                      <w:rFonts w:ascii="Times New Roman" w:hAnsi="Times New Roman"/>
                                    </w:rPr>
                                    <w:t>číslo</w:t>
                                  </w:r>
                                  <w:proofErr w:type="spellEnd"/>
                                  <w:r>
                                    <w:rPr>
                                      <w:rFonts w:ascii="Times New Roman" w:hAnsi="Times New Roman"/>
                                    </w:rPr>
                                    <w:t xml:space="preserve"> </w:t>
                                  </w:r>
                                  <w:proofErr w:type="spellStart"/>
                                  <w:r>
                                    <w:rPr>
                                      <w:rFonts w:ascii="Times New Roman" w:hAnsi="Times New Roman"/>
                                    </w:rPr>
                                    <w:t>účtu</w:t>
                                  </w:r>
                                  <w:proofErr w:type="spellEnd"/>
                                  <w:r>
                                    <w:rPr>
                                      <w:rFonts w:ascii="Times New Roman" w:hAnsi="Times New Roman"/>
                                    </w:rPr>
                                    <w:t>:</w:t>
                                  </w:r>
                                </w:p>
                              </w:tc>
                              <w:tc>
                                <w:tcPr>
                                  <w:tcW w:w="1740" w:type="dxa"/>
                                </w:tcPr>
                                <w:p>
                                  <w:pPr>
                                    <w:pStyle w:val="TableParagraph"/>
                                    <w:spacing w:line="240" w:lineRule="auto"/>
                                    <w:ind w:left="0"/>
                                    <w:rPr>
                                      <w:rFonts w:ascii="Times New Roman"/>
                                      <w:sz w:val="24"/>
                                    </w:rPr>
                                  </w:pPr>
                                </w:p>
                                <w:p>
                                  <w:pPr>
                                    <w:pStyle w:val="TableParagraph"/>
                                    <w:spacing w:before="3" w:line="240" w:lineRule="auto"/>
                                    <w:ind w:left="0"/>
                                    <w:rPr>
                                      <w:rFonts w:ascii="Times New Roman"/>
                                      <w:sz w:val="19"/>
                                    </w:rPr>
                                  </w:pPr>
                                </w:p>
                                <w:p>
                                  <w:pPr>
                                    <w:pStyle w:val="TableParagraph"/>
                                    <w:spacing w:line="238" w:lineRule="exact"/>
                                    <w:ind w:left="413"/>
                                    <w:rPr>
                                      <w:rFonts w:ascii="Times New Roman"/>
                                    </w:rPr>
                                  </w:pPr>
                                  <w:r>
                                    <w:rPr>
                                      <w:rFonts w:ascii="Times New Roman"/>
                                    </w:rPr>
                                    <w:t>xxx</w:t>
                                  </w:r>
                                </w:p>
                              </w:tc>
                            </w:tr>
                            <w:tr>
                              <w:trPr>
                                <w:trHeight w:val="253"/>
                              </w:trPr>
                              <w:tc>
                                <w:tcPr>
                                  <w:tcW w:w="1982" w:type="dxa"/>
                                </w:tcPr>
                                <w:p>
                                  <w:pPr>
                                    <w:pStyle w:val="TableParagraph"/>
                                    <w:spacing w:line="240" w:lineRule="auto"/>
                                    <w:ind w:left="0"/>
                                    <w:rPr>
                                      <w:rFonts w:ascii="Times New Roman"/>
                                      <w:sz w:val="18"/>
                                    </w:rPr>
                                  </w:pPr>
                                </w:p>
                              </w:tc>
                              <w:tc>
                                <w:tcPr>
                                  <w:tcW w:w="2682" w:type="dxa"/>
                                </w:tcPr>
                                <w:p>
                                  <w:pPr>
                                    <w:pStyle w:val="TableParagraph"/>
                                    <w:spacing w:line="240" w:lineRule="auto"/>
                                    <w:ind w:left="0"/>
                                    <w:rPr>
                                      <w:rFonts w:ascii="Times New Roman"/>
                                      <w:sz w:val="18"/>
                                    </w:rPr>
                                  </w:pPr>
                                </w:p>
                              </w:tc>
                              <w:tc>
                                <w:tcPr>
                                  <w:tcW w:w="1781" w:type="dxa"/>
                                </w:tcPr>
                                <w:p>
                                  <w:pPr>
                                    <w:pStyle w:val="TableParagraph"/>
                                    <w:spacing w:line="240" w:lineRule="auto"/>
                                    <w:ind w:left="0"/>
                                    <w:rPr>
                                      <w:rFonts w:ascii="Times New Roman"/>
                                      <w:sz w:val="18"/>
                                    </w:rPr>
                                  </w:pPr>
                                </w:p>
                              </w:tc>
                              <w:tc>
                                <w:tcPr>
                                  <w:tcW w:w="1740" w:type="dxa"/>
                                </w:tcPr>
                                <w:p>
                                  <w:pPr>
                                    <w:pStyle w:val="TableParagraph"/>
                                    <w:spacing w:line="233" w:lineRule="exact"/>
                                    <w:ind w:left="413"/>
                                    <w:rPr>
                                      <w:rFonts w:ascii="Times New Roman"/>
                                    </w:rPr>
                                  </w:pPr>
                                  <w:r>
                                    <w:rPr>
                                      <w:rFonts w:ascii="Times New Roman"/>
                                    </w:rPr>
                                    <w:t>xxx</w:t>
                                  </w:r>
                                </w:p>
                              </w:tc>
                            </w:tr>
                            <w:tr>
                              <w:trPr>
                                <w:trHeight w:val="248"/>
                              </w:trPr>
                              <w:tc>
                                <w:tcPr>
                                  <w:tcW w:w="1982" w:type="dxa"/>
                                </w:tcPr>
                                <w:p>
                                  <w:pPr>
                                    <w:pStyle w:val="TableParagraph"/>
                                    <w:spacing w:line="228" w:lineRule="exact"/>
                                    <w:ind w:left="50"/>
                                    <w:rPr>
                                      <w:rFonts w:ascii="Times New Roman" w:hAnsi="Times New Roman"/>
                                    </w:rPr>
                                  </w:pPr>
                                  <w:r>
                                    <w:rPr>
                                      <w:rFonts w:ascii="Times New Roman" w:hAnsi="Times New Roman"/>
                                    </w:rPr>
                                    <w:t>IČO:</w:t>
                                  </w:r>
                                </w:p>
                              </w:tc>
                              <w:tc>
                                <w:tcPr>
                                  <w:tcW w:w="2682" w:type="dxa"/>
                                </w:tcPr>
                                <w:p>
                                  <w:pPr>
                                    <w:pStyle w:val="TableParagraph"/>
                                    <w:spacing w:line="228" w:lineRule="exact"/>
                                    <w:ind w:left="696"/>
                                    <w:rPr>
                                      <w:rFonts w:ascii="Times New Roman"/>
                                    </w:rPr>
                                  </w:pPr>
                                  <w:r>
                                    <w:rPr>
                                      <w:rFonts w:ascii="Times New Roman"/>
                                    </w:rPr>
                                    <w:t>70856508</w:t>
                                  </w:r>
                                </w:p>
                              </w:tc>
                              <w:tc>
                                <w:tcPr>
                                  <w:tcW w:w="1781" w:type="dxa"/>
                                </w:tcPr>
                                <w:p>
                                  <w:pPr>
                                    <w:pStyle w:val="TableParagraph"/>
                                    <w:spacing w:line="228" w:lineRule="exact"/>
                                    <w:ind w:left="246"/>
                                    <w:rPr>
                                      <w:rFonts w:ascii="Times New Roman" w:hAnsi="Times New Roman"/>
                                    </w:rPr>
                                  </w:pPr>
                                  <w:r>
                                    <w:rPr>
                                      <w:rFonts w:ascii="Times New Roman" w:hAnsi="Times New Roman"/>
                                    </w:rPr>
                                    <w:t>DIČ:</w:t>
                                  </w:r>
                                </w:p>
                              </w:tc>
                              <w:tc>
                                <w:tcPr>
                                  <w:tcW w:w="1740" w:type="dxa"/>
                                </w:tcPr>
                                <w:p>
                                  <w:pPr>
                                    <w:pStyle w:val="TableParagraph"/>
                                    <w:spacing w:line="228" w:lineRule="exact"/>
                                    <w:ind w:left="413"/>
                                    <w:rPr>
                                      <w:rFonts w:ascii="Times New Roman"/>
                                    </w:rPr>
                                  </w:pPr>
                                  <w:r>
                                    <w:rPr>
                                      <w:rFonts w:ascii="Times New Roman"/>
                                    </w:rPr>
                                    <w:t>CZ70856508</w:t>
                                  </w:r>
                                </w:p>
                              </w:tc>
                            </w:tr>
                          </w:tbl>
                          <w:p>
                            <w:pPr>
                              <w:pStyle w:val="Zkladntext"/>
                              <w:ind w:left="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59.55pt;margin-top:24.95pt;width:409.2pt;height:62.9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PXsAIAAKs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" filled="f" stroked="f">
                <v:textbox inset="0,0,0,0">
                  <w:txbxContent>
                    <w:tbl>
                      <w:tblPr>
                        <w:tblStyle w:val="TableNormal"/>
                        <w:tblW w:w="0" w:type="auto"/>
                        <w:tblInd w:w="7" w:type="dxa"/>
                        <w:tblLayout w:type="fixed"/>
                        <w:tblLook w:val="01E0" w:firstRow="1" w:lastRow="1" w:firstColumn="1" w:lastColumn="1" w:noHBand="0" w:noVBand="0"/>
                      </w:tblPr>
                      <w:tblGrid>
                        <w:gridCol w:w="1982"/>
                        <w:gridCol w:w="2682"/>
                        <w:gridCol w:w="1781"/>
                        <w:gridCol w:w="1740"/>
                      </w:tblGrid>
                      <w:tr>
                        <w:trPr>
                          <w:trHeight w:val="755"/>
                        </w:trPr>
                        <w:tc>
                          <w:tcPr>
                            <w:tcW w:w="1982" w:type="dxa"/>
                          </w:tcPr>
                          <w:p>
                            <w:pPr>
                              <w:pStyle w:val="TableParagraph"/>
                              <w:spacing w:line="244" w:lineRule="exact"/>
                              <w:ind w:left="50"/>
                              <w:rPr>
                                <w:rFonts w:ascii="Times New Roman" w:hAnsi="Times New Roman"/>
                              </w:rPr>
                            </w:pPr>
                            <w:proofErr w:type="spellStart"/>
                            <w:r>
                              <w:rPr>
                                <w:rFonts w:ascii="Times New Roman" w:hAnsi="Times New Roman"/>
                              </w:rPr>
                              <w:t>Sídlo</w:t>
                            </w:r>
                            <w:proofErr w:type="spellEnd"/>
                            <w:r>
                              <w:rPr>
                                <w:rFonts w:ascii="Times New Roman" w:hAnsi="Times New Roman"/>
                              </w:rPr>
                              <w:t>:</w:t>
                            </w:r>
                          </w:p>
                          <w:p>
                            <w:pPr>
                              <w:pStyle w:val="TableParagraph"/>
                              <w:spacing w:before="5" w:line="252" w:lineRule="exact"/>
                              <w:ind w:left="50" w:right="677"/>
                              <w:rPr>
                                <w:rFonts w:ascii="Times New Roman" w:hAnsi="Times New Roman"/>
                              </w:rPr>
                            </w:pPr>
                            <w:proofErr w:type="spellStart"/>
                            <w:r>
                              <w:rPr>
                                <w:rFonts w:ascii="Times New Roman" w:hAnsi="Times New Roman"/>
                              </w:rPr>
                              <w:t>Jednající</w:t>
                            </w:r>
                            <w:proofErr w:type="spellEnd"/>
                            <w:r>
                              <w:rPr>
                                <w:rFonts w:ascii="Times New Roman" w:hAnsi="Times New Roman"/>
                              </w:rPr>
                              <w:t xml:space="preserve">: bank. </w:t>
                            </w:r>
                            <w:proofErr w:type="spellStart"/>
                            <w:r>
                              <w:rPr>
                                <w:rFonts w:ascii="Times New Roman" w:hAnsi="Times New Roman"/>
                              </w:rPr>
                              <w:t>spojení</w:t>
                            </w:r>
                            <w:proofErr w:type="spellEnd"/>
                            <w:r>
                              <w:rPr>
                                <w:rFonts w:ascii="Times New Roman" w:hAnsi="Times New Roman"/>
                              </w:rPr>
                              <w:t>:</w:t>
                            </w:r>
                          </w:p>
                        </w:tc>
                        <w:tc>
                          <w:tcPr>
                            <w:tcW w:w="2682" w:type="dxa"/>
                          </w:tcPr>
                          <w:p>
                            <w:pPr>
                              <w:pStyle w:val="TableParagraph"/>
                              <w:spacing w:line="244" w:lineRule="exact"/>
                              <w:ind w:left="696"/>
                              <w:rPr>
                                <w:rFonts w:ascii="Times New Roman" w:hAnsi="Times New Roman"/>
                              </w:rPr>
                            </w:pPr>
                            <w:proofErr w:type="spellStart"/>
                            <w:r>
                              <w:rPr>
                                <w:rFonts w:ascii="Times New Roman" w:hAnsi="Times New Roman"/>
                              </w:rPr>
                              <w:t>Sokolovská</w:t>
                            </w:r>
                            <w:proofErr w:type="spellEnd"/>
                            <w:r>
                              <w:rPr>
                                <w:rFonts w:ascii="Times New Roman" w:hAnsi="Times New Roman"/>
                              </w:rPr>
                              <w:t xml:space="preserve"> 1955/278,</w:t>
                            </w:r>
                          </w:p>
                          <w:p>
                            <w:pPr>
                              <w:pStyle w:val="TableParagraph"/>
                              <w:spacing w:before="5" w:line="252" w:lineRule="exact"/>
                              <w:ind w:left="696" w:right="23"/>
                              <w:rPr>
                                <w:rFonts w:ascii="Times New Roman" w:hAnsi="Times New Roman"/>
                              </w:rPr>
                            </w:pPr>
                            <w:r>
                              <w:rPr>
                                <w:rFonts w:ascii="Times New Roman" w:hAnsi="Times New Roman"/>
                              </w:rPr>
                              <w:t xml:space="preserve">Ing. </w:t>
                            </w:r>
                            <w:proofErr w:type="spellStart"/>
                            <w:r>
                              <w:rPr>
                                <w:rFonts w:ascii="Times New Roman" w:hAnsi="Times New Roman"/>
                              </w:rPr>
                              <w:t>Zbyňek</w:t>
                            </w:r>
                            <w:proofErr w:type="spellEnd"/>
                            <w:r>
                              <w:rPr>
                                <w:rFonts w:ascii="Times New Roman" w:hAnsi="Times New Roman"/>
                              </w:rPr>
                              <w:t xml:space="preserve"> Hořelica, xxx</w:t>
                            </w:r>
                          </w:p>
                        </w:tc>
                        <w:tc>
                          <w:tcPr>
                            <w:tcW w:w="1781" w:type="dxa"/>
                          </w:tcPr>
                          <w:p>
                            <w:pPr>
                              <w:pStyle w:val="TableParagraph"/>
                              <w:spacing w:line="242" w:lineRule="auto"/>
                              <w:ind w:left="13" w:right="396" w:firstLine="26"/>
                              <w:rPr>
                                <w:rFonts w:ascii="Times New Roman" w:hAnsi="Times New Roman"/>
                              </w:rPr>
                            </w:pPr>
                            <w:r>
                              <w:rPr>
                                <w:rFonts w:ascii="Times New Roman" w:hAnsi="Times New Roman"/>
                              </w:rPr>
                              <w:t xml:space="preserve">190 00 Praha 9 </w:t>
                            </w:r>
                            <w:proofErr w:type="spellStart"/>
                            <w:r>
                              <w:rPr>
                                <w:rFonts w:ascii="Times New Roman" w:hAnsi="Times New Roman"/>
                              </w:rPr>
                              <w:t>ředitel</w:t>
                            </w:r>
                            <w:proofErr w:type="spellEnd"/>
                          </w:p>
                          <w:p>
                            <w:pPr>
                              <w:pStyle w:val="TableParagraph"/>
                              <w:spacing w:line="233" w:lineRule="exact"/>
                              <w:ind w:left="246"/>
                              <w:rPr>
                                <w:rFonts w:ascii="Times New Roman" w:hAnsi="Times New Roman"/>
                              </w:rPr>
                            </w:pPr>
                            <w:proofErr w:type="spellStart"/>
                            <w:r>
                              <w:rPr>
                                <w:rFonts w:ascii="Times New Roman" w:hAnsi="Times New Roman"/>
                              </w:rPr>
                              <w:t>číslo</w:t>
                            </w:r>
                            <w:proofErr w:type="spellEnd"/>
                            <w:r>
                              <w:rPr>
                                <w:rFonts w:ascii="Times New Roman" w:hAnsi="Times New Roman"/>
                              </w:rPr>
                              <w:t xml:space="preserve"> </w:t>
                            </w:r>
                            <w:proofErr w:type="spellStart"/>
                            <w:r>
                              <w:rPr>
                                <w:rFonts w:ascii="Times New Roman" w:hAnsi="Times New Roman"/>
                              </w:rPr>
                              <w:t>účtu</w:t>
                            </w:r>
                            <w:proofErr w:type="spellEnd"/>
                            <w:r>
                              <w:rPr>
                                <w:rFonts w:ascii="Times New Roman" w:hAnsi="Times New Roman"/>
                              </w:rPr>
                              <w:t>:</w:t>
                            </w:r>
                          </w:p>
                        </w:tc>
                        <w:tc>
                          <w:tcPr>
                            <w:tcW w:w="1740" w:type="dxa"/>
                          </w:tcPr>
                          <w:p>
                            <w:pPr>
                              <w:pStyle w:val="TableParagraph"/>
                              <w:spacing w:line="240" w:lineRule="auto"/>
                              <w:ind w:left="0"/>
                              <w:rPr>
                                <w:rFonts w:ascii="Times New Roman"/>
                                <w:sz w:val="24"/>
                              </w:rPr>
                            </w:pPr>
                          </w:p>
                          <w:p>
                            <w:pPr>
                              <w:pStyle w:val="TableParagraph"/>
                              <w:spacing w:before="3" w:line="240" w:lineRule="auto"/>
                              <w:ind w:left="0"/>
                              <w:rPr>
                                <w:rFonts w:ascii="Times New Roman"/>
                                <w:sz w:val="19"/>
                              </w:rPr>
                            </w:pPr>
                          </w:p>
                          <w:p>
                            <w:pPr>
                              <w:pStyle w:val="TableParagraph"/>
                              <w:spacing w:line="238" w:lineRule="exact"/>
                              <w:ind w:left="413"/>
                              <w:rPr>
                                <w:rFonts w:ascii="Times New Roman"/>
                              </w:rPr>
                            </w:pPr>
                            <w:r>
                              <w:rPr>
                                <w:rFonts w:ascii="Times New Roman"/>
                              </w:rPr>
                              <w:t>xxx</w:t>
                            </w:r>
                          </w:p>
                        </w:tc>
                      </w:tr>
                      <w:tr>
                        <w:trPr>
                          <w:trHeight w:val="253"/>
                        </w:trPr>
                        <w:tc>
                          <w:tcPr>
                            <w:tcW w:w="1982" w:type="dxa"/>
                          </w:tcPr>
                          <w:p>
                            <w:pPr>
                              <w:pStyle w:val="TableParagraph"/>
                              <w:spacing w:line="240" w:lineRule="auto"/>
                              <w:ind w:left="0"/>
                              <w:rPr>
                                <w:rFonts w:ascii="Times New Roman"/>
                                <w:sz w:val="18"/>
                              </w:rPr>
                            </w:pPr>
                          </w:p>
                        </w:tc>
                        <w:tc>
                          <w:tcPr>
                            <w:tcW w:w="2682" w:type="dxa"/>
                          </w:tcPr>
                          <w:p>
                            <w:pPr>
                              <w:pStyle w:val="TableParagraph"/>
                              <w:spacing w:line="240" w:lineRule="auto"/>
                              <w:ind w:left="0"/>
                              <w:rPr>
                                <w:rFonts w:ascii="Times New Roman"/>
                                <w:sz w:val="18"/>
                              </w:rPr>
                            </w:pPr>
                          </w:p>
                        </w:tc>
                        <w:tc>
                          <w:tcPr>
                            <w:tcW w:w="1781" w:type="dxa"/>
                          </w:tcPr>
                          <w:p>
                            <w:pPr>
                              <w:pStyle w:val="TableParagraph"/>
                              <w:spacing w:line="240" w:lineRule="auto"/>
                              <w:ind w:left="0"/>
                              <w:rPr>
                                <w:rFonts w:ascii="Times New Roman"/>
                                <w:sz w:val="18"/>
                              </w:rPr>
                            </w:pPr>
                          </w:p>
                        </w:tc>
                        <w:tc>
                          <w:tcPr>
                            <w:tcW w:w="1740" w:type="dxa"/>
                          </w:tcPr>
                          <w:p>
                            <w:pPr>
                              <w:pStyle w:val="TableParagraph"/>
                              <w:spacing w:line="233" w:lineRule="exact"/>
                              <w:ind w:left="413"/>
                              <w:rPr>
                                <w:rFonts w:ascii="Times New Roman"/>
                              </w:rPr>
                            </w:pPr>
                            <w:r>
                              <w:rPr>
                                <w:rFonts w:ascii="Times New Roman"/>
                              </w:rPr>
                              <w:t>xxx</w:t>
                            </w:r>
                          </w:p>
                        </w:tc>
                      </w:tr>
                      <w:tr>
                        <w:trPr>
                          <w:trHeight w:val="248"/>
                        </w:trPr>
                        <w:tc>
                          <w:tcPr>
                            <w:tcW w:w="1982" w:type="dxa"/>
                          </w:tcPr>
                          <w:p>
                            <w:pPr>
                              <w:pStyle w:val="TableParagraph"/>
                              <w:spacing w:line="228" w:lineRule="exact"/>
                              <w:ind w:left="50"/>
                              <w:rPr>
                                <w:rFonts w:ascii="Times New Roman" w:hAnsi="Times New Roman"/>
                              </w:rPr>
                            </w:pPr>
                            <w:r>
                              <w:rPr>
                                <w:rFonts w:ascii="Times New Roman" w:hAnsi="Times New Roman"/>
                              </w:rPr>
                              <w:t>IČO:</w:t>
                            </w:r>
                          </w:p>
                        </w:tc>
                        <w:tc>
                          <w:tcPr>
                            <w:tcW w:w="2682" w:type="dxa"/>
                          </w:tcPr>
                          <w:p>
                            <w:pPr>
                              <w:pStyle w:val="TableParagraph"/>
                              <w:spacing w:line="228" w:lineRule="exact"/>
                              <w:ind w:left="696"/>
                              <w:rPr>
                                <w:rFonts w:ascii="Times New Roman"/>
                              </w:rPr>
                            </w:pPr>
                            <w:r>
                              <w:rPr>
                                <w:rFonts w:ascii="Times New Roman"/>
                              </w:rPr>
                              <w:t>70856508</w:t>
                            </w:r>
                          </w:p>
                        </w:tc>
                        <w:tc>
                          <w:tcPr>
                            <w:tcW w:w="1781" w:type="dxa"/>
                          </w:tcPr>
                          <w:p>
                            <w:pPr>
                              <w:pStyle w:val="TableParagraph"/>
                              <w:spacing w:line="228" w:lineRule="exact"/>
                              <w:ind w:left="246"/>
                              <w:rPr>
                                <w:rFonts w:ascii="Times New Roman" w:hAnsi="Times New Roman"/>
                              </w:rPr>
                            </w:pPr>
                            <w:r>
                              <w:rPr>
                                <w:rFonts w:ascii="Times New Roman" w:hAnsi="Times New Roman"/>
                              </w:rPr>
                              <w:t>DIČ:</w:t>
                            </w:r>
                          </w:p>
                        </w:tc>
                        <w:tc>
                          <w:tcPr>
                            <w:tcW w:w="1740" w:type="dxa"/>
                          </w:tcPr>
                          <w:p>
                            <w:pPr>
                              <w:pStyle w:val="TableParagraph"/>
                              <w:spacing w:line="228" w:lineRule="exact"/>
                              <w:ind w:left="413"/>
                              <w:rPr>
                                <w:rFonts w:ascii="Times New Roman"/>
                              </w:rPr>
                            </w:pPr>
                            <w:r>
                              <w:rPr>
                                <w:rFonts w:ascii="Times New Roman"/>
                              </w:rPr>
                              <w:t>CZ70856508</w:t>
                            </w:r>
                          </w:p>
                        </w:tc>
                      </w:tr>
                    </w:tbl>
                    <w:p>
                      <w:pPr>
                        <w:pStyle w:val="Zkladntext"/>
                        <w:ind w:left="0"/>
                        <w:jc w:val="left"/>
                      </w:pPr>
                    </w:p>
                  </w:txbxContent>
                </v:textbox>
                <w10:wrap anchorx="page"/>
              </v:shape>
            </w:pict>
          </mc:Fallback>
        </mc:AlternateContent>
      </w:r>
      <w:r>
        <w:rPr>
          <w:rFonts w:ascii="Times New Roman" w:hAnsi="Times New Roman"/>
          <w:lang w:val="cs-CZ"/>
        </w:rPr>
        <w:t>Státní fond dopravní infrastruktury</w:t>
      </w:r>
    </w:p>
    <w:p>
      <w:pPr>
        <w:pStyle w:val="Zkladntext"/>
        <w:ind w:left="0"/>
        <w:jc w:val="left"/>
        <w:rPr>
          <w:rFonts w:ascii="Times New Roman"/>
          <w:i/>
          <w:sz w:val="24"/>
          <w:lang w:val="cs-CZ"/>
        </w:rPr>
      </w:pPr>
    </w:p>
    <w:p>
      <w:pPr>
        <w:pStyle w:val="Zkladntext"/>
        <w:ind w:left="0"/>
        <w:jc w:val="left"/>
        <w:rPr>
          <w:rFonts w:ascii="Times New Roman"/>
          <w:i/>
          <w:sz w:val="24"/>
          <w:lang w:val="cs-CZ"/>
        </w:rPr>
      </w:pPr>
    </w:p>
    <w:p>
      <w:pPr>
        <w:pStyle w:val="Zkladntext"/>
        <w:ind w:left="0"/>
        <w:jc w:val="left"/>
        <w:rPr>
          <w:rFonts w:ascii="Times New Roman"/>
          <w:i/>
          <w:sz w:val="24"/>
          <w:lang w:val="cs-CZ"/>
        </w:rPr>
      </w:pPr>
    </w:p>
    <w:p>
      <w:pPr>
        <w:spacing w:before="183" w:line="760" w:lineRule="atLeast"/>
        <w:ind w:left="712" w:right="7047"/>
        <w:rPr>
          <w:rFonts w:ascii="Times New Roman" w:hAnsi="Times New Roman"/>
          <w:lang w:val="cs-CZ"/>
        </w:rPr>
      </w:pPr>
      <w:r>
        <w:rPr>
          <w:rFonts w:ascii="Times New Roman" w:hAnsi="Times New Roman"/>
          <w:lang w:val="cs-CZ"/>
        </w:rPr>
        <w:t>dále jen „</w:t>
      </w:r>
      <w:r>
        <w:rPr>
          <w:rFonts w:ascii="Times New Roman" w:hAnsi="Times New Roman"/>
          <w:b/>
          <w:lang w:val="cs-CZ"/>
        </w:rPr>
        <w:t xml:space="preserve">Odběratel“ </w:t>
      </w:r>
      <w:r>
        <w:rPr>
          <w:rFonts w:ascii="Times New Roman" w:hAnsi="Times New Roman"/>
          <w:lang w:val="cs-CZ"/>
        </w:rPr>
        <w:t>na straně jedné AUTOCONT a.s.</w:t>
      </w:r>
    </w:p>
    <w:p>
      <w:pPr>
        <w:tabs>
          <w:tab w:val="left" w:pos="3448"/>
        </w:tabs>
        <w:spacing w:line="250" w:lineRule="exact"/>
        <w:ind w:left="820"/>
        <w:rPr>
          <w:rFonts w:ascii="Times New Roman" w:hAnsi="Times New Roman"/>
          <w:lang w:val="cs-CZ"/>
        </w:rPr>
      </w:pPr>
      <w:r>
        <w:rPr>
          <w:rFonts w:ascii="Times New Roman" w:hAnsi="Times New Roman"/>
          <w:lang w:val="cs-CZ"/>
        </w:rPr>
        <w:t>Sídlo:</w:t>
      </w:r>
      <w:r>
        <w:rPr>
          <w:rFonts w:ascii="Times New Roman" w:hAnsi="Times New Roman"/>
          <w:lang w:val="cs-CZ"/>
        </w:rPr>
        <w:tab/>
        <w:t>Hornopolní 3322/34, 702 00</w:t>
      </w:r>
      <w:r>
        <w:rPr>
          <w:rFonts w:ascii="Times New Roman" w:hAnsi="Times New Roman"/>
          <w:spacing w:val="52"/>
          <w:lang w:val="cs-CZ"/>
        </w:rPr>
        <w:t xml:space="preserve"> </w:t>
      </w:r>
      <w:r>
        <w:rPr>
          <w:rFonts w:ascii="Times New Roman" w:hAnsi="Times New Roman"/>
          <w:lang w:val="cs-CZ"/>
        </w:rPr>
        <w:t>Ostrava</w:t>
      </w:r>
    </w:p>
    <w:p>
      <w:pPr>
        <w:tabs>
          <w:tab w:val="left" w:pos="3448"/>
        </w:tabs>
        <w:spacing w:before="1" w:line="252" w:lineRule="exact"/>
        <w:ind w:left="820"/>
        <w:rPr>
          <w:rFonts w:ascii="Times New Roman" w:hAnsi="Times New Roman"/>
          <w:lang w:val="cs-CZ"/>
        </w:rPr>
      </w:pPr>
      <w:r>
        <w:rPr>
          <w:rFonts w:ascii="Times New Roman" w:hAnsi="Times New Roman"/>
          <w:lang w:val="cs-CZ"/>
        </w:rPr>
        <w:t>Obchodní</w:t>
      </w:r>
      <w:r>
        <w:rPr>
          <w:rFonts w:ascii="Times New Roman" w:hAnsi="Times New Roman"/>
          <w:spacing w:val="-3"/>
          <w:lang w:val="cs-CZ"/>
        </w:rPr>
        <w:t xml:space="preserve"> </w:t>
      </w:r>
      <w:r>
        <w:rPr>
          <w:rFonts w:ascii="Times New Roman" w:hAnsi="Times New Roman"/>
          <w:lang w:val="cs-CZ"/>
        </w:rPr>
        <w:t>divize:</w:t>
      </w:r>
      <w:r>
        <w:rPr>
          <w:rFonts w:ascii="Times New Roman" w:hAnsi="Times New Roman"/>
          <w:lang w:val="cs-CZ"/>
        </w:rPr>
        <w:tab/>
        <w:t>divize EBS</w:t>
      </w:r>
    </w:p>
    <w:p>
      <w:pPr>
        <w:tabs>
          <w:tab w:val="left" w:pos="3448"/>
        </w:tabs>
        <w:spacing w:line="252" w:lineRule="exact"/>
        <w:ind w:left="820"/>
        <w:rPr>
          <w:rFonts w:ascii="Times New Roman" w:hAnsi="Times New Roman"/>
          <w:lang w:val="cs-CZ"/>
        </w:rPr>
      </w:pPr>
      <w:r>
        <w:rPr>
          <w:rFonts w:ascii="Times New Roman" w:hAnsi="Times New Roman"/>
          <w:lang w:val="cs-CZ"/>
        </w:rPr>
        <w:t>Jednající:</w:t>
      </w:r>
      <w:r>
        <w:rPr>
          <w:rFonts w:ascii="Times New Roman" w:hAnsi="Times New Roman"/>
          <w:lang w:val="cs-CZ"/>
        </w:rPr>
        <w:tab/>
      </w:r>
      <w:proofErr w:type="spellStart"/>
      <w:proofErr w:type="gramStart"/>
      <w:r>
        <w:rPr>
          <w:rFonts w:ascii="Times New Roman" w:hAnsi="Times New Roman"/>
          <w:lang w:val="cs-CZ"/>
        </w:rPr>
        <w:t>Ing.Jaroslav</w:t>
      </w:r>
      <w:proofErr w:type="spellEnd"/>
      <w:proofErr w:type="gramEnd"/>
      <w:r>
        <w:rPr>
          <w:rFonts w:ascii="Times New Roman" w:hAnsi="Times New Roman"/>
          <w:lang w:val="cs-CZ"/>
        </w:rPr>
        <w:t xml:space="preserve"> </w:t>
      </w:r>
      <w:proofErr w:type="spellStart"/>
      <w:r>
        <w:rPr>
          <w:rFonts w:ascii="Times New Roman" w:hAnsi="Times New Roman"/>
          <w:lang w:val="cs-CZ"/>
        </w:rPr>
        <w:t>Biolek</w:t>
      </w:r>
      <w:proofErr w:type="spellEnd"/>
      <w:r>
        <w:rPr>
          <w:rFonts w:ascii="Times New Roman" w:hAnsi="Times New Roman"/>
          <w:lang w:val="cs-CZ"/>
        </w:rPr>
        <w:t>, člen</w:t>
      </w:r>
      <w:r>
        <w:rPr>
          <w:rFonts w:ascii="Times New Roman" w:hAnsi="Times New Roman"/>
          <w:spacing w:val="-4"/>
          <w:lang w:val="cs-CZ"/>
        </w:rPr>
        <w:t xml:space="preserve"> </w:t>
      </w:r>
      <w:r>
        <w:rPr>
          <w:rFonts w:ascii="Times New Roman" w:hAnsi="Times New Roman"/>
          <w:lang w:val="cs-CZ"/>
        </w:rPr>
        <w:t>představenstva</w:t>
      </w:r>
    </w:p>
    <w:p>
      <w:pPr>
        <w:pStyle w:val="Zkladntext"/>
        <w:spacing w:before="9"/>
        <w:ind w:left="0"/>
        <w:jc w:val="left"/>
        <w:rPr>
          <w:rFonts w:ascii="Times New Roman"/>
          <w:sz w:val="22"/>
          <w:lang w:val="cs-CZ"/>
        </w:rPr>
      </w:pPr>
    </w:p>
    <w:tbl>
      <w:tblPr>
        <w:tblStyle w:val="TableNormal"/>
        <w:tblW w:w="0" w:type="auto"/>
        <w:tblInd w:w="778" w:type="dxa"/>
        <w:tblLayout w:type="fixed"/>
        <w:tblLook w:val="01E0" w:firstRow="1" w:lastRow="1" w:firstColumn="1" w:lastColumn="1" w:noHBand="0" w:noVBand="0"/>
      </w:tblPr>
      <w:tblGrid>
        <w:gridCol w:w="2169"/>
        <w:gridCol w:w="2532"/>
        <w:gridCol w:w="1641"/>
        <w:gridCol w:w="1844"/>
      </w:tblGrid>
      <w:tr>
        <w:trPr>
          <w:trHeight w:val="248"/>
        </w:trPr>
        <w:tc>
          <w:tcPr>
            <w:tcW w:w="2169" w:type="dxa"/>
          </w:tcPr>
          <w:p>
            <w:pPr>
              <w:pStyle w:val="TableParagraph"/>
              <w:spacing w:line="228" w:lineRule="exact"/>
              <w:ind w:left="50"/>
              <w:rPr>
                <w:rFonts w:ascii="Times New Roman" w:hAnsi="Times New Roman"/>
                <w:lang w:val="cs-CZ"/>
              </w:rPr>
            </w:pPr>
            <w:r>
              <w:rPr>
                <w:rFonts w:ascii="Times New Roman" w:hAnsi="Times New Roman"/>
                <w:lang w:val="cs-CZ"/>
              </w:rPr>
              <w:t>Bankovní spojení:</w:t>
            </w:r>
          </w:p>
        </w:tc>
        <w:tc>
          <w:tcPr>
            <w:tcW w:w="2532" w:type="dxa"/>
          </w:tcPr>
          <w:p>
            <w:pPr>
              <w:pStyle w:val="TableParagraph"/>
              <w:spacing w:line="228" w:lineRule="exact"/>
              <w:ind w:left="508"/>
              <w:rPr>
                <w:rFonts w:ascii="Times New Roman" w:hAnsi="Times New Roman"/>
                <w:lang w:val="cs-CZ"/>
              </w:rPr>
            </w:pPr>
            <w:proofErr w:type="spellStart"/>
            <w:r>
              <w:rPr>
                <w:rFonts w:ascii="Times New Roman" w:hAnsi="Times New Roman"/>
                <w:lang w:val="cs-CZ"/>
              </w:rPr>
              <w:t>xxx</w:t>
            </w:r>
            <w:proofErr w:type="spellEnd"/>
          </w:p>
        </w:tc>
        <w:tc>
          <w:tcPr>
            <w:tcW w:w="1641" w:type="dxa"/>
          </w:tcPr>
          <w:p>
            <w:pPr>
              <w:pStyle w:val="TableParagraph"/>
              <w:spacing w:line="228" w:lineRule="exact"/>
              <w:ind w:left="208"/>
              <w:rPr>
                <w:rFonts w:ascii="Times New Roman" w:hAnsi="Times New Roman"/>
                <w:lang w:val="cs-CZ"/>
              </w:rPr>
            </w:pPr>
            <w:r>
              <w:rPr>
                <w:rFonts w:ascii="Times New Roman" w:hAnsi="Times New Roman"/>
                <w:lang w:val="cs-CZ"/>
              </w:rPr>
              <w:t>číslo účtu:</w:t>
            </w:r>
          </w:p>
        </w:tc>
        <w:tc>
          <w:tcPr>
            <w:tcW w:w="1844" w:type="dxa"/>
          </w:tcPr>
          <w:p>
            <w:pPr>
              <w:pStyle w:val="TableParagraph"/>
              <w:spacing w:line="228" w:lineRule="exact"/>
              <w:ind w:left="516"/>
              <w:rPr>
                <w:rFonts w:ascii="Times New Roman"/>
                <w:lang w:val="cs-CZ"/>
              </w:rPr>
            </w:pPr>
            <w:proofErr w:type="spellStart"/>
            <w:r>
              <w:rPr>
                <w:rFonts w:ascii="Times New Roman"/>
                <w:lang w:val="cs-CZ"/>
              </w:rPr>
              <w:t>xxx</w:t>
            </w:r>
            <w:proofErr w:type="spellEnd"/>
          </w:p>
        </w:tc>
      </w:tr>
      <w:tr>
        <w:trPr>
          <w:trHeight w:val="248"/>
        </w:trPr>
        <w:tc>
          <w:tcPr>
            <w:tcW w:w="2169" w:type="dxa"/>
          </w:tcPr>
          <w:p>
            <w:pPr>
              <w:pStyle w:val="TableParagraph"/>
              <w:spacing w:line="228" w:lineRule="exact"/>
              <w:ind w:left="50"/>
              <w:rPr>
                <w:rFonts w:ascii="Times New Roman" w:hAnsi="Times New Roman"/>
                <w:lang w:val="cs-CZ"/>
              </w:rPr>
            </w:pPr>
            <w:r>
              <w:rPr>
                <w:rFonts w:ascii="Times New Roman" w:hAnsi="Times New Roman"/>
                <w:lang w:val="cs-CZ"/>
              </w:rPr>
              <w:t>IČO:</w:t>
            </w:r>
          </w:p>
        </w:tc>
        <w:tc>
          <w:tcPr>
            <w:tcW w:w="2532" w:type="dxa"/>
          </w:tcPr>
          <w:p>
            <w:pPr>
              <w:pStyle w:val="TableParagraph"/>
              <w:spacing w:line="228" w:lineRule="exact"/>
              <w:ind w:left="508"/>
              <w:rPr>
                <w:rFonts w:ascii="Times New Roman"/>
                <w:lang w:val="cs-CZ"/>
              </w:rPr>
            </w:pPr>
            <w:r>
              <w:rPr>
                <w:rFonts w:ascii="Times New Roman"/>
                <w:lang w:val="cs-CZ"/>
              </w:rPr>
              <w:t>04308697</w:t>
            </w:r>
          </w:p>
        </w:tc>
        <w:tc>
          <w:tcPr>
            <w:tcW w:w="1641" w:type="dxa"/>
          </w:tcPr>
          <w:p>
            <w:pPr>
              <w:pStyle w:val="TableParagraph"/>
              <w:spacing w:line="228" w:lineRule="exact"/>
              <w:ind w:left="209"/>
              <w:rPr>
                <w:rFonts w:ascii="Times New Roman" w:hAnsi="Times New Roman"/>
                <w:lang w:val="cs-CZ"/>
              </w:rPr>
            </w:pPr>
            <w:r>
              <w:rPr>
                <w:rFonts w:ascii="Times New Roman" w:hAnsi="Times New Roman"/>
                <w:lang w:val="cs-CZ"/>
              </w:rPr>
              <w:t>DIČ:</w:t>
            </w:r>
          </w:p>
        </w:tc>
        <w:tc>
          <w:tcPr>
            <w:tcW w:w="1844" w:type="dxa"/>
          </w:tcPr>
          <w:p>
            <w:pPr>
              <w:pStyle w:val="TableParagraph"/>
              <w:spacing w:line="228" w:lineRule="exact"/>
              <w:ind w:left="516"/>
              <w:rPr>
                <w:rFonts w:ascii="Times New Roman"/>
                <w:lang w:val="cs-CZ"/>
              </w:rPr>
            </w:pPr>
            <w:r>
              <w:rPr>
                <w:rFonts w:ascii="Times New Roman"/>
                <w:lang w:val="cs-CZ"/>
              </w:rPr>
              <w:t>CZ04308697</w:t>
            </w:r>
          </w:p>
        </w:tc>
      </w:tr>
    </w:tbl>
    <w:p>
      <w:pPr>
        <w:tabs>
          <w:tab w:val="left" w:pos="3448"/>
        </w:tabs>
        <w:spacing w:before="1"/>
        <w:ind w:left="712" w:right="3469" w:firstLine="108"/>
        <w:rPr>
          <w:rFonts w:ascii="Times New Roman" w:hAnsi="Times New Roman"/>
          <w:lang w:val="cs-CZ"/>
        </w:rPr>
      </w:pPr>
      <w:r>
        <w:rPr>
          <w:rFonts w:ascii="Times New Roman" w:hAnsi="Times New Roman"/>
          <w:lang w:val="cs-CZ"/>
        </w:rPr>
        <w:t>spisová</w:t>
      </w:r>
      <w:r>
        <w:rPr>
          <w:rFonts w:ascii="Times New Roman" w:hAnsi="Times New Roman"/>
          <w:spacing w:val="-2"/>
          <w:lang w:val="cs-CZ"/>
        </w:rPr>
        <w:t xml:space="preserve"> </w:t>
      </w:r>
      <w:r>
        <w:rPr>
          <w:rFonts w:ascii="Times New Roman" w:hAnsi="Times New Roman"/>
          <w:lang w:val="cs-CZ"/>
        </w:rPr>
        <w:t>značka</w:t>
      </w:r>
      <w:r>
        <w:rPr>
          <w:rFonts w:ascii="Times New Roman" w:hAnsi="Times New Roman"/>
          <w:spacing w:val="-1"/>
          <w:lang w:val="cs-CZ"/>
        </w:rPr>
        <w:t xml:space="preserve"> </w:t>
      </w:r>
      <w:r>
        <w:rPr>
          <w:rFonts w:ascii="Times New Roman" w:hAnsi="Times New Roman"/>
          <w:lang w:val="cs-CZ"/>
        </w:rPr>
        <w:t>OR:</w:t>
      </w:r>
      <w:r>
        <w:rPr>
          <w:rFonts w:ascii="Times New Roman" w:hAnsi="Times New Roman"/>
          <w:lang w:val="cs-CZ"/>
        </w:rPr>
        <w:tab/>
        <w:t>Krajský soud v Ostravě, oddíl B, vložka 11012 dále jen „</w:t>
      </w:r>
      <w:r>
        <w:rPr>
          <w:rFonts w:ascii="Times New Roman" w:hAnsi="Times New Roman"/>
          <w:b/>
          <w:lang w:val="cs-CZ"/>
        </w:rPr>
        <w:t xml:space="preserve">Dodavatel“ </w:t>
      </w:r>
      <w:r>
        <w:rPr>
          <w:rFonts w:ascii="Times New Roman" w:hAnsi="Times New Roman"/>
          <w:lang w:val="cs-CZ"/>
        </w:rPr>
        <w:t>na straně</w:t>
      </w:r>
      <w:r>
        <w:rPr>
          <w:rFonts w:ascii="Times New Roman" w:hAnsi="Times New Roman"/>
          <w:spacing w:val="-8"/>
          <w:lang w:val="cs-CZ"/>
        </w:rPr>
        <w:t xml:space="preserve"> </w:t>
      </w:r>
      <w:r>
        <w:rPr>
          <w:rFonts w:ascii="Times New Roman" w:hAnsi="Times New Roman"/>
          <w:lang w:val="cs-CZ"/>
        </w:rPr>
        <w:t>druhé,</w:t>
      </w:r>
    </w:p>
    <w:p>
      <w:pPr>
        <w:pStyle w:val="Zkladntext"/>
        <w:spacing w:before="11"/>
        <w:ind w:left="0"/>
        <w:jc w:val="left"/>
        <w:rPr>
          <w:rFonts w:ascii="Times New Roman"/>
          <w:sz w:val="21"/>
          <w:lang w:val="cs-CZ"/>
        </w:rPr>
      </w:pPr>
    </w:p>
    <w:p>
      <w:pPr>
        <w:ind w:left="712" w:right="1591"/>
        <w:rPr>
          <w:rFonts w:ascii="Times New Roman" w:hAnsi="Times New Roman"/>
          <w:lang w:val="cs-CZ"/>
        </w:rPr>
      </w:pPr>
      <w:r>
        <w:rPr>
          <w:rFonts w:ascii="Times New Roman" w:hAnsi="Times New Roman"/>
          <w:lang w:val="cs-CZ"/>
        </w:rPr>
        <w:t xml:space="preserve">uzavírají níže psaného dne, měsíce a roku ve smyslu § 2079 občanského zákoníku tuto Smlouvu na poskytování služeb „Microsoft </w:t>
      </w:r>
      <w:proofErr w:type="spellStart"/>
      <w:r>
        <w:rPr>
          <w:rFonts w:ascii="Times New Roman" w:hAnsi="Times New Roman"/>
          <w:lang w:val="cs-CZ"/>
        </w:rPr>
        <w:t>Premiere</w:t>
      </w:r>
      <w:proofErr w:type="spellEnd"/>
      <w:r>
        <w:rPr>
          <w:rFonts w:ascii="Times New Roman" w:hAnsi="Times New Roman"/>
          <w:lang w:val="cs-CZ"/>
        </w:rPr>
        <w:t xml:space="preserve"> Support“ (dále jen „Smlouva“)</w:t>
      </w:r>
    </w:p>
    <w:p>
      <w:pPr>
        <w:pStyle w:val="Zkladntext"/>
        <w:ind w:left="0"/>
        <w:jc w:val="left"/>
        <w:rPr>
          <w:rFonts w:ascii="Times New Roman"/>
          <w:sz w:val="24"/>
          <w:lang w:val="cs-CZ"/>
        </w:rPr>
      </w:pPr>
    </w:p>
    <w:p>
      <w:pPr>
        <w:pStyle w:val="Zkladntext"/>
        <w:ind w:left="0"/>
        <w:jc w:val="left"/>
        <w:rPr>
          <w:rFonts w:ascii="Times New Roman"/>
          <w:sz w:val="24"/>
          <w:lang w:val="cs-CZ"/>
        </w:rPr>
      </w:pPr>
    </w:p>
    <w:p>
      <w:pPr>
        <w:pStyle w:val="Zkladntext"/>
        <w:spacing w:before="5"/>
        <w:ind w:left="0"/>
        <w:jc w:val="left"/>
        <w:rPr>
          <w:rFonts w:ascii="Times New Roman"/>
          <w:sz w:val="27"/>
          <w:lang w:val="cs-CZ"/>
        </w:rPr>
      </w:pPr>
    </w:p>
    <w:p>
      <w:pPr>
        <w:pStyle w:val="Odstavecseseznamem"/>
        <w:numPr>
          <w:ilvl w:val="0"/>
          <w:numId w:val="18"/>
        </w:numPr>
        <w:tabs>
          <w:tab w:val="left" w:pos="3477"/>
          <w:tab w:val="left" w:pos="3478"/>
        </w:tabs>
        <w:spacing w:before="1"/>
        <w:ind w:left="3477" w:hanging="708"/>
        <w:jc w:val="left"/>
        <w:rPr>
          <w:rFonts w:ascii="Arial" w:hAnsi="Arial"/>
          <w:b/>
          <w:sz w:val="32"/>
          <w:lang w:val="cs-CZ"/>
        </w:rPr>
      </w:pPr>
      <w:r>
        <w:rPr>
          <w:rFonts w:ascii="Arial" w:hAnsi="Arial"/>
          <w:b/>
          <w:sz w:val="32"/>
          <w:lang w:val="cs-CZ"/>
        </w:rPr>
        <w:t>Všeobecné obchodní</w:t>
      </w:r>
      <w:r>
        <w:rPr>
          <w:rFonts w:ascii="Arial" w:hAnsi="Arial"/>
          <w:b/>
          <w:spacing w:val="1"/>
          <w:sz w:val="32"/>
          <w:lang w:val="cs-CZ"/>
        </w:rPr>
        <w:t xml:space="preserve"> </w:t>
      </w:r>
      <w:r>
        <w:rPr>
          <w:rFonts w:ascii="Arial" w:hAnsi="Arial"/>
          <w:b/>
          <w:sz w:val="32"/>
          <w:lang w:val="cs-CZ"/>
        </w:rPr>
        <w:t>podmínky</w:t>
      </w:r>
    </w:p>
    <w:p>
      <w:pPr>
        <w:pStyle w:val="Odstavecseseznamem"/>
        <w:numPr>
          <w:ilvl w:val="1"/>
          <w:numId w:val="17"/>
        </w:numPr>
        <w:tabs>
          <w:tab w:val="left" w:pos="1279"/>
          <w:tab w:val="left" w:pos="1280"/>
        </w:tabs>
        <w:spacing w:before="238"/>
        <w:ind w:right="707"/>
        <w:rPr>
          <w:rFonts w:ascii="Times New Roman" w:hAnsi="Times New Roman"/>
          <w:lang w:val="cs-CZ"/>
        </w:rPr>
      </w:pPr>
      <w:r>
        <w:rPr>
          <w:rFonts w:ascii="Times New Roman" w:hAnsi="Times New Roman"/>
          <w:lang w:val="cs-CZ"/>
        </w:rPr>
        <w:t xml:space="preserve">Základní obchodní vztah mezi Odběratelem a Dodavatelem je vymezen všeobecnými obchodními podmínkami, které jsou nedílnou součástí této Smlouvy a jsou uvedeny v Příloze </w:t>
      </w:r>
      <w:proofErr w:type="gramStart"/>
      <w:r>
        <w:rPr>
          <w:rFonts w:ascii="Times New Roman" w:hAnsi="Times New Roman"/>
          <w:lang w:val="cs-CZ"/>
        </w:rPr>
        <w:t>č.1</w:t>
      </w:r>
      <w:r>
        <w:rPr>
          <w:rFonts w:ascii="Times New Roman" w:hAnsi="Times New Roman"/>
          <w:spacing w:val="-20"/>
          <w:lang w:val="cs-CZ"/>
        </w:rPr>
        <w:t xml:space="preserve"> </w:t>
      </w:r>
      <w:r>
        <w:rPr>
          <w:rFonts w:ascii="Times New Roman" w:hAnsi="Times New Roman"/>
          <w:lang w:val="cs-CZ"/>
        </w:rPr>
        <w:t>Smlouvy</w:t>
      </w:r>
      <w:proofErr w:type="gramEnd"/>
      <w:r>
        <w:rPr>
          <w:rFonts w:ascii="Times New Roman" w:hAnsi="Times New Roman"/>
          <w:lang w:val="cs-CZ"/>
        </w:rPr>
        <w:t>.</w:t>
      </w:r>
    </w:p>
    <w:p>
      <w:pPr>
        <w:pStyle w:val="Odstavecseseznamem"/>
        <w:numPr>
          <w:ilvl w:val="1"/>
          <w:numId w:val="17"/>
        </w:numPr>
        <w:tabs>
          <w:tab w:val="left" w:pos="1279"/>
          <w:tab w:val="left" w:pos="1280"/>
        </w:tabs>
        <w:spacing w:before="60"/>
        <w:ind w:right="706"/>
        <w:rPr>
          <w:rFonts w:ascii="Times New Roman" w:hAnsi="Times New Roman"/>
          <w:lang w:val="cs-CZ"/>
        </w:rPr>
      </w:pPr>
      <w:r>
        <w:rPr>
          <w:rFonts w:ascii="Times New Roman" w:hAnsi="Times New Roman"/>
          <w:lang w:val="cs-CZ"/>
        </w:rPr>
        <w:t>Upravuje-li tato Smlouva některé otázky odlišně, mají přednost ustanovení této Smlouvy před ustanoveními všeobecných obchodních</w:t>
      </w:r>
      <w:r>
        <w:rPr>
          <w:rFonts w:ascii="Times New Roman" w:hAnsi="Times New Roman"/>
          <w:spacing w:val="-6"/>
          <w:lang w:val="cs-CZ"/>
        </w:rPr>
        <w:t xml:space="preserve"> </w:t>
      </w:r>
      <w:r>
        <w:rPr>
          <w:rFonts w:ascii="Times New Roman" w:hAnsi="Times New Roman"/>
          <w:lang w:val="cs-CZ"/>
        </w:rPr>
        <w:t>podmínek.</w:t>
      </w: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spacing w:before="8"/>
        <w:ind w:left="0"/>
        <w:jc w:val="left"/>
        <w:rPr>
          <w:rFonts w:ascii="Times New Roman"/>
          <w:sz w:val="14"/>
          <w:lang w:val="cs-CZ"/>
        </w:rPr>
      </w:pPr>
      <w:r>
        <w:rPr>
          <w:noProof/>
          <w:lang w:val="cs-CZ" w:eastAsia="cs-CZ"/>
        </w:rPr>
        <mc:AlternateContent>
          <mc:Choice Requires="wps">
            <w:drawing>
              <wp:anchor distT="0" distB="0" distL="0" distR="0" simplePos="0" relativeHeight="251656704" behindDoc="1" locked="0" layoutInCell="1" allowOverlap="1">
                <wp:simplePos x="0" y="0"/>
                <wp:positionH relativeFrom="page">
                  <wp:posOffset>701040</wp:posOffset>
                </wp:positionH>
                <wp:positionV relativeFrom="paragraph">
                  <wp:posOffset>135255</wp:posOffset>
                </wp:positionV>
                <wp:extent cx="6156960" cy="0"/>
                <wp:effectExtent l="5715" t="11430" r="9525" b="7620"/>
                <wp:wrapTopAndBottom/>
                <wp:docPr id="2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10.65pt" to="540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" strokeweight=".16936mm">
                <w10:wrap type="topAndBottom" anchorx="page"/>
              </v:line>
            </w:pict>
          </mc:Fallback>
        </mc:AlternateContent>
      </w:r>
    </w:p>
    <w:p>
      <w:pPr>
        <w:tabs>
          <w:tab w:val="left" w:pos="9412"/>
        </w:tabs>
        <w:spacing w:line="192" w:lineRule="exact"/>
        <w:ind w:left="712"/>
        <w:rPr>
          <w:rFonts w:ascii="Times New Roman" w:hAnsi="Times New Roman"/>
          <w:sz w:val="18"/>
          <w:lang w:val="cs-CZ"/>
        </w:rPr>
      </w:pPr>
      <w:r>
        <w:rPr>
          <w:rFonts w:ascii="Times New Roman" w:hAnsi="Times New Roman"/>
          <w:sz w:val="18"/>
          <w:lang w:val="cs-CZ"/>
        </w:rPr>
        <w:t>Kupní smlouva</w:t>
      </w:r>
      <w:r>
        <w:rPr>
          <w:rFonts w:ascii="Times New Roman" w:hAnsi="Times New Roman"/>
          <w:sz w:val="18"/>
          <w:lang w:val="cs-CZ"/>
        </w:rPr>
        <w:tab/>
        <w:t>1/6</w:t>
      </w:r>
    </w:p>
    <w:p>
      <w:pPr>
        <w:spacing w:line="192" w:lineRule="exact"/>
        <w:rPr>
          <w:rFonts w:ascii="Times New Roman" w:hAnsi="Times New Roman"/>
          <w:sz w:val="18"/>
          <w:lang w:val="cs-CZ"/>
        </w:rPr>
        <w:sectPr>
          <w:headerReference w:type="even" r:id="rId9"/>
          <w:headerReference w:type="default" r:id="rId10"/>
          <w:footerReference w:type="even" r:id="rId11"/>
          <w:footerReference w:type="default" r:id="rId12"/>
          <w:headerReference w:type="first" r:id="rId13"/>
          <w:footerReference w:type="first" r:id="rId14"/>
          <w:type w:val="continuous"/>
          <w:pgSz w:w="11900" w:h="16840"/>
          <w:pgMar w:top="560" w:right="420" w:bottom="280" w:left="420" w:header="708" w:footer="708" w:gutter="0"/>
          <w:cols w:space="708"/>
        </w:sectPr>
      </w:pPr>
    </w:p>
    <w:p>
      <w:pPr>
        <w:pStyle w:val="Zkladntext"/>
        <w:spacing w:line="20" w:lineRule="exact"/>
        <w:ind w:left="676"/>
        <w:jc w:val="left"/>
        <w:rPr>
          <w:rFonts w:ascii="Times New Roman"/>
          <w:sz w:val="2"/>
          <w:lang w:val="cs-CZ"/>
        </w:rPr>
      </w:pPr>
      <w:r>
        <w:rPr>
          <w:rFonts w:ascii="Times New Roman"/>
          <w:noProof/>
          <w:sz w:val="2"/>
          <w:lang w:val="cs-CZ" w:eastAsia="cs-CZ"/>
        </w:rPr>
        <w:lastRenderedPageBreak/>
        <mc:AlternateContent>
          <mc:Choice Requires="wpg">
            <w:drawing>
              <wp:inline distT="0" distB="0" distL="0" distR="0">
                <wp:extent cx="6156960" cy="9525"/>
                <wp:effectExtent l="9525" t="9525" r="5715" b="0"/>
                <wp:docPr id="2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9525"/>
                          <a:chOff x="0" y="0"/>
                          <a:chExt cx="9696" cy="15"/>
                        </a:xfrm>
                      </wpg:grpSpPr>
                      <wps:wsp>
                        <wps:cNvPr id="22" name="Line 14"/>
                        <wps:cNvCnPr/>
                        <wps:spPr bwMode="auto">
                          <a:xfrm>
                            <a:off x="0" y="7"/>
                            <a:ext cx="9696" cy="0"/>
                          </a:xfrm>
                          <a:prstGeom prst="line">
                            <a:avLst/>
                          </a:prstGeom>
                          <a:noFill/>
                          <a:ln w="9143">
                            <a:solidFill>
                              <a:srgbClr val="7F807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3" o:spid="_x0000_s1026" style="width:484.8pt;height:.75pt;mso-position-horizontal-relative:char;mso-position-vertical-relative:line" coordsize="9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">
                <v:line id="Line 14" o:spid="_x0000_s1027" style="position:absolute;visibility:visible;mso-wrap-style:square" from="0,7" to="9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uqucYAAADbAAAADwAAAGRycy9kb3ducmV2LnhtbESPQUsDMRSE70L/Q3gFbzbbBYtdmxZb&#10;kPVixW1LPT42r5u1m5dlE9v4740geBxm5htmsYq2ExcafOtYwXSSgSCunW65UbDfPd89gPABWWPn&#10;mBR8k4fVcnSzwEK7K7/TpQqNSBD2BSowIfSFlL42ZNFPXE+cvJMbLIYkh0bqAa8JbjuZZ9lMWmw5&#10;LRjsaWOoPldfVkF5eqvK+3k8vM62R1OuP8x2/hmVuh3Hp0cQgWL4D/+1X7SCPIffL+kHyOU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T7qrnGAAAA2wAAAA8AAAAAAAAA&#10;AAAAAAAAoQIAAGRycy9kb3ducmV2LnhtbFBLBQYAAAAABAAEAPkAAACUAwAAAAA=&#10;" strokecolor="#7f807f" strokeweight=".25397mm"/>
                <w10:anchorlock/>
              </v:group>
            </w:pict>
          </mc:Fallback>
        </mc:AlternateContent>
      </w:r>
    </w:p>
    <w:p>
      <w:pPr>
        <w:pStyle w:val="Nadpis1"/>
        <w:numPr>
          <w:ilvl w:val="0"/>
          <w:numId w:val="18"/>
        </w:numPr>
        <w:tabs>
          <w:tab w:val="left" w:pos="4730"/>
          <w:tab w:val="left" w:pos="4731"/>
        </w:tabs>
        <w:spacing w:before="54"/>
        <w:ind w:left="4730" w:hanging="708"/>
        <w:jc w:val="left"/>
        <w:rPr>
          <w:lang w:val="cs-CZ"/>
        </w:rPr>
      </w:pPr>
      <w:r>
        <w:rPr>
          <w:lang w:val="cs-CZ"/>
        </w:rPr>
        <w:t>Předmět</w:t>
      </w:r>
      <w:r>
        <w:rPr>
          <w:spacing w:val="-2"/>
          <w:lang w:val="cs-CZ"/>
        </w:rPr>
        <w:t xml:space="preserve"> </w:t>
      </w:r>
      <w:r>
        <w:rPr>
          <w:lang w:val="cs-CZ"/>
        </w:rPr>
        <w:t>plnění</w:t>
      </w:r>
    </w:p>
    <w:p>
      <w:pPr>
        <w:pStyle w:val="Nadpis3"/>
        <w:spacing w:before="238"/>
        <w:ind w:right="704"/>
        <w:jc w:val="both"/>
        <w:rPr>
          <w:lang w:val="cs-CZ"/>
        </w:rPr>
      </w:pPr>
      <w:r>
        <w:rPr>
          <w:lang w:val="cs-CZ"/>
        </w:rPr>
        <w:t xml:space="preserve">3.1. Předmětem plnění této Smlouvy je závazek Dodavatele poskytnout služby „Microsoft </w:t>
      </w:r>
      <w:proofErr w:type="spellStart"/>
      <w:r>
        <w:rPr>
          <w:lang w:val="cs-CZ"/>
        </w:rPr>
        <w:t>Premiere</w:t>
      </w:r>
      <w:proofErr w:type="spellEnd"/>
      <w:r>
        <w:rPr>
          <w:lang w:val="cs-CZ"/>
        </w:rPr>
        <w:t xml:space="preserve">  Support“ v souladu se smluvní politikou společnosti Microsoft Česká republika ( Microsoft s.r.o. ) a    s přílohou č. 2 </w:t>
      </w:r>
      <w:proofErr w:type="gramStart"/>
      <w:r>
        <w:rPr>
          <w:lang w:val="cs-CZ"/>
        </w:rPr>
        <w:t>této</w:t>
      </w:r>
      <w:proofErr w:type="gramEnd"/>
      <w:r>
        <w:rPr>
          <w:lang w:val="cs-CZ"/>
        </w:rPr>
        <w:t xml:space="preserve"> Smlouvy – Specifikace požadovaných</w:t>
      </w:r>
      <w:r>
        <w:rPr>
          <w:spacing w:val="-8"/>
          <w:lang w:val="cs-CZ"/>
        </w:rPr>
        <w:t xml:space="preserve"> </w:t>
      </w:r>
      <w:r>
        <w:rPr>
          <w:lang w:val="cs-CZ"/>
        </w:rPr>
        <w:t>služeb.</w:t>
      </w:r>
    </w:p>
    <w:p>
      <w:pPr>
        <w:pStyle w:val="Zkladntext"/>
        <w:spacing w:before="4"/>
        <w:ind w:left="0"/>
        <w:jc w:val="left"/>
        <w:rPr>
          <w:rFonts w:ascii="Times New Roman"/>
          <w:sz w:val="31"/>
          <w:lang w:val="cs-CZ"/>
        </w:rPr>
      </w:pPr>
    </w:p>
    <w:p>
      <w:pPr>
        <w:pStyle w:val="Odstavecseseznamem"/>
        <w:numPr>
          <w:ilvl w:val="0"/>
          <w:numId w:val="18"/>
        </w:numPr>
        <w:tabs>
          <w:tab w:val="left" w:pos="2899"/>
          <w:tab w:val="left" w:pos="2900"/>
        </w:tabs>
        <w:ind w:left="2899" w:hanging="708"/>
        <w:jc w:val="left"/>
        <w:rPr>
          <w:rFonts w:ascii="Arial" w:hAnsi="Arial"/>
          <w:b/>
          <w:sz w:val="32"/>
          <w:lang w:val="cs-CZ"/>
        </w:rPr>
      </w:pPr>
      <w:r>
        <w:rPr>
          <w:rFonts w:ascii="Arial" w:hAnsi="Arial"/>
          <w:b/>
          <w:spacing w:val="-3"/>
          <w:sz w:val="32"/>
          <w:lang w:val="cs-CZ"/>
        </w:rPr>
        <w:t xml:space="preserve">Termíny </w:t>
      </w:r>
      <w:r>
        <w:rPr>
          <w:rFonts w:ascii="Arial" w:hAnsi="Arial"/>
          <w:b/>
          <w:sz w:val="32"/>
          <w:lang w:val="cs-CZ"/>
        </w:rPr>
        <w:t>plnění, harmonogram</w:t>
      </w:r>
      <w:r>
        <w:rPr>
          <w:rFonts w:ascii="Arial" w:hAnsi="Arial"/>
          <w:b/>
          <w:spacing w:val="-1"/>
          <w:sz w:val="32"/>
          <w:lang w:val="cs-CZ"/>
        </w:rPr>
        <w:t xml:space="preserve"> </w:t>
      </w:r>
      <w:r>
        <w:rPr>
          <w:rFonts w:ascii="Arial" w:hAnsi="Arial"/>
          <w:b/>
          <w:sz w:val="32"/>
          <w:lang w:val="cs-CZ"/>
        </w:rPr>
        <w:t>dodávky</w:t>
      </w:r>
    </w:p>
    <w:p>
      <w:pPr>
        <w:tabs>
          <w:tab w:val="left" w:pos="1279"/>
        </w:tabs>
        <w:spacing w:before="241"/>
        <w:ind w:left="712"/>
        <w:rPr>
          <w:rFonts w:ascii="Times New Roman" w:hAnsi="Times New Roman"/>
          <w:lang w:val="cs-CZ"/>
        </w:rPr>
      </w:pPr>
      <w:proofErr w:type="gramStart"/>
      <w:r>
        <w:rPr>
          <w:rFonts w:ascii="Times New Roman" w:hAnsi="Times New Roman"/>
          <w:lang w:val="cs-CZ"/>
        </w:rPr>
        <w:t>4.1</w:t>
      </w:r>
      <w:proofErr w:type="gramEnd"/>
      <w:r>
        <w:rPr>
          <w:rFonts w:ascii="Times New Roman" w:hAnsi="Times New Roman"/>
          <w:lang w:val="cs-CZ"/>
        </w:rPr>
        <w:t>.</w:t>
      </w:r>
      <w:r>
        <w:rPr>
          <w:rFonts w:ascii="Times New Roman" w:hAnsi="Times New Roman"/>
          <w:lang w:val="cs-CZ"/>
        </w:rPr>
        <w:tab/>
        <w:t>Platnost smlouvy je dohodnuta na dobu 2 let od podpisu druhé ze smluvních</w:t>
      </w:r>
      <w:r>
        <w:rPr>
          <w:rFonts w:ascii="Times New Roman" w:hAnsi="Times New Roman"/>
          <w:spacing w:val="-11"/>
          <w:lang w:val="cs-CZ"/>
        </w:rPr>
        <w:t xml:space="preserve"> </w:t>
      </w:r>
      <w:r>
        <w:rPr>
          <w:rFonts w:ascii="Times New Roman" w:hAnsi="Times New Roman"/>
          <w:lang w:val="cs-CZ"/>
        </w:rPr>
        <w:t>stran.</w:t>
      </w:r>
    </w:p>
    <w:p>
      <w:pPr>
        <w:pStyle w:val="Zkladntext"/>
        <w:ind w:left="0"/>
        <w:jc w:val="left"/>
        <w:rPr>
          <w:rFonts w:ascii="Times New Roman"/>
          <w:sz w:val="24"/>
          <w:lang w:val="cs-CZ"/>
        </w:rPr>
      </w:pPr>
    </w:p>
    <w:p>
      <w:pPr>
        <w:pStyle w:val="Zkladntext"/>
        <w:spacing w:before="5"/>
        <w:ind w:left="0"/>
        <w:jc w:val="left"/>
        <w:rPr>
          <w:rFonts w:ascii="Times New Roman"/>
          <w:sz w:val="29"/>
          <w:lang w:val="cs-CZ"/>
        </w:rPr>
      </w:pPr>
    </w:p>
    <w:p>
      <w:pPr>
        <w:pStyle w:val="Odstavecseseznamem"/>
        <w:numPr>
          <w:ilvl w:val="0"/>
          <w:numId w:val="18"/>
        </w:numPr>
        <w:tabs>
          <w:tab w:val="left" w:pos="3218"/>
          <w:tab w:val="left" w:pos="3219"/>
        </w:tabs>
        <w:ind w:left="3218" w:hanging="708"/>
        <w:jc w:val="left"/>
        <w:rPr>
          <w:rFonts w:ascii="Arial" w:hAnsi="Arial"/>
          <w:b/>
          <w:sz w:val="32"/>
          <w:lang w:val="cs-CZ"/>
        </w:rPr>
      </w:pPr>
      <w:r>
        <w:rPr>
          <w:rFonts w:ascii="Arial" w:hAnsi="Arial"/>
          <w:b/>
          <w:sz w:val="32"/>
          <w:lang w:val="cs-CZ"/>
        </w:rPr>
        <w:t>Cena předmětu plnění (kupní cena)</w:t>
      </w:r>
    </w:p>
    <w:p>
      <w:pPr>
        <w:pStyle w:val="Odstavecseseznamem"/>
        <w:numPr>
          <w:ilvl w:val="1"/>
          <w:numId w:val="16"/>
        </w:numPr>
        <w:tabs>
          <w:tab w:val="left" w:pos="1280"/>
        </w:tabs>
        <w:spacing w:before="238"/>
        <w:ind w:right="704"/>
        <w:jc w:val="both"/>
        <w:rPr>
          <w:rFonts w:ascii="Times New Roman" w:hAnsi="Times New Roman"/>
          <w:lang w:val="cs-CZ"/>
        </w:rPr>
      </w:pPr>
      <w:r>
        <w:rPr>
          <w:rFonts w:ascii="Times New Roman" w:hAnsi="Times New Roman"/>
          <w:lang w:val="cs-CZ"/>
        </w:rPr>
        <w:t>Ceny uvedené v tomto článku jsou uvedeny jako ceny bez DPH, ke kterým bude připočteno DPH ve výši platné ke dni uzavření Smlouvy. Dojde-li ke změně sazby DPH, bude DPH účtována podle právních předpisů platných v době uskutečnění zdanitelného plnění. Takováto změna ceny není důvodem k uzavření dodatku ke</w:t>
      </w:r>
      <w:r>
        <w:rPr>
          <w:rFonts w:ascii="Times New Roman" w:hAnsi="Times New Roman"/>
          <w:spacing w:val="-5"/>
          <w:lang w:val="cs-CZ"/>
        </w:rPr>
        <w:t xml:space="preserve"> </w:t>
      </w:r>
      <w:r>
        <w:rPr>
          <w:rFonts w:ascii="Times New Roman" w:hAnsi="Times New Roman"/>
          <w:lang w:val="cs-CZ"/>
        </w:rPr>
        <w:t>Smlouvě.</w:t>
      </w:r>
    </w:p>
    <w:p>
      <w:pPr>
        <w:pStyle w:val="Odstavecseseznamem"/>
        <w:numPr>
          <w:ilvl w:val="1"/>
          <w:numId w:val="16"/>
        </w:numPr>
        <w:tabs>
          <w:tab w:val="left" w:pos="1334"/>
          <w:tab w:val="left" w:pos="1335"/>
        </w:tabs>
        <w:spacing w:before="61"/>
        <w:ind w:left="1334" w:hanging="622"/>
        <w:rPr>
          <w:rFonts w:ascii="Times New Roman" w:hAnsi="Times New Roman"/>
          <w:lang w:val="cs-CZ"/>
        </w:rPr>
      </w:pPr>
      <w:r>
        <w:rPr>
          <w:rFonts w:ascii="Times New Roman" w:hAnsi="Times New Roman"/>
          <w:lang w:val="cs-CZ"/>
        </w:rPr>
        <w:t xml:space="preserve">Celková cena předmětu plnění podle článku 3 je stanovena dohodou a </w:t>
      </w:r>
      <w:proofErr w:type="gramStart"/>
      <w:r>
        <w:rPr>
          <w:rFonts w:ascii="Times New Roman" w:hAnsi="Times New Roman"/>
          <w:lang w:val="cs-CZ"/>
        </w:rPr>
        <w:t>činí</w:t>
      </w:r>
      <w:r>
        <w:rPr>
          <w:rFonts w:ascii="Times New Roman" w:hAnsi="Times New Roman"/>
          <w:spacing w:val="-11"/>
          <w:lang w:val="cs-CZ"/>
        </w:rPr>
        <w:t xml:space="preserve"> </w:t>
      </w:r>
      <w:r>
        <w:rPr>
          <w:rFonts w:ascii="Times New Roman" w:hAnsi="Times New Roman"/>
          <w:lang w:val="cs-CZ"/>
        </w:rPr>
        <w:t>:</w:t>
      </w:r>
      <w:proofErr w:type="gramEnd"/>
    </w:p>
    <w:p>
      <w:pPr>
        <w:pStyle w:val="Zkladntext"/>
        <w:spacing w:before="6"/>
        <w:ind w:left="0"/>
        <w:jc w:val="left"/>
        <w:rPr>
          <w:rFonts w:ascii="Times New Roman"/>
          <w:sz w:val="27"/>
          <w:lang w:val="cs-CZ"/>
        </w:rPr>
      </w:pPr>
    </w:p>
    <w:tbl>
      <w:tblPr>
        <w:tblStyle w:val="TableNormal"/>
        <w:tblW w:w="0" w:type="auto"/>
        <w:tblInd w:w="13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421"/>
        <w:gridCol w:w="2261"/>
        <w:gridCol w:w="2441"/>
        <w:gridCol w:w="2379"/>
      </w:tblGrid>
      <w:tr>
        <w:trPr>
          <w:trHeight w:val="589"/>
        </w:trPr>
        <w:tc>
          <w:tcPr>
            <w:tcW w:w="1421" w:type="dxa"/>
          </w:tcPr>
          <w:p>
            <w:pPr>
              <w:pStyle w:val="TableParagraph"/>
              <w:spacing w:before="23" w:line="240" w:lineRule="auto"/>
              <w:ind w:left="71" w:right="232"/>
              <w:rPr>
                <w:rFonts w:ascii="Calibri" w:hAnsi="Calibri"/>
                <w:b/>
                <w:lang w:val="cs-CZ"/>
              </w:rPr>
            </w:pPr>
            <w:r>
              <w:rPr>
                <w:rFonts w:ascii="Calibri" w:hAnsi="Calibri"/>
                <w:b/>
                <w:lang w:val="cs-CZ"/>
              </w:rPr>
              <w:t>Rok čerpání služeb</w:t>
            </w:r>
          </w:p>
        </w:tc>
        <w:tc>
          <w:tcPr>
            <w:tcW w:w="2261" w:type="dxa"/>
          </w:tcPr>
          <w:p>
            <w:pPr>
              <w:pStyle w:val="TableParagraph"/>
              <w:spacing w:before="23" w:line="240" w:lineRule="auto"/>
              <w:ind w:left="71" w:right="124"/>
              <w:rPr>
                <w:rFonts w:ascii="Calibri" w:hAnsi="Calibri"/>
                <w:b/>
                <w:lang w:val="cs-CZ"/>
              </w:rPr>
            </w:pPr>
            <w:r>
              <w:rPr>
                <w:rFonts w:ascii="Calibri" w:hAnsi="Calibri"/>
                <w:b/>
                <w:lang w:val="cs-CZ"/>
              </w:rPr>
              <w:t>Předpokládaný rozsah služeb (v hodinách)</w:t>
            </w:r>
          </w:p>
        </w:tc>
        <w:tc>
          <w:tcPr>
            <w:tcW w:w="2441" w:type="dxa"/>
          </w:tcPr>
          <w:p>
            <w:pPr>
              <w:pStyle w:val="TableParagraph"/>
              <w:spacing w:before="157" w:line="240" w:lineRule="auto"/>
              <w:ind w:left="0" w:right="98"/>
              <w:jc w:val="right"/>
              <w:rPr>
                <w:rFonts w:ascii="Calibri" w:hAnsi="Calibri"/>
                <w:b/>
                <w:lang w:val="cs-CZ"/>
              </w:rPr>
            </w:pPr>
            <w:r>
              <w:rPr>
                <w:rFonts w:ascii="Calibri" w:hAnsi="Calibri"/>
                <w:b/>
                <w:lang w:val="cs-CZ"/>
              </w:rPr>
              <w:t>Hodinová sazba bez DPH</w:t>
            </w:r>
          </w:p>
        </w:tc>
        <w:tc>
          <w:tcPr>
            <w:tcW w:w="2379" w:type="dxa"/>
          </w:tcPr>
          <w:p>
            <w:pPr>
              <w:pStyle w:val="TableParagraph"/>
              <w:spacing w:before="23" w:line="240" w:lineRule="auto"/>
              <w:ind w:left="68" w:right="143"/>
              <w:rPr>
                <w:rFonts w:ascii="Calibri" w:hAnsi="Calibri"/>
                <w:b/>
                <w:lang w:val="cs-CZ"/>
              </w:rPr>
            </w:pPr>
            <w:r>
              <w:rPr>
                <w:rFonts w:ascii="Calibri" w:hAnsi="Calibri"/>
                <w:b/>
                <w:lang w:val="cs-CZ"/>
              </w:rPr>
              <w:t>Cena za předpokládaný rozsah služeb bez DPH</w:t>
            </w:r>
          </w:p>
        </w:tc>
      </w:tr>
      <w:tr>
        <w:trPr>
          <w:trHeight w:val="287"/>
        </w:trPr>
        <w:tc>
          <w:tcPr>
            <w:tcW w:w="1421" w:type="dxa"/>
            <w:tcBorders>
              <w:bottom w:val="single" w:sz="4" w:space="0" w:color="000000"/>
            </w:tcBorders>
          </w:tcPr>
          <w:p>
            <w:pPr>
              <w:pStyle w:val="TableParagraph"/>
              <w:spacing w:before="15" w:line="252" w:lineRule="exact"/>
              <w:ind w:left="0" w:right="44"/>
              <w:jc w:val="right"/>
              <w:rPr>
                <w:rFonts w:ascii="Calibri"/>
                <w:lang w:val="cs-CZ"/>
              </w:rPr>
            </w:pPr>
            <w:r>
              <w:rPr>
                <w:rFonts w:ascii="Calibri"/>
                <w:lang w:val="cs-CZ"/>
              </w:rPr>
              <w:t>2020</w:t>
            </w:r>
          </w:p>
        </w:tc>
        <w:tc>
          <w:tcPr>
            <w:tcW w:w="2261" w:type="dxa"/>
            <w:tcBorders>
              <w:bottom w:val="single" w:sz="4" w:space="0" w:color="000000"/>
            </w:tcBorders>
          </w:tcPr>
          <w:p>
            <w:pPr>
              <w:pStyle w:val="TableParagraph"/>
              <w:spacing w:before="15" w:line="252" w:lineRule="exact"/>
              <w:ind w:left="0" w:right="46"/>
              <w:jc w:val="right"/>
              <w:rPr>
                <w:rFonts w:ascii="Calibri"/>
                <w:lang w:val="cs-CZ"/>
              </w:rPr>
            </w:pPr>
            <w:r>
              <w:rPr>
                <w:rFonts w:ascii="Calibri"/>
                <w:lang w:val="cs-CZ"/>
              </w:rPr>
              <w:t>125</w:t>
            </w:r>
          </w:p>
        </w:tc>
        <w:tc>
          <w:tcPr>
            <w:tcW w:w="2441" w:type="dxa"/>
            <w:tcBorders>
              <w:bottom w:val="single" w:sz="4" w:space="0" w:color="000000"/>
            </w:tcBorders>
          </w:tcPr>
          <w:p>
            <w:pPr>
              <w:pStyle w:val="TableParagraph"/>
              <w:spacing w:before="15" w:line="252" w:lineRule="exact"/>
              <w:ind w:left="0" w:right="72"/>
              <w:jc w:val="right"/>
              <w:rPr>
                <w:rFonts w:ascii="Calibri" w:hAnsi="Calibri"/>
                <w:lang w:val="cs-CZ"/>
              </w:rPr>
            </w:pPr>
            <w:r>
              <w:rPr>
                <w:rFonts w:ascii="Calibri" w:hAnsi="Calibri"/>
                <w:lang w:val="cs-CZ"/>
              </w:rPr>
              <w:t>7 250,00 Kč</w:t>
            </w:r>
          </w:p>
        </w:tc>
        <w:tc>
          <w:tcPr>
            <w:tcW w:w="2379" w:type="dxa"/>
            <w:tcBorders>
              <w:bottom w:val="single" w:sz="4" w:space="0" w:color="000000"/>
            </w:tcBorders>
          </w:tcPr>
          <w:p>
            <w:pPr>
              <w:pStyle w:val="TableParagraph"/>
              <w:spacing w:before="15" w:line="252" w:lineRule="exact"/>
              <w:ind w:left="0" w:right="87"/>
              <w:jc w:val="right"/>
              <w:rPr>
                <w:rFonts w:ascii="Calibri" w:hAnsi="Calibri"/>
                <w:lang w:val="cs-CZ"/>
              </w:rPr>
            </w:pPr>
            <w:r>
              <w:rPr>
                <w:rFonts w:ascii="Calibri" w:hAnsi="Calibri"/>
                <w:lang w:val="cs-CZ"/>
              </w:rPr>
              <w:t>906 250,00 Kč</w:t>
            </w:r>
          </w:p>
        </w:tc>
      </w:tr>
      <w:tr>
        <w:trPr>
          <w:trHeight w:val="299"/>
        </w:trPr>
        <w:tc>
          <w:tcPr>
            <w:tcW w:w="1421" w:type="dxa"/>
            <w:tcBorders>
              <w:top w:val="single" w:sz="4" w:space="0" w:color="000000"/>
            </w:tcBorders>
          </w:tcPr>
          <w:p>
            <w:pPr>
              <w:pStyle w:val="TableParagraph"/>
              <w:spacing w:before="28" w:line="251" w:lineRule="exact"/>
              <w:ind w:left="0" w:right="44"/>
              <w:jc w:val="right"/>
              <w:rPr>
                <w:rFonts w:ascii="Calibri"/>
                <w:lang w:val="cs-CZ"/>
              </w:rPr>
            </w:pPr>
            <w:r>
              <w:rPr>
                <w:rFonts w:ascii="Calibri"/>
                <w:lang w:val="cs-CZ"/>
              </w:rPr>
              <w:t>2021</w:t>
            </w:r>
          </w:p>
        </w:tc>
        <w:tc>
          <w:tcPr>
            <w:tcW w:w="2261" w:type="dxa"/>
            <w:tcBorders>
              <w:top w:val="single" w:sz="4" w:space="0" w:color="000000"/>
            </w:tcBorders>
          </w:tcPr>
          <w:p>
            <w:pPr>
              <w:pStyle w:val="TableParagraph"/>
              <w:spacing w:before="28" w:line="251" w:lineRule="exact"/>
              <w:ind w:left="0" w:right="46"/>
              <w:jc w:val="right"/>
              <w:rPr>
                <w:rFonts w:ascii="Calibri"/>
                <w:lang w:val="cs-CZ"/>
              </w:rPr>
            </w:pPr>
            <w:r>
              <w:rPr>
                <w:rFonts w:ascii="Calibri"/>
                <w:lang w:val="cs-CZ"/>
              </w:rPr>
              <w:t>125</w:t>
            </w:r>
          </w:p>
        </w:tc>
        <w:tc>
          <w:tcPr>
            <w:tcW w:w="2441" w:type="dxa"/>
            <w:tcBorders>
              <w:top w:val="single" w:sz="4" w:space="0" w:color="000000"/>
            </w:tcBorders>
          </w:tcPr>
          <w:p>
            <w:pPr>
              <w:pStyle w:val="TableParagraph"/>
              <w:spacing w:before="28" w:line="251" w:lineRule="exact"/>
              <w:ind w:left="0" w:right="72"/>
              <w:jc w:val="right"/>
              <w:rPr>
                <w:rFonts w:ascii="Calibri" w:hAnsi="Calibri"/>
                <w:lang w:val="cs-CZ"/>
              </w:rPr>
            </w:pPr>
            <w:r>
              <w:rPr>
                <w:rFonts w:ascii="Calibri" w:hAnsi="Calibri"/>
                <w:lang w:val="cs-CZ"/>
              </w:rPr>
              <w:t>7 250,00 Kč</w:t>
            </w:r>
          </w:p>
        </w:tc>
        <w:tc>
          <w:tcPr>
            <w:tcW w:w="2379" w:type="dxa"/>
            <w:tcBorders>
              <w:top w:val="single" w:sz="4" w:space="0" w:color="000000"/>
            </w:tcBorders>
          </w:tcPr>
          <w:p>
            <w:pPr>
              <w:pStyle w:val="TableParagraph"/>
              <w:spacing w:before="28" w:line="251" w:lineRule="exact"/>
              <w:ind w:left="0" w:right="87"/>
              <w:jc w:val="right"/>
              <w:rPr>
                <w:rFonts w:ascii="Calibri" w:hAnsi="Calibri"/>
                <w:lang w:val="cs-CZ"/>
              </w:rPr>
            </w:pPr>
            <w:r>
              <w:rPr>
                <w:rFonts w:ascii="Calibri" w:hAnsi="Calibri"/>
                <w:lang w:val="cs-CZ"/>
              </w:rPr>
              <w:t>906 250,00 Kč</w:t>
            </w:r>
          </w:p>
        </w:tc>
      </w:tr>
      <w:tr>
        <w:trPr>
          <w:trHeight w:val="284"/>
        </w:trPr>
        <w:tc>
          <w:tcPr>
            <w:tcW w:w="1421" w:type="dxa"/>
            <w:shd w:val="clear" w:color="auto" w:fill="D9D9D9"/>
          </w:tcPr>
          <w:p>
            <w:pPr>
              <w:pStyle w:val="TableParagraph"/>
              <w:spacing w:line="240" w:lineRule="auto"/>
              <w:ind w:left="0"/>
              <w:rPr>
                <w:rFonts w:ascii="Times New Roman"/>
                <w:sz w:val="20"/>
                <w:lang w:val="cs-CZ"/>
              </w:rPr>
            </w:pPr>
          </w:p>
        </w:tc>
        <w:tc>
          <w:tcPr>
            <w:tcW w:w="4702" w:type="dxa"/>
            <w:gridSpan w:val="2"/>
            <w:tcBorders>
              <w:bottom w:val="single" w:sz="4" w:space="0" w:color="000000"/>
            </w:tcBorders>
          </w:tcPr>
          <w:p>
            <w:pPr>
              <w:pStyle w:val="TableParagraph"/>
              <w:spacing w:before="18" w:line="247" w:lineRule="exact"/>
              <w:ind w:left="71"/>
              <w:rPr>
                <w:rFonts w:ascii="Calibri" w:hAnsi="Calibri"/>
                <w:lang w:val="cs-CZ"/>
              </w:rPr>
            </w:pPr>
            <w:r>
              <w:rPr>
                <w:rFonts w:ascii="Calibri" w:hAnsi="Calibri"/>
                <w:lang w:val="cs-CZ"/>
              </w:rPr>
              <w:t>Celková cena bez DPH</w:t>
            </w:r>
          </w:p>
        </w:tc>
        <w:tc>
          <w:tcPr>
            <w:tcW w:w="2379" w:type="dxa"/>
            <w:tcBorders>
              <w:bottom w:val="single" w:sz="4" w:space="0" w:color="000000"/>
            </w:tcBorders>
          </w:tcPr>
          <w:p>
            <w:pPr>
              <w:pStyle w:val="TableParagraph"/>
              <w:spacing w:before="18" w:line="247" w:lineRule="exact"/>
              <w:ind w:left="0" w:right="75"/>
              <w:jc w:val="right"/>
              <w:rPr>
                <w:rFonts w:ascii="Calibri" w:hAnsi="Calibri"/>
                <w:lang w:val="cs-CZ"/>
              </w:rPr>
            </w:pPr>
            <w:r>
              <w:rPr>
                <w:rFonts w:ascii="Calibri" w:hAnsi="Calibri"/>
                <w:lang w:val="cs-CZ"/>
              </w:rPr>
              <w:t>1 812 500,00 Kč</w:t>
            </w:r>
          </w:p>
        </w:tc>
      </w:tr>
    </w:tbl>
    <w:p>
      <w:pPr>
        <w:pStyle w:val="Zkladntext"/>
        <w:spacing w:before="2"/>
        <w:ind w:left="0"/>
        <w:jc w:val="left"/>
        <w:rPr>
          <w:rFonts w:ascii="Times New Roman"/>
          <w:sz w:val="32"/>
          <w:lang w:val="cs-CZ"/>
        </w:rPr>
      </w:pPr>
    </w:p>
    <w:p>
      <w:pPr>
        <w:pStyle w:val="Odstavecseseznamem"/>
        <w:numPr>
          <w:ilvl w:val="1"/>
          <w:numId w:val="16"/>
        </w:numPr>
        <w:tabs>
          <w:tab w:val="left" w:pos="1280"/>
        </w:tabs>
        <w:ind w:right="702"/>
        <w:jc w:val="both"/>
        <w:rPr>
          <w:rFonts w:ascii="Times New Roman" w:hAnsi="Times New Roman"/>
          <w:lang w:val="cs-CZ"/>
        </w:rPr>
      </w:pPr>
      <w:r>
        <w:rPr>
          <w:rFonts w:ascii="Times New Roman" w:hAnsi="Times New Roman"/>
          <w:lang w:val="cs-CZ"/>
        </w:rPr>
        <w:t xml:space="preserve">Tato Smlouva umožnuje čerpání nad předpokládaný rozsah služeb uvedených v </w:t>
      </w:r>
      <w:proofErr w:type="gramStart"/>
      <w:r>
        <w:rPr>
          <w:rFonts w:ascii="Times New Roman" w:hAnsi="Times New Roman"/>
          <w:lang w:val="cs-CZ"/>
        </w:rPr>
        <w:t>čl.3 Smlouvy</w:t>
      </w:r>
      <w:proofErr w:type="gramEnd"/>
      <w:r>
        <w:rPr>
          <w:rFonts w:ascii="Times New Roman" w:hAnsi="Times New Roman"/>
          <w:lang w:val="cs-CZ"/>
        </w:rPr>
        <w:t xml:space="preserve"> a ceny  v čl.5 Smlouvy. Čerpání nad předpokládaný rozsah služeb ze Smlouvy dle odst. 5.2 Smlouvy se může vztahovat pouze k dokoupení balíčku/balíčků proaktivních či reaktivních hodin do maximálního </w:t>
      </w:r>
      <w:proofErr w:type="gramStart"/>
      <w:r>
        <w:rPr>
          <w:rFonts w:ascii="Times New Roman" w:hAnsi="Times New Roman"/>
          <w:lang w:val="cs-CZ"/>
        </w:rPr>
        <w:t>finančního  plnění</w:t>
      </w:r>
      <w:proofErr w:type="gramEnd"/>
      <w:r>
        <w:rPr>
          <w:rFonts w:ascii="Times New Roman" w:hAnsi="Times New Roman"/>
          <w:lang w:val="cs-CZ"/>
        </w:rPr>
        <w:t xml:space="preserve">  ze  Smlouvy  v hodnotě  2 000 000  Kč  bez  DPH.  V případě,  že  by  Odběratel   v prvním roce čerpání ze Smlouvy dokoupil balíček proaktivních či reaktivních hodin v rozsahu, jenž by ve druhém roce čerpání ze </w:t>
      </w:r>
      <w:proofErr w:type="gramStart"/>
      <w:r>
        <w:rPr>
          <w:rFonts w:ascii="Times New Roman" w:hAnsi="Times New Roman"/>
          <w:lang w:val="cs-CZ"/>
        </w:rPr>
        <w:t>Smlouvy   způsobil</w:t>
      </w:r>
      <w:proofErr w:type="gramEnd"/>
      <w:r>
        <w:rPr>
          <w:rFonts w:ascii="Times New Roman" w:hAnsi="Times New Roman"/>
          <w:lang w:val="cs-CZ"/>
        </w:rPr>
        <w:t xml:space="preserve"> překročení maximálního finančního plnění, bude      z předpokládaného čerpání služeb na druhý rok přesunut potřebný počet hodin do prvního roku čerpání. Hodinová sazba nad rámec předpokládaného rozsahu služeb činí 7 250,00 Kč bez </w:t>
      </w:r>
      <w:proofErr w:type="gramStart"/>
      <w:r>
        <w:rPr>
          <w:rFonts w:ascii="Times New Roman" w:hAnsi="Times New Roman"/>
          <w:lang w:val="cs-CZ"/>
        </w:rPr>
        <w:t>DPH</w:t>
      </w:r>
      <w:r>
        <w:rPr>
          <w:rFonts w:ascii="Times New Roman" w:hAnsi="Times New Roman"/>
          <w:spacing w:val="-20"/>
          <w:lang w:val="cs-CZ"/>
        </w:rPr>
        <w:t xml:space="preserve"> </w:t>
      </w:r>
      <w:r>
        <w:rPr>
          <w:rFonts w:ascii="Times New Roman" w:hAnsi="Times New Roman"/>
          <w:lang w:val="cs-CZ"/>
        </w:rPr>
        <w:t>.</w:t>
      </w:r>
      <w:proofErr w:type="gramEnd"/>
    </w:p>
    <w:p>
      <w:pPr>
        <w:pStyle w:val="Zkladntext"/>
        <w:spacing w:before="7"/>
        <w:ind w:left="0"/>
        <w:jc w:val="left"/>
        <w:rPr>
          <w:rFonts w:ascii="Times New Roman"/>
          <w:sz w:val="31"/>
          <w:lang w:val="cs-CZ"/>
        </w:rPr>
      </w:pPr>
    </w:p>
    <w:p>
      <w:pPr>
        <w:pStyle w:val="Odstavecseseznamem"/>
        <w:numPr>
          <w:ilvl w:val="0"/>
          <w:numId w:val="18"/>
        </w:numPr>
        <w:tabs>
          <w:tab w:val="left" w:pos="4461"/>
          <w:tab w:val="left" w:pos="4462"/>
        </w:tabs>
        <w:ind w:left="4461" w:hanging="708"/>
        <w:jc w:val="left"/>
        <w:rPr>
          <w:rFonts w:ascii="Arial" w:hAnsi="Arial"/>
          <w:b/>
          <w:sz w:val="32"/>
          <w:lang w:val="cs-CZ"/>
        </w:rPr>
      </w:pPr>
      <w:r>
        <w:rPr>
          <w:rFonts w:ascii="Arial" w:hAnsi="Arial"/>
          <w:b/>
          <w:sz w:val="32"/>
          <w:lang w:val="cs-CZ"/>
        </w:rPr>
        <w:t>Platební</w:t>
      </w:r>
      <w:r>
        <w:rPr>
          <w:rFonts w:ascii="Arial" w:hAnsi="Arial"/>
          <w:b/>
          <w:spacing w:val="-1"/>
          <w:sz w:val="32"/>
          <w:lang w:val="cs-CZ"/>
        </w:rPr>
        <w:t xml:space="preserve"> </w:t>
      </w:r>
      <w:r>
        <w:rPr>
          <w:rFonts w:ascii="Arial" w:hAnsi="Arial"/>
          <w:b/>
          <w:sz w:val="32"/>
          <w:lang w:val="cs-CZ"/>
        </w:rPr>
        <w:t>podmínky</w:t>
      </w:r>
    </w:p>
    <w:p>
      <w:pPr>
        <w:pStyle w:val="Odstavecseseznamem"/>
        <w:numPr>
          <w:ilvl w:val="1"/>
          <w:numId w:val="15"/>
        </w:numPr>
        <w:tabs>
          <w:tab w:val="left" w:pos="1279"/>
          <w:tab w:val="left" w:pos="1280"/>
        </w:tabs>
        <w:spacing w:before="238" w:line="252" w:lineRule="exact"/>
        <w:rPr>
          <w:rFonts w:ascii="Times New Roman" w:hAnsi="Times New Roman"/>
          <w:lang w:val="cs-CZ"/>
        </w:rPr>
      </w:pPr>
      <w:r>
        <w:rPr>
          <w:rFonts w:ascii="Times New Roman" w:hAnsi="Times New Roman"/>
          <w:lang w:val="cs-CZ"/>
        </w:rPr>
        <w:t>Způsob úhrady,</w:t>
      </w:r>
      <w:r>
        <w:rPr>
          <w:rFonts w:ascii="Times New Roman" w:hAnsi="Times New Roman"/>
          <w:spacing w:val="-1"/>
          <w:lang w:val="cs-CZ"/>
        </w:rPr>
        <w:t xml:space="preserve"> </w:t>
      </w:r>
      <w:r>
        <w:rPr>
          <w:rFonts w:ascii="Times New Roman" w:hAnsi="Times New Roman"/>
          <w:lang w:val="cs-CZ"/>
        </w:rPr>
        <w:t>splatnost</w:t>
      </w:r>
    </w:p>
    <w:p>
      <w:pPr>
        <w:ind w:left="1279" w:right="749"/>
        <w:rPr>
          <w:rFonts w:ascii="Times New Roman" w:hAnsi="Times New Roman"/>
          <w:lang w:val="cs-CZ"/>
        </w:rPr>
      </w:pPr>
      <w:r>
        <w:rPr>
          <w:rFonts w:ascii="Times New Roman" w:hAnsi="Times New Roman"/>
          <w:lang w:val="cs-CZ"/>
        </w:rPr>
        <w:t>Smluvní strany se dohodly na bezhotovostním placení z účtu Odběratele na účet Dodavatele. Platba se uskuteční v korunách českých na základě faktury - daňového dokladu, se splatností 30 dnů od prokazatelného obdržení faktury Odběratelem. Daňový doklad musí obsahovat veškeré náležitosti v souladu se zákonem č. 235/2004 Sb.</w:t>
      </w:r>
    </w:p>
    <w:p>
      <w:pPr>
        <w:ind w:left="1279" w:right="970"/>
        <w:rPr>
          <w:rFonts w:ascii="Times New Roman" w:hAnsi="Times New Roman"/>
          <w:lang w:val="cs-CZ"/>
        </w:rPr>
      </w:pPr>
      <w:r>
        <w:rPr>
          <w:rFonts w:ascii="Times New Roman" w:hAnsi="Times New Roman"/>
          <w:lang w:val="cs-CZ"/>
        </w:rPr>
        <w:t>V případě, že faktura vystavená Dodavatelem nebude obsahovat náležitosti dle této Smlouvy, je Odběratel oprávněn fakturu vrátit Dodavateli, přičemž po prokazatelném doručení opravené faktury začne znovu od počátku běžet lhůta její splatnosti.</w:t>
      </w:r>
    </w:p>
    <w:p>
      <w:pPr>
        <w:pStyle w:val="Odstavecseseznamem"/>
        <w:numPr>
          <w:ilvl w:val="1"/>
          <w:numId w:val="15"/>
        </w:numPr>
        <w:tabs>
          <w:tab w:val="left" w:pos="1279"/>
          <w:tab w:val="left" w:pos="1280"/>
        </w:tabs>
        <w:spacing w:before="60"/>
        <w:rPr>
          <w:rFonts w:ascii="Times New Roman" w:hAnsi="Times New Roman"/>
          <w:lang w:val="cs-CZ"/>
        </w:rPr>
      </w:pPr>
      <w:r>
        <w:rPr>
          <w:rFonts w:ascii="Times New Roman" w:hAnsi="Times New Roman"/>
          <w:lang w:val="cs-CZ"/>
        </w:rPr>
        <w:t>Povinnost úhrady</w:t>
      </w:r>
    </w:p>
    <w:p>
      <w:pPr>
        <w:spacing w:before="1"/>
        <w:ind w:left="1279"/>
        <w:rPr>
          <w:rFonts w:ascii="Times New Roman" w:hAnsi="Times New Roman"/>
          <w:lang w:val="cs-CZ"/>
        </w:rPr>
      </w:pPr>
      <w:r>
        <w:rPr>
          <w:rFonts w:ascii="Times New Roman" w:hAnsi="Times New Roman"/>
          <w:lang w:val="cs-CZ"/>
        </w:rPr>
        <w:t>Povinnost Odběratele zaplatit je splněna dnem připsání příslušné finanční částky na účet Dodavatele.</w:t>
      </w:r>
    </w:p>
    <w:p>
      <w:pPr>
        <w:pStyle w:val="Zkladntext"/>
        <w:spacing w:before="1"/>
        <w:ind w:left="0"/>
        <w:jc w:val="left"/>
        <w:rPr>
          <w:rFonts w:ascii="Times New Roman"/>
          <w:sz w:val="27"/>
          <w:lang w:val="cs-CZ"/>
        </w:rPr>
      </w:pPr>
    </w:p>
    <w:p>
      <w:pPr>
        <w:pStyle w:val="Odstavecseseznamem"/>
        <w:numPr>
          <w:ilvl w:val="1"/>
          <w:numId w:val="15"/>
        </w:numPr>
        <w:tabs>
          <w:tab w:val="left" w:pos="1279"/>
          <w:tab w:val="left" w:pos="1280"/>
        </w:tabs>
        <w:rPr>
          <w:rFonts w:ascii="Times New Roman" w:hAnsi="Times New Roman"/>
          <w:lang w:val="cs-CZ"/>
        </w:rPr>
      </w:pPr>
      <w:r>
        <w:rPr>
          <w:rFonts w:ascii="Times New Roman" w:hAnsi="Times New Roman"/>
          <w:lang w:val="cs-CZ"/>
        </w:rPr>
        <w:t>Právo a povinnost</w:t>
      </w:r>
      <w:r>
        <w:rPr>
          <w:rFonts w:ascii="Times New Roman" w:hAnsi="Times New Roman"/>
          <w:spacing w:val="-3"/>
          <w:lang w:val="cs-CZ"/>
        </w:rPr>
        <w:t xml:space="preserve"> </w:t>
      </w:r>
      <w:r>
        <w:rPr>
          <w:rFonts w:ascii="Times New Roman" w:hAnsi="Times New Roman"/>
          <w:lang w:val="cs-CZ"/>
        </w:rPr>
        <w:t>fakturovat</w:t>
      </w:r>
    </w:p>
    <w:p>
      <w:pPr>
        <w:pStyle w:val="Odstavecseseznamem"/>
        <w:numPr>
          <w:ilvl w:val="2"/>
          <w:numId w:val="15"/>
        </w:numPr>
        <w:tabs>
          <w:tab w:val="left" w:pos="1620"/>
        </w:tabs>
        <w:spacing w:before="61"/>
        <w:ind w:right="704"/>
        <w:rPr>
          <w:rFonts w:ascii="Times New Roman" w:hAnsi="Times New Roman"/>
          <w:lang w:val="cs-CZ"/>
        </w:rPr>
      </w:pPr>
      <w:proofErr w:type="gramStart"/>
      <w:r>
        <w:rPr>
          <w:rFonts w:ascii="Times New Roman" w:hAnsi="Times New Roman"/>
          <w:lang w:val="cs-CZ"/>
        </w:rPr>
        <w:t>Zhotoviteli  vzniká</w:t>
      </w:r>
      <w:proofErr w:type="gramEnd"/>
      <w:r>
        <w:rPr>
          <w:rFonts w:ascii="Times New Roman" w:hAnsi="Times New Roman"/>
          <w:lang w:val="cs-CZ"/>
        </w:rPr>
        <w:t xml:space="preserve"> právo fakturovat, tj. vystavit  daňový doklad Odběrateli  za plnění uvedené      v bodě 53.</w:t>
      </w:r>
      <w:r>
        <w:rPr>
          <w:rFonts w:ascii="Times New Roman" w:hAnsi="Times New Roman"/>
          <w:spacing w:val="-3"/>
          <w:lang w:val="cs-CZ"/>
        </w:rPr>
        <w:t xml:space="preserve"> </w:t>
      </w:r>
      <w:r>
        <w:rPr>
          <w:rFonts w:ascii="Times New Roman" w:hAnsi="Times New Roman"/>
          <w:lang w:val="cs-CZ"/>
        </w:rPr>
        <w:t>:</w:t>
      </w:r>
    </w:p>
    <w:p>
      <w:pPr>
        <w:rPr>
          <w:rFonts w:ascii="Times New Roman" w:hAnsi="Times New Roman"/>
          <w:lang w:val="cs-CZ"/>
        </w:rPr>
        <w:sectPr>
          <w:footerReference w:type="default" r:id="rId15"/>
          <w:pgSz w:w="11900" w:h="16840"/>
          <w:pgMar w:top="1200" w:right="420" w:bottom="1100" w:left="420" w:header="0" w:footer="917" w:gutter="0"/>
          <w:pgNumType w:start="2"/>
          <w:cols w:space="708"/>
        </w:sectPr>
      </w:pPr>
    </w:p>
    <w:p>
      <w:pPr>
        <w:pStyle w:val="Zkladntext"/>
        <w:spacing w:line="20" w:lineRule="exact"/>
        <w:ind w:left="676"/>
        <w:jc w:val="left"/>
        <w:rPr>
          <w:rFonts w:ascii="Times New Roman"/>
          <w:sz w:val="2"/>
          <w:lang w:val="cs-CZ"/>
        </w:rPr>
      </w:pPr>
      <w:r>
        <w:rPr>
          <w:rFonts w:ascii="Times New Roman"/>
          <w:noProof/>
          <w:sz w:val="2"/>
          <w:lang w:val="cs-CZ" w:eastAsia="cs-CZ"/>
        </w:rPr>
        <w:lastRenderedPageBreak/>
        <mc:AlternateContent>
          <mc:Choice Requires="wpg">
            <w:drawing>
              <wp:inline distT="0" distB="0" distL="0" distR="0">
                <wp:extent cx="6156960" cy="9525"/>
                <wp:effectExtent l="9525" t="9525" r="5715" b="0"/>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9525"/>
                          <a:chOff x="0" y="0"/>
                          <a:chExt cx="9696" cy="15"/>
                        </a:xfrm>
                      </wpg:grpSpPr>
                      <wps:wsp>
                        <wps:cNvPr id="20" name="Line 12"/>
                        <wps:cNvCnPr/>
                        <wps:spPr bwMode="auto">
                          <a:xfrm>
                            <a:off x="0" y="7"/>
                            <a:ext cx="9696" cy="0"/>
                          </a:xfrm>
                          <a:prstGeom prst="line">
                            <a:avLst/>
                          </a:prstGeom>
                          <a:noFill/>
                          <a:ln w="9143">
                            <a:solidFill>
                              <a:srgbClr val="7F807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 o:spid="_x0000_s1026" style="width:484.8pt;height:.75pt;mso-position-horizontal-relative:char;mso-position-vertical-relative:line" coordsize="9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">
                <v:line id="Line 12" o:spid="_x0000_s1027" style="position:absolute;visibility:visible;mso-wrap-style:square" from="0,7" to="9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WRVcIAAADbAAAADwAAAGRycy9kb3ducmV2LnhtbERPz2vCMBS+D/Y/hDfYbaYKk1mN4gaj&#10;XqasU/T4aJ5NXfNSmqjZf28OA48f3+/ZItpWXKj3jWMFw0EGgrhyuuFawfbn8+UNhA/IGlvHpOCP&#10;PCzmjw8zzLW78jddylCLFMI+RwUmhC6X0leGLPqB64gTd3S9xZBgX0vd4zWF21aOsmwsLTacGgx2&#10;9GGo+i3PVkFx3JTF6yTuvsbrvSneD2Y9OUWlnp/icgoiUAx38b97pRWM0vr0Jf0AOb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WRVcIAAADbAAAADwAAAAAAAAAAAAAA&#10;AAChAgAAZHJzL2Rvd25yZXYueG1sUEsFBgAAAAAEAAQA+QAAAJADAAAAAA==&#10;" strokecolor="#7f807f" strokeweight=".25397mm"/>
                <w10:anchorlock/>
              </v:group>
            </w:pict>
          </mc:Fallback>
        </mc:AlternateContent>
      </w:r>
    </w:p>
    <w:p>
      <w:pPr>
        <w:spacing w:before="53"/>
        <w:ind w:left="1420" w:right="834"/>
        <w:rPr>
          <w:rFonts w:ascii="Times New Roman" w:hAnsi="Times New Roman"/>
          <w:lang w:val="cs-CZ"/>
        </w:rPr>
      </w:pPr>
      <w:r>
        <w:rPr>
          <w:rFonts w:ascii="Times New Roman" w:hAnsi="Times New Roman"/>
          <w:lang w:val="cs-CZ"/>
        </w:rPr>
        <w:t>Platba na 1 – 12. měsíc bude realizována v návaznosti na podpis smlouvy. Platba na 13. – 24. měsíc bude realizována na základě vystavení faktury dodavatelem k výročí uzavření smlouvy.</w:t>
      </w:r>
    </w:p>
    <w:p>
      <w:pPr>
        <w:ind w:left="1279" w:right="1075" w:firstLine="139"/>
        <w:rPr>
          <w:rFonts w:ascii="Times New Roman" w:hAnsi="Times New Roman"/>
          <w:lang w:val="cs-CZ"/>
        </w:rPr>
      </w:pPr>
      <w:r>
        <w:rPr>
          <w:rFonts w:ascii="Times New Roman" w:hAnsi="Times New Roman"/>
          <w:lang w:val="cs-CZ"/>
        </w:rPr>
        <w:t xml:space="preserve">Cena za požadované služby dle </w:t>
      </w:r>
      <w:proofErr w:type="spellStart"/>
      <w:r>
        <w:rPr>
          <w:rFonts w:ascii="Times New Roman" w:hAnsi="Times New Roman"/>
          <w:lang w:val="cs-CZ"/>
        </w:rPr>
        <w:t>přilohy</w:t>
      </w:r>
      <w:proofErr w:type="spellEnd"/>
      <w:r>
        <w:rPr>
          <w:rFonts w:ascii="Times New Roman" w:hAnsi="Times New Roman"/>
          <w:lang w:val="cs-CZ"/>
        </w:rPr>
        <w:t xml:space="preserve"> </w:t>
      </w:r>
      <w:proofErr w:type="gramStart"/>
      <w:r>
        <w:rPr>
          <w:rFonts w:ascii="Times New Roman" w:hAnsi="Times New Roman"/>
          <w:lang w:val="cs-CZ"/>
        </w:rPr>
        <w:t>č.2 této</w:t>
      </w:r>
      <w:proofErr w:type="gramEnd"/>
      <w:r>
        <w:rPr>
          <w:rFonts w:ascii="Times New Roman" w:hAnsi="Times New Roman"/>
          <w:lang w:val="cs-CZ"/>
        </w:rPr>
        <w:t xml:space="preserve"> Smlouvy bude hrazena 1x ročně, vždy předem za příslušný kalendářní rok.</w:t>
      </w:r>
    </w:p>
    <w:p>
      <w:pPr>
        <w:pStyle w:val="Odstavecseseznamem"/>
        <w:numPr>
          <w:ilvl w:val="1"/>
          <w:numId w:val="15"/>
        </w:numPr>
        <w:tabs>
          <w:tab w:val="left" w:pos="1279"/>
          <w:tab w:val="left" w:pos="1280"/>
        </w:tabs>
        <w:spacing w:before="61"/>
        <w:ind w:right="704"/>
        <w:rPr>
          <w:rFonts w:ascii="Times New Roman" w:hAnsi="Times New Roman"/>
          <w:lang w:val="cs-CZ"/>
        </w:rPr>
      </w:pPr>
      <w:r>
        <w:rPr>
          <w:rFonts w:ascii="Times New Roman" w:hAnsi="Times New Roman"/>
          <w:lang w:val="cs-CZ"/>
        </w:rPr>
        <w:t>Podkladem pro vyúčtování ceny je vystavená faktura, která musí mít náležitosti daňového doklady dle platných právních</w:t>
      </w:r>
      <w:r>
        <w:rPr>
          <w:rFonts w:ascii="Times New Roman" w:hAnsi="Times New Roman"/>
          <w:spacing w:val="-1"/>
          <w:lang w:val="cs-CZ"/>
        </w:rPr>
        <w:t xml:space="preserve"> </w:t>
      </w:r>
      <w:r>
        <w:rPr>
          <w:rFonts w:ascii="Times New Roman" w:hAnsi="Times New Roman"/>
          <w:lang w:val="cs-CZ"/>
        </w:rPr>
        <w:t>předpisů.</w:t>
      </w:r>
    </w:p>
    <w:p>
      <w:pPr>
        <w:pStyle w:val="Odstavecseseznamem"/>
        <w:numPr>
          <w:ilvl w:val="1"/>
          <w:numId w:val="15"/>
        </w:numPr>
        <w:tabs>
          <w:tab w:val="left" w:pos="1279"/>
          <w:tab w:val="left" w:pos="1280"/>
        </w:tabs>
        <w:spacing w:before="58"/>
        <w:rPr>
          <w:rFonts w:ascii="Times New Roman" w:hAnsi="Times New Roman"/>
          <w:lang w:val="cs-CZ"/>
        </w:rPr>
      </w:pPr>
      <w:r>
        <w:rPr>
          <w:rFonts w:ascii="Times New Roman" w:hAnsi="Times New Roman"/>
          <w:lang w:val="cs-CZ"/>
        </w:rPr>
        <w:t xml:space="preserve">Faktura bude doručena elektronicky na podatelnu Odběratele na </w:t>
      </w:r>
      <w:proofErr w:type="gramStart"/>
      <w:r>
        <w:rPr>
          <w:rFonts w:ascii="Times New Roman" w:hAnsi="Times New Roman"/>
          <w:lang w:val="cs-CZ"/>
        </w:rPr>
        <w:t>adrese :</w:t>
      </w:r>
      <w:r>
        <w:rPr>
          <w:rFonts w:ascii="Times New Roman" w:hAnsi="Times New Roman"/>
          <w:spacing w:val="-10"/>
          <w:lang w:val="cs-CZ"/>
        </w:rPr>
        <w:t xml:space="preserve"> </w:t>
      </w:r>
      <w:hyperlink r:id="rId16">
        <w:r>
          <w:rPr>
            <w:rFonts w:ascii="Times New Roman" w:hAnsi="Times New Roman"/>
            <w:lang w:val="cs-CZ"/>
          </w:rPr>
          <w:t>podatelna@sfdi</w:t>
        </w:r>
        <w:proofErr w:type="gramEnd"/>
        <w:r>
          <w:rPr>
            <w:rFonts w:ascii="Times New Roman" w:hAnsi="Times New Roman"/>
            <w:lang w:val="cs-CZ"/>
          </w:rPr>
          <w:t>.cz</w:t>
        </w:r>
      </w:hyperlink>
    </w:p>
    <w:p>
      <w:pPr>
        <w:pStyle w:val="Zkladntext"/>
        <w:spacing w:before="6"/>
        <w:ind w:left="0"/>
        <w:jc w:val="left"/>
        <w:rPr>
          <w:rFonts w:ascii="Times New Roman"/>
          <w:sz w:val="31"/>
          <w:lang w:val="cs-CZ"/>
        </w:rPr>
      </w:pPr>
    </w:p>
    <w:p>
      <w:pPr>
        <w:pStyle w:val="Odstavecseseznamem"/>
        <w:numPr>
          <w:ilvl w:val="0"/>
          <w:numId w:val="18"/>
        </w:numPr>
        <w:tabs>
          <w:tab w:val="left" w:pos="4391"/>
          <w:tab w:val="left" w:pos="4393"/>
        </w:tabs>
        <w:ind w:left="4392" w:hanging="708"/>
        <w:jc w:val="left"/>
        <w:rPr>
          <w:rFonts w:ascii="Arial" w:hAnsi="Arial"/>
          <w:b/>
          <w:sz w:val="32"/>
          <w:lang w:val="cs-CZ"/>
        </w:rPr>
      </w:pPr>
      <w:r>
        <w:rPr>
          <w:rFonts w:ascii="Arial" w:hAnsi="Arial"/>
          <w:b/>
          <w:sz w:val="32"/>
          <w:lang w:val="cs-CZ"/>
        </w:rPr>
        <w:t>Zmocnění k</w:t>
      </w:r>
      <w:r>
        <w:rPr>
          <w:rFonts w:ascii="Arial" w:hAnsi="Arial"/>
          <w:b/>
          <w:spacing w:val="-2"/>
          <w:sz w:val="32"/>
          <w:lang w:val="cs-CZ"/>
        </w:rPr>
        <w:t xml:space="preserve"> </w:t>
      </w:r>
      <w:r>
        <w:rPr>
          <w:rFonts w:ascii="Arial" w:hAnsi="Arial"/>
          <w:b/>
          <w:sz w:val="32"/>
          <w:lang w:val="cs-CZ"/>
        </w:rPr>
        <w:t>jednání</w:t>
      </w:r>
    </w:p>
    <w:p>
      <w:pPr>
        <w:pStyle w:val="Odstavecseseznamem"/>
        <w:numPr>
          <w:ilvl w:val="1"/>
          <w:numId w:val="14"/>
        </w:numPr>
        <w:tabs>
          <w:tab w:val="left" w:pos="1279"/>
          <w:tab w:val="left" w:pos="1280"/>
        </w:tabs>
        <w:spacing w:before="238"/>
        <w:rPr>
          <w:rFonts w:ascii="Times New Roman" w:hAnsi="Times New Roman"/>
          <w:lang w:val="cs-CZ"/>
        </w:rPr>
      </w:pPr>
      <w:r>
        <w:rPr>
          <w:rFonts w:ascii="Times New Roman" w:hAnsi="Times New Roman"/>
          <w:lang w:val="cs-CZ"/>
        </w:rPr>
        <w:t>Kontaktní</w:t>
      </w:r>
      <w:r>
        <w:rPr>
          <w:rFonts w:ascii="Times New Roman" w:hAnsi="Times New Roman"/>
          <w:spacing w:val="-2"/>
          <w:lang w:val="cs-CZ"/>
        </w:rPr>
        <w:t xml:space="preserve"> </w:t>
      </w:r>
      <w:r>
        <w:rPr>
          <w:rFonts w:ascii="Times New Roman" w:hAnsi="Times New Roman"/>
          <w:lang w:val="cs-CZ"/>
        </w:rPr>
        <w:t>osoby</w:t>
      </w:r>
    </w:p>
    <w:p>
      <w:pPr>
        <w:pStyle w:val="Odstavecseseznamem"/>
        <w:numPr>
          <w:ilvl w:val="2"/>
          <w:numId w:val="14"/>
        </w:numPr>
        <w:tabs>
          <w:tab w:val="left" w:pos="1620"/>
        </w:tabs>
        <w:spacing w:before="59"/>
        <w:rPr>
          <w:rFonts w:ascii="Times New Roman" w:hAnsi="Times New Roman"/>
          <w:lang w:val="cs-CZ"/>
        </w:rPr>
      </w:pPr>
      <w:r>
        <w:rPr>
          <w:rFonts w:ascii="Times New Roman" w:hAnsi="Times New Roman"/>
          <w:lang w:val="cs-CZ"/>
        </w:rPr>
        <w:t>Kontaktní osoba</w:t>
      </w:r>
      <w:r>
        <w:rPr>
          <w:rFonts w:ascii="Times New Roman" w:hAnsi="Times New Roman"/>
          <w:spacing w:val="-3"/>
          <w:lang w:val="cs-CZ"/>
        </w:rPr>
        <w:t xml:space="preserve"> </w:t>
      </w:r>
      <w:r>
        <w:rPr>
          <w:rFonts w:ascii="Times New Roman" w:hAnsi="Times New Roman"/>
          <w:lang w:val="cs-CZ"/>
        </w:rPr>
        <w:t>Dodavatele:</w:t>
      </w:r>
    </w:p>
    <w:p>
      <w:pPr>
        <w:spacing w:before="1" w:line="252" w:lineRule="exact"/>
        <w:ind w:left="2332"/>
        <w:rPr>
          <w:rFonts w:ascii="Times New Roman" w:hAnsi="Times New Roman"/>
          <w:i/>
          <w:lang w:val="cs-CZ"/>
        </w:rPr>
      </w:pPr>
      <w:r>
        <w:rPr>
          <w:rFonts w:ascii="Times New Roman" w:hAnsi="Times New Roman"/>
          <w:i/>
          <w:lang w:val="cs-CZ"/>
        </w:rPr>
        <w:t xml:space="preserve">Jméno, Příjmení: </w:t>
      </w:r>
      <w:proofErr w:type="spellStart"/>
      <w:r>
        <w:rPr>
          <w:rFonts w:ascii="Times New Roman" w:hAnsi="Times New Roman"/>
          <w:i/>
          <w:lang w:val="cs-CZ"/>
        </w:rPr>
        <w:t>xxx</w:t>
      </w:r>
      <w:proofErr w:type="spellEnd"/>
    </w:p>
    <w:p>
      <w:pPr>
        <w:ind w:left="2332" w:right="5762"/>
        <w:rPr>
          <w:lang w:val="cs-CZ"/>
        </w:rPr>
      </w:pPr>
      <w:r>
        <w:rPr>
          <w:rFonts w:ascii="Times New Roman"/>
          <w:i/>
          <w:lang w:val="cs-CZ"/>
        </w:rPr>
        <w:t xml:space="preserve">e-mail: </w:t>
      </w:r>
      <w:proofErr w:type="spellStart"/>
      <w:r>
        <w:rPr>
          <w:lang w:val="cs-CZ"/>
        </w:rPr>
        <w:t>xxx</w:t>
      </w:r>
      <w:proofErr w:type="spellEnd"/>
    </w:p>
    <w:p>
      <w:pPr>
        <w:ind w:left="2332" w:right="5762"/>
        <w:rPr>
          <w:rFonts w:ascii="Times New Roman"/>
          <w:i/>
          <w:lang w:val="cs-CZ"/>
        </w:rPr>
      </w:pPr>
      <w:r>
        <w:rPr>
          <w:rFonts w:ascii="Times New Roman"/>
          <w:i/>
          <w:lang w:val="cs-CZ"/>
        </w:rPr>
        <w:t xml:space="preserve">tel: </w:t>
      </w:r>
      <w:proofErr w:type="spellStart"/>
      <w:r>
        <w:rPr>
          <w:rFonts w:ascii="Times New Roman"/>
          <w:i/>
          <w:lang w:val="cs-CZ"/>
        </w:rPr>
        <w:t>xxx</w:t>
      </w:r>
      <w:proofErr w:type="spellEnd"/>
    </w:p>
    <w:p>
      <w:pPr>
        <w:pStyle w:val="Zkladntext"/>
        <w:spacing w:before="4"/>
        <w:ind w:left="0"/>
        <w:jc w:val="left"/>
        <w:rPr>
          <w:rFonts w:ascii="Times New Roman"/>
          <w:i/>
          <w:sz w:val="27"/>
          <w:lang w:val="cs-CZ"/>
        </w:rPr>
      </w:pPr>
    </w:p>
    <w:p>
      <w:pPr>
        <w:pStyle w:val="Odstavecseseznamem"/>
        <w:numPr>
          <w:ilvl w:val="2"/>
          <w:numId w:val="14"/>
        </w:numPr>
        <w:tabs>
          <w:tab w:val="left" w:pos="1620"/>
        </w:tabs>
        <w:spacing w:line="252" w:lineRule="exact"/>
        <w:rPr>
          <w:rFonts w:ascii="Times New Roman" w:hAnsi="Times New Roman"/>
          <w:lang w:val="cs-CZ"/>
        </w:rPr>
      </w:pPr>
      <w:r>
        <w:rPr>
          <w:rFonts w:ascii="Times New Roman" w:hAnsi="Times New Roman"/>
          <w:lang w:val="cs-CZ"/>
        </w:rPr>
        <w:t>Kontaktní osoba</w:t>
      </w:r>
      <w:r>
        <w:rPr>
          <w:rFonts w:ascii="Times New Roman" w:hAnsi="Times New Roman"/>
          <w:spacing w:val="-3"/>
          <w:lang w:val="cs-CZ"/>
        </w:rPr>
        <w:t xml:space="preserve"> </w:t>
      </w:r>
      <w:r>
        <w:rPr>
          <w:rFonts w:ascii="Times New Roman" w:hAnsi="Times New Roman"/>
          <w:lang w:val="cs-CZ"/>
        </w:rPr>
        <w:t>Odběratele:</w:t>
      </w:r>
    </w:p>
    <w:p>
      <w:pPr>
        <w:ind w:left="2332" w:right="5314" w:hanging="1"/>
        <w:rPr>
          <w:rFonts w:ascii="Times New Roman" w:hAnsi="Times New Roman"/>
          <w:i/>
          <w:lang w:val="cs-CZ"/>
        </w:rPr>
      </w:pPr>
      <w:r>
        <w:rPr>
          <w:rFonts w:ascii="Times New Roman" w:hAnsi="Times New Roman"/>
          <w:i/>
          <w:lang w:val="cs-CZ"/>
        </w:rPr>
        <w:t xml:space="preserve">Jméno, Příjmení: Ing. Helena Šebková e-mail: </w:t>
      </w:r>
      <w:hyperlink r:id="rId17">
        <w:r>
          <w:rPr>
            <w:rFonts w:ascii="Times New Roman" w:hAnsi="Times New Roman"/>
            <w:i/>
            <w:lang w:val="cs-CZ"/>
          </w:rPr>
          <w:t>helena.sebkova@sfdi.cz</w:t>
        </w:r>
      </w:hyperlink>
    </w:p>
    <w:p>
      <w:pPr>
        <w:spacing w:line="252" w:lineRule="exact"/>
        <w:ind w:left="2332"/>
        <w:rPr>
          <w:rFonts w:ascii="Times New Roman"/>
          <w:i/>
          <w:lang w:val="cs-CZ"/>
        </w:rPr>
      </w:pPr>
      <w:r>
        <w:rPr>
          <w:rFonts w:ascii="Times New Roman"/>
          <w:i/>
          <w:lang w:val="cs-CZ"/>
        </w:rPr>
        <w:t xml:space="preserve">tel: 266 097 430, mobil </w:t>
      </w:r>
      <w:proofErr w:type="gramStart"/>
      <w:r>
        <w:rPr>
          <w:rFonts w:ascii="Times New Roman"/>
          <w:i/>
          <w:lang w:val="cs-CZ"/>
        </w:rPr>
        <w:t>735 042 467, ,</w:t>
      </w:r>
      <w:proofErr w:type="gramEnd"/>
    </w:p>
    <w:p>
      <w:pPr>
        <w:spacing w:line="252" w:lineRule="exact"/>
        <w:ind w:left="2332"/>
        <w:rPr>
          <w:rFonts w:ascii="Times New Roman" w:hAnsi="Times New Roman"/>
          <w:i/>
          <w:lang w:val="cs-CZ"/>
        </w:rPr>
      </w:pPr>
      <w:r>
        <w:rPr>
          <w:rFonts w:ascii="Times New Roman" w:hAnsi="Times New Roman"/>
          <w:i/>
          <w:lang w:val="cs-CZ"/>
        </w:rPr>
        <w:t>adresa: Státní fond dopravní infrastruktury, Sokolovská 1955/278, 190 00 Praha</w:t>
      </w:r>
    </w:p>
    <w:p>
      <w:pPr>
        <w:pStyle w:val="Odstavecseseznamem"/>
        <w:numPr>
          <w:ilvl w:val="1"/>
          <w:numId w:val="14"/>
        </w:numPr>
        <w:tabs>
          <w:tab w:val="left" w:pos="1279"/>
          <w:tab w:val="left" w:pos="1280"/>
        </w:tabs>
        <w:spacing w:before="62" w:line="252" w:lineRule="exact"/>
        <w:rPr>
          <w:rFonts w:ascii="Times New Roman" w:hAnsi="Times New Roman"/>
          <w:lang w:val="cs-CZ"/>
        </w:rPr>
      </w:pPr>
      <w:r>
        <w:rPr>
          <w:rFonts w:ascii="Times New Roman" w:hAnsi="Times New Roman"/>
          <w:lang w:val="cs-CZ"/>
        </w:rPr>
        <w:t>Oprávněné</w:t>
      </w:r>
      <w:r>
        <w:rPr>
          <w:rFonts w:ascii="Times New Roman" w:hAnsi="Times New Roman"/>
          <w:spacing w:val="-1"/>
          <w:lang w:val="cs-CZ"/>
        </w:rPr>
        <w:t xml:space="preserve"> </w:t>
      </w:r>
      <w:r>
        <w:rPr>
          <w:rFonts w:ascii="Times New Roman" w:hAnsi="Times New Roman"/>
          <w:lang w:val="cs-CZ"/>
        </w:rPr>
        <w:t>osoby</w:t>
      </w:r>
    </w:p>
    <w:p>
      <w:pPr>
        <w:ind w:left="712" w:right="1077"/>
        <w:rPr>
          <w:rFonts w:ascii="Times New Roman" w:hAnsi="Times New Roman"/>
          <w:lang w:val="cs-CZ"/>
        </w:rPr>
      </w:pPr>
      <w:r>
        <w:rPr>
          <w:rFonts w:ascii="Times New Roman" w:hAnsi="Times New Roman"/>
          <w:lang w:val="cs-CZ"/>
        </w:rPr>
        <w:t>Jsou zplnomocněné osoby smluvních stran, které jsou oprávněny jednat jménem smluvních stran o všech smluvních a obchodních záležitostech týkajících se Smlouvy a souvisejících s jejím plněním.</w:t>
      </w:r>
    </w:p>
    <w:p>
      <w:pPr>
        <w:pStyle w:val="Odstavecseseznamem"/>
        <w:numPr>
          <w:ilvl w:val="2"/>
          <w:numId w:val="14"/>
        </w:numPr>
        <w:tabs>
          <w:tab w:val="left" w:pos="1620"/>
        </w:tabs>
        <w:spacing w:before="59" w:line="252" w:lineRule="exact"/>
        <w:ind w:left="1619"/>
        <w:rPr>
          <w:rFonts w:ascii="Times New Roman" w:hAnsi="Times New Roman"/>
          <w:lang w:val="cs-CZ"/>
        </w:rPr>
      </w:pPr>
      <w:r>
        <w:rPr>
          <w:rFonts w:ascii="Times New Roman" w:hAnsi="Times New Roman"/>
          <w:lang w:val="cs-CZ"/>
        </w:rPr>
        <w:t>Oprávněné osoby</w:t>
      </w:r>
      <w:r>
        <w:rPr>
          <w:rFonts w:ascii="Times New Roman" w:hAnsi="Times New Roman"/>
          <w:spacing w:val="-4"/>
          <w:lang w:val="cs-CZ"/>
        </w:rPr>
        <w:t xml:space="preserve"> </w:t>
      </w:r>
      <w:r>
        <w:rPr>
          <w:rFonts w:ascii="Times New Roman" w:hAnsi="Times New Roman"/>
          <w:lang w:val="cs-CZ"/>
        </w:rPr>
        <w:t>Dodavatele:</w:t>
      </w:r>
    </w:p>
    <w:p>
      <w:pPr>
        <w:ind w:left="2332" w:right="5917" w:hanging="1"/>
        <w:rPr>
          <w:rFonts w:ascii="Times New Roman" w:hAnsi="Times New Roman"/>
          <w:i/>
          <w:lang w:val="cs-CZ"/>
        </w:rPr>
      </w:pPr>
      <w:r>
        <w:rPr>
          <w:rFonts w:ascii="Times New Roman" w:hAnsi="Times New Roman"/>
          <w:i/>
          <w:lang w:val="cs-CZ"/>
        </w:rPr>
        <w:t xml:space="preserve">Jméno, Příjmení: </w:t>
      </w:r>
      <w:proofErr w:type="spellStart"/>
      <w:r>
        <w:rPr>
          <w:rFonts w:ascii="Times New Roman" w:hAnsi="Times New Roman"/>
          <w:i/>
          <w:lang w:val="cs-CZ"/>
        </w:rPr>
        <w:t>xxx</w:t>
      </w:r>
      <w:proofErr w:type="spellEnd"/>
    </w:p>
    <w:p>
      <w:pPr>
        <w:ind w:left="2332" w:right="5917" w:hanging="1"/>
        <w:rPr>
          <w:rFonts w:ascii="Times New Roman" w:hAnsi="Times New Roman"/>
          <w:i/>
          <w:lang w:val="cs-CZ"/>
        </w:rPr>
      </w:pPr>
      <w:r>
        <w:rPr>
          <w:rFonts w:ascii="Times New Roman" w:hAnsi="Times New Roman"/>
          <w:i/>
          <w:lang w:val="cs-CZ"/>
        </w:rPr>
        <w:t xml:space="preserve"> e-mail: </w:t>
      </w:r>
      <w:hyperlink r:id="rId18">
        <w:proofErr w:type="spellStart"/>
        <w:r>
          <w:rPr>
            <w:rFonts w:ascii="Times New Roman" w:hAnsi="Times New Roman"/>
            <w:i/>
            <w:lang w:val="cs-CZ"/>
          </w:rPr>
          <w:t>xxx</w:t>
        </w:r>
        <w:proofErr w:type="spellEnd"/>
      </w:hyperlink>
    </w:p>
    <w:p>
      <w:pPr>
        <w:ind w:left="2332" w:right="5917" w:hanging="1"/>
        <w:rPr>
          <w:rFonts w:ascii="Times New Roman" w:hAnsi="Times New Roman"/>
          <w:i/>
          <w:lang w:val="cs-CZ"/>
        </w:rPr>
      </w:pPr>
      <w:r>
        <w:rPr>
          <w:rFonts w:ascii="Times New Roman" w:hAnsi="Times New Roman"/>
          <w:i/>
          <w:lang w:val="cs-CZ"/>
        </w:rPr>
        <w:t xml:space="preserve"> tel: +</w:t>
      </w:r>
      <w:proofErr w:type="spellStart"/>
      <w:r>
        <w:rPr>
          <w:rFonts w:ascii="Times New Roman" w:hAnsi="Times New Roman"/>
          <w:i/>
          <w:lang w:val="cs-CZ"/>
        </w:rPr>
        <w:t>xxx</w:t>
      </w:r>
      <w:bookmarkStart w:id="0" w:name="_GoBack"/>
      <w:bookmarkEnd w:id="0"/>
      <w:proofErr w:type="spellEnd"/>
    </w:p>
    <w:p>
      <w:pPr>
        <w:pStyle w:val="Odstavecseseznamem"/>
        <w:numPr>
          <w:ilvl w:val="2"/>
          <w:numId w:val="14"/>
        </w:numPr>
        <w:tabs>
          <w:tab w:val="left" w:pos="1620"/>
        </w:tabs>
        <w:spacing w:before="59"/>
        <w:ind w:left="1619"/>
        <w:rPr>
          <w:rFonts w:ascii="Times New Roman" w:hAnsi="Times New Roman"/>
          <w:lang w:val="cs-CZ"/>
        </w:rPr>
      </w:pPr>
      <w:r>
        <w:rPr>
          <w:rFonts w:ascii="Times New Roman" w:hAnsi="Times New Roman"/>
          <w:lang w:val="cs-CZ"/>
        </w:rPr>
        <w:t>Oprávněné osoby</w:t>
      </w:r>
      <w:r>
        <w:rPr>
          <w:rFonts w:ascii="Times New Roman" w:hAnsi="Times New Roman"/>
          <w:spacing w:val="-4"/>
          <w:lang w:val="cs-CZ"/>
        </w:rPr>
        <w:t xml:space="preserve"> </w:t>
      </w:r>
      <w:r>
        <w:rPr>
          <w:rFonts w:ascii="Times New Roman" w:hAnsi="Times New Roman"/>
          <w:lang w:val="cs-CZ"/>
        </w:rPr>
        <w:t>Odběratele:</w:t>
      </w:r>
    </w:p>
    <w:p>
      <w:pPr>
        <w:spacing w:before="2"/>
        <w:ind w:left="2332" w:right="5264" w:hanging="1"/>
        <w:rPr>
          <w:rFonts w:ascii="Times New Roman" w:hAnsi="Times New Roman"/>
          <w:i/>
          <w:lang w:val="cs-CZ"/>
        </w:rPr>
      </w:pPr>
      <w:r>
        <w:rPr>
          <w:rFonts w:ascii="Times New Roman" w:hAnsi="Times New Roman"/>
          <w:i/>
          <w:lang w:val="cs-CZ"/>
        </w:rPr>
        <w:t xml:space="preserve">Jméno, Příjmení: Ing. Zbyněk Hořelica e-mail: </w:t>
      </w:r>
      <w:hyperlink r:id="rId19">
        <w:r>
          <w:rPr>
            <w:rFonts w:ascii="Times New Roman" w:hAnsi="Times New Roman"/>
            <w:i/>
            <w:lang w:val="cs-CZ"/>
          </w:rPr>
          <w:t>info@sfdi.cz</w:t>
        </w:r>
      </w:hyperlink>
    </w:p>
    <w:p>
      <w:pPr>
        <w:spacing w:line="252" w:lineRule="exact"/>
        <w:ind w:left="2332"/>
        <w:rPr>
          <w:rFonts w:ascii="Times New Roman"/>
          <w:i/>
          <w:lang w:val="cs-CZ"/>
        </w:rPr>
      </w:pPr>
      <w:r>
        <w:rPr>
          <w:rFonts w:ascii="Times New Roman"/>
          <w:i/>
          <w:lang w:val="cs-CZ"/>
        </w:rPr>
        <w:t>tel: 266 097 110, mobil,</w:t>
      </w:r>
    </w:p>
    <w:p>
      <w:pPr>
        <w:spacing w:line="252" w:lineRule="exact"/>
        <w:ind w:left="2332"/>
        <w:rPr>
          <w:rFonts w:ascii="Times New Roman" w:hAnsi="Times New Roman"/>
          <w:i/>
          <w:lang w:val="cs-CZ"/>
        </w:rPr>
      </w:pPr>
      <w:r>
        <w:rPr>
          <w:rFonts w:ascii="Times New Roman" w:hAnsi="Times New Roman"/>
          <w:i/>
          <w:lang w:val="cs-CZ"/>
        </w:rPr>
        <w:t>adresa: Státní fond dopravní infrastruktury, Sokolovská 1955/278, 190 00 Praha</w:t>
      </w:r>
    </w:p>
    <w:p>
      <w:pPr>
        <w:pStyle w:val="Zkladntext"/>
        <w:spacing w:before="3"/>
        <w:ind w:left="0"/>
        <w:jc w:val="left"/>
        <w:rPr>
          <w:rFonts w:ascii="Times New Roman"/>
          <w:i/>
          <w:sz w:val="27"/>
          <w:lang w:val="cs-CZ"/>
        </w:rPr>
      </w:pPr>
    </w:p>
    <w:p>
      <w:pPr>
        <w:pStyle w:val="Odstavecseseznamem"/>
        <w:numPr>
          <w:ilvl w:val="1"/>
          <w:numId w:val="14"/>
        </w:numPr>
        <w:tabs>
          <w:tab w:val="left" w:pos="1280"/>
        </w:tabs>
        <w:ind w:right="704"/>
        <w:jc w:val="both"/>
        <w:rPr>
          <w:rFonts w:ascii="Times New Roman" w:hAnsi="Times New Roman"/>
          <w:lang w:val="cs-CZ"/>
        </w:rPr>
      </w:pPr>
      <w:r>
        <w:rPr>
          <w:rFonts w:ascii="Times New Roman" w:hAnsi="Times New Roman"/>
          <w:lang w:val="cs-CZ"/>
        </w:rPr>
        <w:t>Všechna oznámení mezi smluvními stranami, která se vztahují k této smlouvě, nebo která mají být učiněna na základě této smlouvy, musí být učiněna v písemné formě a doručeny opačné straně, nebude-li stanoveno, nebo mezi smluvními stranami dohodnuto</w:t>
      </w:r>
      <w:r>
        <w:rPr>
          <w:rFonts w:ascii="Times New Roman" w:hAnsi="Times New Roman"/>
          <w:spacing w:val="-6"/>
          <w:lang w:val="cs-CZ"/>
        </w:rPr>
        <w:t xml:space="preserve"> </w:t>
      </w:r>
      <w:r>
        <w:rPr>
          <w:rFonts w:ascii="Times New Roman" w:hAnsi="Times New Roman"/>
          <w:lang w:val="cs-CZ"/>
        </w:rPr>
        <w:t>jinak.</w:t>
      </w:r>
    </w:p>
    <w:p>
      <w:pPr>
        <w:pStyle w:val="Odstavecseseznamem"/>
        <w:numPr>
          <w:ilvl w:val="1"/>
          <w:numId w:val="14"/>
        </w:numPr>
        <w:tabs>
          <w:tab w:val="left" w:pos="1279"/>
          <w:tab w:val="left" w:pos="1280"/>
        </w:tabs>
        <w:spacing w:before="60"/>
        <w:ind w:right="705"/>
        <w:rPr>
          <w:rFonts w:ascii="Times New Roman" w:hAnsi="Times New Roman"/>
          <w:lang w:val="cs-CZ"/>
        </w:rPr>
      </w:pPr>
      <w:r>
        <w:rPr>
          <w:rFonts w:ascii="Times New Roman" w:hAnsi="Times New Roman"/>
          <w:lang w:val="cs-CZ"/>
        </w:rPr>
        <w:t>Oznámení se považují za doručená uplynutím třetího (3) pracovního dne po jejich prokazatelném odeslání.</w:t>
      </w:r>
    </w:p>
    <w:p>
      <w:pPr>
        <w:pStyle w:val="Odstavecseseznamem"/>
        <w:numPr>
          <w:ilvl w:val="1"/>
          <w:numId w:val="14"/>
        </w:numPr>
        <w:tabs>
          <w:tab w:val="left" w:pos="1279"/>
          <w:tab w:val="left" w:pos="1280"/>
        </w:tabs>
        <w:spacing w:before="60"/>
        <w:ind w:right="704"/>
        <w:rPr>
          <w:rFonts w:ascii="Times New Roman" w:hAnsi="Times New Roman"/>
          <w:lang w:val="cs-CZ"/>
        </w:rPr>
      </w:pPr>
      <w:r>
        <w:rPr>
          <w:rFonts w:ascii="Times New Roman" w:hAnsi="Times New Roman"/>
          <w:lang w:val="cs-CZ"/>
        </w:rPr>
        <w:t>Smluvní strany se zavazují, že v případě změny své adresy budou o této změně druhou smluvní stranu informovat nejpozději do tří (3) pracovních dnů.</w:t>
      </w:r>
    </w:p>
    <w:p>
      <w:pPr>
        <w:pStyle w:val="Zkladntext"/>
        <w:spacing w:before="5"/>
        <w:ind w:left="0"/>
        <w:jc w:val="left"/>
        <w:rPr>
          <w:rFonts w:ascii="Times New Roman"/>
          <w:sz w:val="31"/>
          <w:lang w:val="cs-CZ"/>
        </w:rPr>
      </w:pPr>
    </w:p>
    <w:p>
      <w:pPr>
        <w:pStyle w:val="Odstavecseseznamem"/>
        <w:numPr>
          <w:ilvl w:val="0"/>
          <w:numId w:val="18"/>
        </w:numPr>
        <w:tabs>
          <w:tab w:val="left" w:pos="4214"/>
          <w:tab w:val="left" w:pos="4215"/>
        </w:tabs>
        <w:ind w:left="4214" w:hanging="708"/>
        <w:jc w:val="left"/>
        <w:rPr>
          <w:rFonts w:ascii="Arial" w:hAnsi="Arial"/>
          <w:b/>
          <w:sz w:val="32"/>
          <w:lang w:val="cs-CZ"/>
        </w:rPr>
      </w:pPr>
      <w:r>
        <w:rPr>
          <w:rFonts w:ascii="Arial" w:hAnsi="Arial"/>
          <w:b/>
          <w:sz w:val="32"/>
          <w:lang w:val="cs-CZ"/>
        </w:rPr>
        <w:t>Místo a způsob</w:t>
      </w:r>
      <w:r>
        <w:rPr>
          <w:rFonts w:ascii="Arial" w:hAnsi="Arial"/>
          <w:b/>
          <w:spacing w:val="-1"/>
          <w:sz w:val="32"/>
          <w:lang w:val="cs-CZ"/>
        </w:rPr>
        <w:t xml:space="preserve"> </w:t>
      </w:r>
      <w:r>
        <w:rPr>
          <w:rFonts w:ascii="Arial" w:hAnsi="Arial"/>
          <w:b/>
          <w:sz w:val="32"/>
          <w:lang w:val="cs-CZ"/>
        </w:rPr>
        <w:t>plnění</w:t>
      </w:r>
    </w:p>
    <w:p>
      <w:pPr>
        <w:pStyle w:val="Odstavecseseznamem"/>
        <w:numPr>
          <w:ilvl w:val="1"/>
          <w:numId w:val="13"/>
        </w:numPr>
        <w:tabs>
          <w:tab w:val="left" w:pos="1279"/>
          <w:tab w:val="left" w:pos="1280"/>
        </w:tabs>
        <w:spacing w:before="238" w:line="252" w:lineRule="exact"/>
        <w:rPr>
          <w:rFonts w:ascii="Times New Roman" w:hAnsi="Times New Roman"/>
          <w:lang w:val="cs-CZ"/>
        </w:rPr>
      </w:pPr>
      <w:r>
        <w:rPr>
          <w:rFonts w:ascii="Times New Roman" w:hAnsi="Times New Roman"/>
          <w:lang w:val="cs-CZ"/>
        </w:rPr>
        <w:t>Místo</w:t>
      </w:r>
      <w:r>
        <w:rPr>
          <w:rFonts w:ascii="Times New Roman" w:hAnsi="Times New Roman"/>
          <w:spacing w:val="-1"/>
          <w:lang w:val="cs-CZ"/>
        </w:rPr>
        <w:t xml:space="preserve"> </w:t>
      </w:r>
      <w:r>
        <w:rPr>
          <w:rFonts w:ascii="Times New Roman" w:hAnsi="Times New Roman"/>
          <w:lang w:val="cs-CZ"/>
        </w:rPr>
        <w:t>plnění</w:t>
      </w:r>
    </w:p>
    <w:p>
      <w:pPr>
        <w:spacing w:line="252" w:lineRule="exact"/>
        <w:ind w:left="1279"/>
        <w:rPr>
          <w:rFonts w:ascii="Times New Roman" w:hAnsi="Times New Roman"/>
          <w:lang w:val="cs-CZ"/>
        </w:rPr>
      </w:pPr>
      <w:r>
        <w:rPr>
          <w:rFonts w:ascii="Times New Roman" w:hAnsi="Times New Roman"/>
          <w:lang w:val="cs-CZ"/>
        </w:rPr>
        <w:t>Nebude-li v konkrétním případě sjednáno jinak, místem plnění předmětu Smlouvy je:</w:t>
      </w:r>
    </w:p>
    <w:p>
      <w:pPr>
        <w:pStyle w:val="Odstavecseseznamem"/>
        <w:numPr>
          <w:ilvl w:val="2"/>
          <w:numId w:val="13"/>
        </w:numPr>
        <w:tabs>
          <w:tab w:val="left" w:pos="1619"/>
          <w:tab w:val="left" w:pos="1621"/>
        </w:tabs>
        <w:jc w:val="left"/>
        <w:rPr>
          <w:rFonts w:ascii="Times New Roman" w:hAnsi="Times New Roman"/>
          <w:lang w:val="cs-CZ"/>
        </w:rPr>
      </w:pPr>
      <w:r>
        <w:rPr>
          <w:rFonts w:ascii="Times New Roman" w:hAnsi="Times New Roman"/>
          <w:lang w:val="cs-CZ"/>
        </w:rPr>
        <w:t>adresa sídla</w:t>
      </w:r>
      <w:r>
        <w:rPr>
          <w:rFonts w:ascii="Times New Roman" w:hAnsi="Times New Roman"/>
          <w:spacing w:val="-1"/>
          <w:lang w:val="cs-CZ"/>
        </w:rPr>
        <w:t xml:space="preserve"> </w:t>
      </w:r>
      <w:r>
        <w:rPr>
          <w:rFonts w:ascii="Times New Roman" w:hAnsi="Times New Roman"/>
          <w:lang w:val="cs-CZ"/>
        </w:rPr>
        <w:t>Odběratele</w:t>
      </w:r>
    </w:p>
    <w:p>
      <w:pPr>
        <w:pStyle w:val="Zkladntext"/>
        <w:spacing w:before="6"/>
        <w:ind w:left="0"/>
        <w:jc w:val="left"/>
        <w:rPr>
          <w:rFonts w:ascii="Times New Roman"/>
          <w:sz w:val="31"/>
          <w:lang w:val="cs-CZ"/>
        </w:rPr>
      </w:pPr>
    </w:p>
    <w:p>
      <w:pPr>
        <w:pStyle w:val="Odstavecseseznamem"/>
        <w:numPr>
          <w:ilvl w:val="0"/>
          <w:numId w:val="18"/>
        </w:numPr>
        <w:tabs>
          <w:tab w:val="left" w:pos="3189"/>
          <w:tab w:val="left" w:pos="3190"/>
        </w:tabs>
        <w:ind w:left="3189" w:hanging="708"/>
        <w:jc w:val="left"/>
        <w:rPr>
          <w:rFonts w:ascii="Arial" w:hAnsi="Arial"/>
          <w:b/>
          <w:sz w:val="32"/>
          <w:lang w:val="cs-CZ"/>
        </w:rPr>
      </w:pPr>
      <w:r>
        <w:rPr>
          <w:rFonts w:ascii="Arial" w:hAnsi="Arial"/>
          <w:b/>
          <w:sz w:val="32"/>
          <w:lang w:val="cs-CZ"/>
        </w:rPr>
        <w:t>Práva a povinnosti smluvních stran</w:t>
      </w:r>
    </w:p>
    <w:p>
      <w:pPr>
        <w:tabs>
          <w:tab w:val="left" w:pos="1279"/>
        </w:tabs>
        <w:spacing w:before="238"/>
        <w:ind w:left="712"/>
        <w:rPr>
          <w:rFonts w:ascii="Times New Roman" w:hAnsi="Times New Roman"/>
          <w:lang w:val="cs-CZ"/>
        </w:rPr>
      </w:pPr>
      <w:proofErr w:type="gramStart"/>
      <w:r>
        <w:rPr>
          <w:rFonts w:ascii="Times New Roman" w:hAnsi="Times New Roman"/>
          <w:lang w:val="cs-CZ"/>
        </w:rPr>
        <w:t>9.1</w:t>
      </w:r>
      <w:proofErr w:type="gramEnd"/>
      <w:r>
        <w:rPr>
          <w:rFonts w:ascii="Times New Roman" w:hAnsi="Times New Roman"/>
          <w:lang w:val="cs-CZ"/>
        </w:rPr>
        <w:t>.</w:t>
      </w:r>
      <w:r>
        <w:rPr>
          <w:rFonts w:ascii="Times New Roman" w:hAnsi="Times New Roman"/>
          <w:lang w:val="cs-CZ"/>
        </w:rPr>
        <w:tab/>
        <w:t>Souhlas smluvních</w:t>
      </w:r>
      <w:r>
        <w:rPr>
          <w:rFonts w:ascii="Times New Roman" w:hAnsi="Times New Roman"/>
          <w:spacing w:val="-1"/>
          <w:lang w:val="cs-CZ"/>
        </w:rPr>
        <w:t xml:space="preserve"> </w:t>
      </w:r>
      <w:r>
        <w:rPr>
          <w:rFonts w:ascii="Times New Roman" w:hAnsi="Times New Roman"/>
          <w:lang w:val="cs-CZ"/>
        </w:rPr>
        <w:t>stran</w:t>
      </w:r>
    </w:p>
    <w:p>
      <w:pPr>
        <w:rPr>
          <w:rFonts w:ascii="Times New Roman" w:hAnsi="Times New Roman"/>
          <w:lang w:val="cs-CZ"/>
        </w:rPr>
        <w:sectPr>
          <w:pgSz w:w="11900" w:h="16840"/>
          <w:pgMar w:top="1200" w:right="420" w:bottom="1100" w:left="420" w:header="0" w:footer="917" w:gutter="0"/>
          <w:cols w:space="708"/>
        </w:sectPr>
      </w:pPr>
    </w:p>
    <w:p>
      <w:pPr>
        <w:pStyle w:val="Zkladntext"/>
        <w:spacing w:line="20" w:lineRule="exact"/>
        <w:ind w:left="676"/>
        <w:jc w:val="left"/>
        <w:rPr>
          <w:rFonts w:ascii="Times New Roman"/>
          <w:sz w:val="2"/>
          <w:lang w:val="cs-CZ"/>
        </w:rPr>
      </w:pPr>
      <w:r>
        <w:rPr>
          <w:rFonts w:ascii="Times New Roman"/>
          <w:noProof/>
          <w:sz w:val="2"/>
          <w:lang w:val="cs-CZ" w:eastAsia="cs-CZ"/>
        </w:rPr>
        <w:lastRenderedPageBreak/>
        <mc:AlternateContent>
          <mc:Choice Requires="wpg">
            <w:drawing>
              <wp:inline distT="0" distB="0" distL="0" distR="0">
                <wp:extent cx="6156960" cy="9525"/>
                <wp:effectExtent l="9525" t="9525" r="5715" b="0"/>
                <wp:docPr id="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9525"/>
                          <a:chOff x="0" y="0"/>
                          <a:chExt cx="9696" cy="15"/>
                        </a:xfrm>
                      </wpg:grpSpPr>
                      <wps:wsp>
                        <wps:cNvPr id="18" name="Line 10"/>
                        <wps:cNvCnPr/>
                        <wps:spPr bwMode="auto">
                          <a:xfrm>
                            <a:off x="0" y="7"/>
                            <a:ext cx="9696" cy="0"/>
                          </a:xfrm>
                          <a:prstGeom prst="line">
                            <a:avLst/>
                          </a:prstGeom>
                          <a:noFill/>
                          <a:ln w="9143">
                            <a:solidFill>
                              <a:srgbClr val="7F807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9" o:spid="_x0000_s1026" style="width:484.8pt;height:.75pt;mso-position-horizontal-relative:char;mso-position-vertical-relative:line" coordsize="9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">
                <v:line id="Line 10" o:spid="_x0000_s1027" style="position:absolute;visibility:visible;mso-wrap-style:square" from="0,7" to="9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9X7sUAAADbAAAADwAAAGRycy9kb3ducmV2LnhtbESPQU/DMAyF70j7D5GRuLEUJCZWlk2A&#10;hMqFIbpN42g1XlPWOFUTtvDv8QGJm633/N7nxSr7Xp1ojF1gAzfTAhRxE2zHrYHt5uX6HlRMyBb7&#10;wGTghyKslpOLBZY2nPmDTnVqlYRwLNGAS2kotY6NI49xGgZi0Q5h9JhkHVttRzxLuO/1bVHMtMeO&#10;pcHhQM+OmmP97Q1Uh/e6upvn3dtsvXfV06dbz7+yMVeX+fEBVKKc/s1/169W8AVWfpEB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9X7sUAAADbAAAADwAAAAAAAAAA&#10;AAAAAAChAgAAZHJzL2Rvd25yZXYueG1sUEsFBgAAAAAEAAQA+QAAAJMDAAAAAA==&#10;" strokecolor="#7f807f" strokeweight=".25397mm"/>
                <w10:anchorlock/>
              </v:group>
            </w:pict>
          </mc:Fallback>
        </mc:AlternateContent>
      </w:r>
    </w:p>
    <w:p>
      <w:pPr>
        <w:spacing w:before="53"/>
        <w:ind w:left="1279" w:right="704"/>
        <w:jc w:val="both"/>
        <w:rPr>
          <w:rFonts w:ascii="Times New Roman" w:hAnsi="Times New Roman"/>
          <w:lang w:val="cs-CZ"/>
        </w:rPr>
      </w:pPr>
      <w:r>
        <w:rPr>
          <w:rFonts w:ascii="Times New Roman" w:hAnsi="Times New Roman"/>
          <w:lang w:val="cs-CZ"/>
        </w:rPr>
        <w:t xml:space="preserve">Smluvní strany souhlasí s užitím rámcových údajů o plnění poskytnutém dle této smlouvy jako </w:t>
      </w:r>
      <w:proofErr w:type="gramStart"/>
      <w:r>
        <w:rPr>
          <w:rFonts w:ascii="Times New Roman" w:hAnsi="Times New Roman"/>
          <w:lang w:val="cs-CZ"/>
        </w:rPr>
        <w:t>referenčních  údajů</w:t>
      </w:r>
      <w:proofErr w:type="gramEnd"/>
      <w:r>
        <w:rPr>
          <w:rFonts w:ascii="Times New Roman" w:hAnsi="Times New Roman"/>
          <w:lang w:val="cs-CZ"/>
        </w:rPr>
        <w:t xml:space="preserve">  pro  osvědčení  odběratele  o  poskytnuté  službě  nebo  prohlášení  dodavatele     o poskytnuté službě. Jako veřejné referenční údaje nemohou být užity údaje, na něž se vztahuje stranami sjednaný, zveřejnění omezující, režim, např. údaje o obchodním tajemství nebo závazky některé smluvní strany plynoucí z </w:t>
      </w:r>
      <w:proofErr w:type="gramStart"/>
      <w:r>
        <w:rPr>
          <w:rFonts w:ascii="Times New Roman" w:hAnsi="Times New Roman"/>
          <w:lang w:val="cs-CZ"/>
        </w:rPr>
        <w:t>platné</w:t>
      </w:r>
      <w:proofErr w:type="gramEnd"/>
      <w:r>
        <w:rPr>
          <w:rFonts w:ascii="Times New Roman" w:hAnsi="Times New Roman"/>
          <w:lang w:val="cs-CZ"/>
        </w:rPr>
        <w:t xml:space="preserve"> NDA</w:t>
      </w:r>
      <w:r>
        <w:rPr>
          <w:rFonts w:ascii="Times New Roman" w:hAnsi="Times New Roman"/>
          <w:spacing w:val="-7"/>
          <w:lang w:val="cs-CZ"/>
        </w:rPr>
        <w:t xml:space="preserve"> </w:t>
      </w:r>
      <w:r>
        <w:rPr>
          <w:rFonts w:ascii="Times New Roman" w:hAnsi="Times New Roman"/>
          <w:lang w:val="cs-CZ"/>
        </w:rPr>
        <w:t>smlouvy.</w:t>
      </w:r>
    </w:p>
    <w:p>
      <w:pPr>
        <w:pStyle w:val="Zkladntext"/>
        <w:ind w:left="0"/>
        <w:jc w:val="left"/>
        <w:rPr>
          <w:rFonts w:ascii="Times New Roman"/>
          <w:sz w:val="24"/>
          <w:lang w:val="cs-CZ"/>
        </w:rPr>
      </w:pPr>
    </w:p>
    <w:p>
      <w:pPr>
        <w:pStyle w:val="Zkladntext"/>
        <w:spacing w:before="3"/>
        <w:ind w:left="0"/>
        <w:jc w:val="left"/>
        <w:rPr>
          <w:rFonts w:ascii="Times New Roman"/>
          <w:sz w:val="29"/>
          <w:lang w:val="cs-CZ"/>
        </w:rPr>
      </w:pPr>
    </w:p>
    <w:p>
      <w:pPr>
        <w:pStyle w:val="Odstavecseseznamem"/>
        <w:numPr>
          <w:ilvl w:val="0"/>
          <w:numId w:val="18"/>
        </w:numPr>
        <w:tabs>
          <w:tab w:val="left" w:pos="4125"/>
          <w:tab w:val="left" w:pos="4126"/>
        </w:tabs>
        <w:ind w:left="4125" w:hanging="708"/>
        <w:jc w:val="left"/>
        <w:rPr>
          <w:rFonts w:ascii="Arial" w:hAnsi="Arial"/>
          <w:b/>
          <w:sz w:val="32"/>
          <w:lang w:val="cs-CZ"/>
        </w:rPr>
      </w:pPr>
      <w:r>
        <w:rPr>
          <w:rFonts w:ascii="Arial" w:hAnsi="Arial"/>
          <w:b/>
          <w:sz w:val="32"/>
          <w:lang w:val="cs-CZ"/>
        </w:rPr>
        <w:t>Odpovědnost za</w:t>
      </w:r>
      <w:r>
        <w:rPr>
          <w:rFonts w:ascii="Arial" w:hAnsi="Arial"/>
          <w:b/>
          <w:spacing w:val="-2"/>
          <w:sz w:val="32"/>
          <w:lang w:val="cs-CZ"/>
        </w:rPr>
        <w:t xml:space="preserve"> </w:t>
      </w:r>
      <w:r>
        <w:rPr>
          <w:rFonts w:ascii="Arial" w:hAnsi="Arial"/>
          <w:b/>
          <w:sz w:val="32"/>
          <w:lang w:val="cs-CZ"/>
        </w:rPr>
        <w:t>škodu</w:t>
      </w:r>
    </w:p>
    <w:p>
      <w:pPr>
        <w:pStyle w:val="Odstavecseseznamem"/>
        <w:numPr>
          <w:ilvl w:val="1"/>
          <w:numId w:val="12"/>
        </w:numPr>
        <w:tabs>
          <w:tab w:val="left" w:pos="1280"/>
        </w:tabs>
        <w:spacing w:before="241"/>
        <w:ind w:right="704"/>
        <w:jc w:val="both"/>
        <w:rPr>
          <w:rFonts w:ascii="Times New Roman" w:hAnsi="Times New Roman"/>
          <w:lang w:val="cs-CZ"/>
        </w:rPr>
      </w:pPr>
      <w:r>
        <w:rPr>
          <w:rFonts w:ascii="Times New Roman" w:hAnsi="Times New Roman"/>
          <w:lang w:val="cs-CZ"/>
        </w:rPr>
        <w:t>Dodavatel odpovídá Odběrateli za škodu, způsobenou zaviněným porušením povinností vyplývajících z této Smlouvy nebo z obecně závazného právního</w:t>
      </w:r>
      <w:r>
        <w:rPr>
          <w:rFonts w:ascii="Times New Roman" w:hAnsi="Times New Roman"/>
          <w:spacing w:val="-8"/>
          <w:lang w:val="cs-CZ"/>
        </w:rPr>
        <w:t xml:space="preserve"> </w:t>
      </w:r>
      <w:r>
        <w:rPr>
          <w:rFonts w:ascii="Times New Roman" w:hAnsi="Times New Roman"/>
          <w:lang w:val="cs-CZ"/>
        </w:rPr>
        <w:t>předpisu.</w:t>
      </w:r>
    </w:p>
    <w:p>
      <w:pPr>
        <w:pStyle w:val="Odstavecseseznamem"/>
        <w:numPr>
          <w:ilvl w:val="1"/>
          <w:numId w:val="12"/>
        </w:numPr>
        <w:tabs>
          <w:tab w:val="left" w:pos="1280"/>
        </w:tabs>
        <w:spacing w:before="58"/>
        <w:ind w:right="703"/>
        <w:jc w:val="both"/>
        <w:rPr>
          <w:rFonts w:ascii="Times New Roman" w:hAnsi="Times New Roman"/>
          <w:lang w:val="cs-CZ"/>
        </w:rPr>
      </w:pPr>
      <w:r>
        <w:rPr>
          <w:rFonts w:ascii="Times New Roman" w:hAnsi="Times New Roman"/>
          <w:lang w:val="cs-CZ"/>
        </w:rPr>
        <w:t>Dodavatel neodpovídá za škodu, která byla způsobena jinou osobou než Dodavatelem, či jím pověřeným subjektem, nesprávným nebo neadekvátním přístupem Odběratele a v důsledku událostí vyšší moci.</w:t>
      </w:r>
    </w:p>
    <w:p>
      <w:pPr>
        <w:pStyle w:val="Odstavecseseznamem"/>
        <w:numPr>
          <w:ilvl w:val="1"/>
          <w:numId w:val="12"/>
        </w:numPr>
        <w:tabs>
          <w:tab w:val="left" w:pos="1280"/>
        </w:tabs>
        <w:spacing w:before="62"/>
        <w:ind w:right="705"/>
        <w:jc w:val="both"/>
        <w:rPr>
          <w:rFonts w:ascii="Times New Roman" w:hAnsi="Times New Roman"/>
          <w:lang w:val="cs-CZ"/>
        </w:rPr>
      </w:pPr>
      <w:r>
        <w:rPr>
          <w:rFonts w:ascii="Times New Roman" w:hAnsi="Times New Roman"/>
          <w:lang w:val="cs-CZ"/>
        </w:rPr>
        <w:t>Dodavatel odpovídá Odběrateli za škodu způsobenou Odběrateli zaviněným porušením povinností stanovených touto smlouvou, maximálně však do výše hodnoty plnění podle této</w:t>
      </w:r>
      <w:r>
        <w:rPr>
          <w:rFonts w:ascii="Times New Roman" w:hAnsi="Times New Roman"/>
          <w:spacing w:val="-20"/>
          <w:lang w:val="cs-CZ"/>
        </w:rPr>
        <w:t xml:space="preserve"> </w:t>
      </w:r>
      <w:r>
        <w:rPr>
          <w:rFonts w:ascii="Times New Roman" w:hAnsi="Times New Roman"/>
          <w:lang w:val="cs-CZ"/>
        </w:rPr>
        <w:t>Smlouvy.</w:t>
      </w:r>
    </w:p>
    <w:p>
      <w:pPr>
        <w:pStyle w:val="Odstavecseseznamem"/>
        <w:numPr>
          <w:ilvl w:val="1"/>
          <w:numId w:val="12"/>
        </w:numPr>
        <w:tabs>
          <w:tab w:val="left" w:pos="1280"/>
        </w:tabs>
        <w:spacing w:before="60"/>
        <w:ind w:right="704"/>
        <w:jc w:val="both"/>
        <w:rPr>
          <w:rFonts w:ascii="Times New Roman" w:hAnsi="Times New Roman"/>
          <w:lang w:val="cs-CZ"/>
        </w:rPr>
      </w:pPr>
      <w:r>
        <w:rPr>
          <w:rFonts w:ascii="Times New Roman" w:hAnsi="Times New Roman"/>
          <w:lang w:val="cs-CZ"/>
        </w:rPr>
        <w:t>Smluvní strany se výslovně dohodly, že celková výše náhrady škody z jedné škodní události nebo série vzájemně propojených škodných událostí, který by v příčinné souvislosti s plněním Smlouvy mohly vzniknout, se limituje u skutečné škody a u ušlého zisku celkem do výše hodnoty plnění podle této Smlouvy. Tyto částky představují současně maximální předvídatelnou škodu, která může případně vzniknout porušením povinností</w:t>
      </w:r>
      <w:r>
        <w:rPr>
          <w:rFonts w:ascii="Times New Roman" w:hAnsi="Times New Roman"/>
          <w:spacing w:val="-3"/>
          <w:lang w:val="cs-CZ"/>
        </w:rPr>
        <w:t xml:space="preserve"> </w:t>
      </w:r>
      <w:r>
        <w:rPr>
          <w:rFonts w:ascii="Times New Roman" w:hAnsi="Times New Roman"/>
          <w:lang w:val="cs-CZ"/>
        </w:rPr>
        <w:t>Dodavatele.</w:t>
      </w:r>
    </w:p>
    <w:p>
      <w:pPr>
        <w:pStyle w:val="Odstavecseseznamem"/>
        <w:numPr>
          <w:ilvl w:val="1"/>
          <w:numId w:val="12"/>
        </w:numPr>
        <w:tabs>
          <w:tab w:val="left" w:pos="1280"/>
        </w:tabs>
        <w:spacing w:before="60"/>
        <w:ind w:right="704"/>
        <w:jc w:val="both"/>
        <w:rPr>
          <w:rFonts w:ascii="Times New Roman" w:hAnsi="Times New Roman"/>
          <w:lang w:val="cs-CZ"/>
        </w:rPr>
      </w:pPr>
      <w:r>
        <w:rPr>
          <w:rFonts w:ascii="Times New Roman" w:hAnsi="Times New Roman"/>
          <w:lang w:val="cs-CZ"/>
        </w:rPr>
        <w:t>Dodavatel se zavazuje mít po celou dobu platnosti Smlouvy uzavřeno pojištění odpovědnosti za škodu způsobenou třetí osobě v minimální výši 2 000 000 Kč. Odběratel si může během trvání Smlouvy kdykoli vyžádat předložení originálu pojistné smlouvy (</w:t>
      </w:r>
      <w:proofErr w:type="spellStart"/>
      <w:proofErr w:type="gramStart"/>
      <w:r>
        <w:rPr>
          <w:rFonts w:ascii="Times New Roman" w:hAnsi="Times New Roman"/>
          <w:lang w:val="cs-CZ"/>
        </w:rPr>
        <w:t>popř.pojistného</w:t>
      </w:r>
      <w:proofErr w:type="spellEnd"/>
      <w:proofErr w:type="gramEnd"/>
      <w:r>
        <w:rPr>
          <w:rFonts w:ascii="Times New Roman" w:hAnsi="Times New Roman"/>
          <w:lang w:val="cs-CZ"/>
        </w:rPr>
        <w:t xml:space="preserve"> certifikátu ) nebo </w:t>
      </w:r>
      <w:proofErr w:type="spellStart"/>
      <w:r>
        <w:rPr>
          <w:rFonts w:ascii="Times New Roman" w:hAnsi="Times New Roman"/>
          <w:lang w:val="cs-CZ"/>
        </w:rPr>
        <w:t>jeji</w:t>
      </w:r>
      <w:proofErr w:type="spellEnd"/>
      <w:r>
        <w:rPr>
          <w:rFonts w:ascii="Times New Roman" w:hAnsi="Times New Roman"/>
          <w:lang w:val="cs-CZ"/>
        </w:rPr>
        <w:t xml:space="preserve"> ověřené kopie. Porušení této povinnosti bude sankciováno ve výši 1000 Kč za každý započatý den porušení této</w:t>
      </w:r>
      <w:r>
        <w:rPr>
          <w:rFonts w:ascii="Times New Roman" w:hAnsi="Times New Roman"/>
          <w:spacing w:val="-1"/>
          <w:lang w:val="cs-CZ"/>
        </w:rPr>
        <w:t xml:space="preserve"> </w:t>
      </w:r>
      <w:r>
        <w:rPr>
          <w:rFonts w:ascii="Times New Roman" w:hAnsi="Times New Roman"/>
          <w:lang w:val="cs-CZ"/>
        </w:rPr>
        <w:t>povinnosti.</w:t>
      </w:r>
    </w:p>
    <w:p>
      <w:pPr>
        <w:pStyle w:val="Zkladntext"/>
        <w:spacing w:before="5"/>
        <w:ind w:left="0"/>
        <w:jc w:val="left"/>
        <w:rPr>
          <w:rFonts w:ascii="Times New Roman"/>
          <w:sz w:val="31"/>
          <w:lang w:val="cs-CZ"/>
        </w:rPr>
      </w:pPr>
    </w:p>
    <w:p>
      <w:pPr>
        <w:pStyle w:val="Odstavecseseznamem"/>
        <w:numPr>
          <w:ilvl w:val="0"/>
          <w:numId w:val="18"/>
        </w:numPr>
        <w:tabs>
          <w:tab w:val="left" w:pos="4612"/>
          <w:tab w:val="left" w:pos="4613"/>
        </w:tabs>
        <w:ind w:left="4612" w:hanging="708"/>
        <w:jc w:val="left"/>
        <w:rPr>
          <w:rFonts w:ascii="Arial" w:hAnsi="Arial"/>
          <w:b/>
          <w:sz w:val="32"/>
          <w:lang w:val="cs-CZ"/>
        </w:rPr>
      </w:pPr>
      <w:r>
        <w:rPr>
          <w:rFonts w:ascii="Arial" w:hAnsi="Arial"/>
          <w:b/>
          <w:sz w:val="32"/>
          <w:lang w:val="cs-CZ"/>
        </w:rPr>
        <w:t>Prodlení,</w:t>
      </w:r>
      <w:r>
        <w:rPr>
          <w:rFonts w:ascii="Arial" w:hAnsi="Arial"/>
          <w:b/>
          <w:spacing w:val="1"/>
          <w:sz w:val="32"/>
          <w:lang w:val="cs-CZ"/>
        </w:rPr>
        <w:t xml:space="preserve"> </w:t>
      </w:r>
      <w:r>
        <w:rPr>
          <w:rFonts w:ascii="Arial" w:hAnsi="Arial"/>
          <w:b/>
          <w:sz w:val="32"/>
          <w:lang w:val="cs-CZ"/>
        </w:rPr>
        <w:t>sankce</w:t>
      </w:r>
    </w:p>
    <w:p>
      <w:pPr>
        <w:pStyle w:val="Odstavecseseznamem"/>
        <w:numPr>
          <w:ilvl w:val="1"/>
          <w:numId w:val="11"/>
        </w:numPr>
        <w:tabs>
          <w:tab w:val="left" w:pos="1280"/>
        </w:tabs>
        <w:spacing w:before="238"/>
        <w:ind w:right="702"/>
        <w:jc w:val="both"/>
        <w:rPr>
          <w:rFonts w:ascii="Times New Roman" w:hAnsi="Times New Roman"/>
          <w:lang w:val="cs-CZ"/>
        </w:rPr>
      </w:pPr>
      <w:r>
        <w:rPr>
          <w:rFonts w:ascii="Times New Roman" w:hAnsi="Times New Roman"/>
          <w:lang w:val="cs-CZ"/>
        </w:rPr>
        <w:t>Jestliže je Odběratel v prodlení s placením peněžitého závazku nebo řádně a včas neplní závazky k věcné nebo časově umístěné součinnosti či spolupůsobení, z důvodů ležících na straně Odběratele, pak platí tato</w:t>
      </w:r>
      <w:r>
        <w:rPr>
          <w:rFonts w:ascii="Times New Roman" w:hAnsi="Times New Roman"/>
          <w:spacing w:val="-3"/>
          <w:lang w:val="cs-CZ"/>
        </w:rPr>
        <w:t xml:space="preserve"> </w:t>
      </w:r>
      <w:r>
        <w:rPr>
          <w:rFonts w:ascii="Times New Roman" w:hAnsi="Times New Roman"/>
          <w:lang w:val="cs-CZ"/>
        </w:rPr>
        <w:t>ujednání:</w:t>
      </w:r>
    </w:p>
    <w:p>
      <w:pPr>
        <w:pStyle w:val="Odstavecseseznamem"/>
        <w:numPr>
          <w:ilvl w:val="2"/>
          <w:numId w:val="11"/>
        </w:numPr>
        <w:tabs>
          <w:tab w:val="left" w:pos="1621"/>
        </w:tabs>
        <w:spacing w:before="59"/>
        <w:ind w:right="704"/>
        <w:jc w:val="both"/>
        <w:rPr>
          <w:rFonts w:ascii="Times New Roman" w:hAnsi="Times New Roman"/>
          <w:lang w:val="cs-CZ"/>
        </w:rPr>
      </w:pPr>
      <w:r>
        <w:rPr>
          <w:rFonts w:ascii="Times New Roman" w:hAnsi="Times New Roman"/>
          <w:lang w:val="cs-CZ"/>
        </w:rPr>
        <w:t>Je-li Odběratel v prodlení s placením zálohy nebo faktury po dobu delší než patnáct (15) dnů, je Dodavatel oprávněn vyúčtovat a Odběratel povinen zaplatit úroky z prodlení ve výši 0,05 % z dlužné částky za každý den prodlení až do</w:t>
      </w:r>
      <w:r>
        <w:rPr>
          <w:rFonts w:ascii="Times New Roman" w:hAnsi="Times New Roman"/>
          <w:spacing w:val="-5"/>
          <w:lang w:val="cs-CZ"/>
        </w:rPr>
        <w:t xml:space="preserve"> </w:t>
      </w:r>
      <w:r>
        <w:rPr>
          <w:rFonts w:ascii="Times New Roman" w:hAnsi="Times New Roman"/>
          <w:lang w:val="cs-CZ"/>
        </w:rPr>
        <w:t>zaplacení.</w:t>
      </w:r>
    </w:p>
    <w:p>
      <w:pPr>
        <w:pStyle w:val="Odstavecseseznamem"/>
        <w:numPr>
          <w:ilvl w:val="1"/>
          <w:numId w:val="11"/>
        </w:numPr>
        <w:tabs>
          <w:tab w:val="left" w:pos="1280"/>
        </w:tabs>
        <w:spacing w:before="60"/>
        <w:ind w:right="702"/>
        <w:jc w:val="both"/>
        <w:rPr>
          <w:rFonts w:ascii="Times New Roman" w:hAnsi="Times New Roman"/>
          <w:lang w:val="cs-CZ"/>
        </w:rPr>
      </w:pPr>
      <w:r>
        <w:rPr>
          <w:rFonts w:ascii="Times New Roman" w:hAnsi="Times New Roman"/>
          <w:lang w:val="cs-CZ"/>
        </w:rPr>
        <w:t>V případě, že Dodavatel je v prodlení s poskytnutím plnění v termínech dle čl. 4. této Smlouvy, je Odběratel oprávněn vyúčtovat a Dodavatel povinen zaplatit smluvní pokutu ve výši 0,05 % z ceny plnění bez DPH, ohledně něhož je Dodavatel v prodlení, a to za každý den prodlení, pokud nebude dohodnuto</w:t>
      </w:r>
      <w:r>
        <w:rPr>
          <w:rFonts w:ascii="Times New Roman" w:hAnsi="Times New Roman"/>
          <w:spacing w:val="-3"/>
          <w:lang w:val="cs-CZ"/>
        </w:rPr>
        <w:t xml:space="preserve"> </w:t>
      </w:r>
      <w:r>
        <w:rPr>
          <w:rFonts w:ascii="Times New Roman" w:hAnsi="Times New Roman"/>
          <w:lang w:val="cs-CZ"/>
        </w:rPr>
        <w:t>jinak.</w:t>
      </w:r>
    </w:p>
    <w:p>
      <w:pPr>
        <w:pStyle w:val="Odstavecseseznamem"/>
        <w:numPr>
          <w:ilvl w:val="1"/>
          <w:numId w:val="11"/>
        </w:numPr>
        <w:tabs>
          <w:tab w:val="left" w:pos="1280"/>
        </w:tabs>
        <w:spacing w:before="61"/>
        <w:ind w:right="704"/>
        <w:jc w:val="both"/>
        <w:rPr>
          <w:rFonts w:ascii="Times New Roman" w:hAnsi="Times New Roman"/>
          <w:lang w:val="cs-CZ"/>
        </w:rPr>
      </w:pPr>
      <w:r>
        <w:rPr>
          <w:rFonts w:ascii="Times New Roman" w:hAnsi="Times New Roman"/>
          <w:lang w:val="cs-CZ"/>
        </w:rPr>
        <w:t>Sankce stanovené dle tohoto čl. 11. jsou splatné do třiceti (30) dní ode dne doručení výzvy oprávněné smluvní strany k zaplacení smluvní pokuty povinné smluvní</w:t>
      </w:r>
      <w:r>
        <w:rPr>
          <w:rFonts w:ascii="Times New Roman" w:hAnsi="Times New Roman"/>
          <w:spacing w:val="-10"/>
          <w:lang w:val="cs-CZ"/>
        </w:rPr>
        <w:t xml:space="preserve"> </w:t>
      </w:r>
      <w:r>
        <w:rPr>
          <w:rFonts w:ascii="Times New Roman" w:hAnsi="Times New Roman"/>
          <w:lang w:val="cs-CZ"/>
        </w:rPr>
        <w:t>straně.</w:t>
      </w:r>
    </w:p>
    <w:p>
      <w:pPr>
        <w:pStyle w:val="Odstavecseseznamem"/>
        <w:numPr>
          <w:ilvl w:val="1"/>
          <w:numId w:val="11"/>
        </w:numPr>
        <w:tabs>
          <w:tab w:val="left" w:pos="1280"/>
        </w:tabs>
        <w:spacing w:before="60"/>
        <w:ind w:right="704"/>
        <w:jc w:val="both"/>
        <w:rPr>
          <w:rFonts w:ascii="Times New Roman" w:hAnsi="Times New Roman"/>
          <w:lang w:val="cs-CZ"/>
        </w:rPr>
      </w:pPr>
      <w:r>
        <w:rPr>
          <w:rFonts w:ascii="Times New Roman" w:hAnsi="Times New Roman"/>
          <w:lang w:val="cs-CZ"/>
        </w:rPr>
        <w:t>Zaplacením jakékoli smluvní pokuty podle této Smlouvy není dotčen nárok oprávněné smluvní strany na náhradu vzniklé škody v plné výši. Zaplacení smluvní pokuty nezbavuje dlužníka povinnosti splnit dluh smluvní pokutou</w:t>
      </w:r>
      <w:r>
        <w:rPr>
          <w:rFonts w:ascii="Times New Roman" w:hAnsi="Times New Roman"/>
          <w:spacing w:val="-3"/>
          <w:lang w:val="cs-CZ"/>
        </w:rPr>
        <w:t xml:space="preserve"> </w:t>
      </w:r>
      <w:r>
        <w:rPr>
          <w:rFonts w:ascii="Times New Roman" w:hAnsi="Times New Roman"/>
          <w:lang w:val="cs-CZ"/>
        </w:rPr>
        <w:t>utvrzený.</w:t>
      </w:r>
    </w:p>
    <w:p>
      <w:pPr>
        <w:pStyle w:val="Zkladntext"/>
        <w:spacing w:before="4"/>
        <w:ind w:left="0"/>
        <w:jc w:val="left"/>
        <w:rPr>
          <w:rFonts w:ascii="Times New Roman"/>
          <w:sz w:val="31"/>
          <w:lang w:val="cs-CZ"/>
        </w:rPr>
      </w:pPr>
    </w:p>
    <w:p>
      <w:pPr>
        <w:pStyle w:val="Odstavecseseznamem"/>
        <w:numPr>
          <w:ilvl w:val="0"/>
          <w:numId w:val="18"/>
        </w:numPr>
        <w:tabs>
          <w:tab w:val="left" w:pos="3031"/>
          <w:tab w:val="left" w:pos="3032"/>
        </w:tabs>
        <w:ind w:left="3031" w:hanging="708"/>
        <w:jc w:val="left"/>
        <w:rPr>
          <w:rFonts w:ascii="Arial" w:hAnsi="Arial"/>
          <w:b/>
          <w:sz w:val="32"/>
          <w:lang w:val="cs-CZ"/>
        </w:rPr>
      </w:pPr>
      <w:r>
        <w:rPr>
          <w:rFonts w:ascii="Arial" w:hAnsi="Arial"/>
          <w:b/>
          <w:sz w:val="32"/>
          <w:lang w:val="cs-CZ"/>
        </w:rPr>
        <w:t>Platnost, odstoupení a zánik</w:t>
      </w:r>
      <w:r>
        <w:rPr>
          <w:rFonts w:ascii="Arial" w:hAnsi="Arial"/>
          <w:b/>
          <w:spacing w:val="1"/>
          <w:sz w:val="32"/>
          <w:lang w:val="cs-CZ"/>
        </w:rPr>
        <w:t xml:space="preserve"> </w:t>
      </w:r>
      <w:r>
        <w:rPr>
          <w:rFonts w:ascii="Arial" w:hAnsi="Arial"/>
          <w:b/>
          <w:sz w:val="32"/>
          <w:lang w:val="cs-CZ"/>
        </w:rPr>
        <w:t>smlouvy</w:t>
      </w:r>
    </w:p>
    <w:p>
      <w:pPr>
        <w:pStyle w:val="Odstavecseseznamem"/>
        <w:numPr>
          <w:ilvl w:val="1"/>
          <w:numId w:val="10"/>
        </w:numPr>
        <w:tabs>
          <w:tab w:val="left" w:pos="1280"/>
        </w:tabs>
        <w:spacing w:before="238"/>
        <w:ind w:right="704"/>
        <w:jc w:val="both"/>
        <w:rPr>
          <w:rFonts w:ascii="Times New Roman" w:hAnsi="Times New Roman"/>
          <w:lang w:val="cs-CZ"/>
        </w:rPr>
      </w:pPr>
      <w:r>
        <w:rPr>
          <w:rFonts w:ascii="Times New Roman" w:hAnsi="Times New Roman"/>
          <w:lang w:val="cs-CZ"/>
        </w:rPr>
        <w:t>Tato Smlouva nabývá platnosti dnem jejího podpisu poslední smluvní stranou a účinnosti dnem jejího uveřejnění prostřednictvím registru</w:t>
      </w:r>
      <w:r>
        <w:rPr>
          <w:rFonts w:ascii="Times New Roman" w:hAnsi="Times New Roman"/>
          <w:spacing w:val="-4"/>
          <w:lang w:val="cs-CZ"/>
        </w:rPr>
        <w:t xml:space="preserve"> </w:t>
      </w:r>
      <w:r>
        <w:rPr>
          <w:rFonts w:ascii="Times New Roman" w:hAnsi="Times New Roman"/>
          <w:lang w:val="cs-CZ"/>
        </w:rPr>
        <w:t>smluv.</w:t>
      </w:r>
    </w:p>
    <w:p>
      <w:pPr>
        <w:pStyle w:val="Odstavecseseznamem"/>
        <w:numPr>
          <w:ilvl w:val="1"/>
          <w:numId w:val="10"/>
        </w:numPr>
        <w:tabs>
          <w:tab w:val="left" w:pos="1280"/>
        </w:tabs>
        <w:spacing w:before="61"/>
        <w:rPr>
          <w:rFonts w:ascii="Times New Roman" w:hAnsi="Times New Roman"/>
          <w:lang w:val="cs-CZ"/>
        </w:rPr>
      </w:pPr>
      <w:r>
        <w:rPr>
          <w:rFonts w:ascii="Times New Roman" w:hAnsi="Times New Roman"/>
          <w:lang w:val="cs-CZ"/>
        </w:rPr>
        <w:t>Tato Smlouva je uzavřena na 2 roky ode dne nabytí její</w:t>
      </w:r>
      <w:r>
        <w:rPr>
          <w:rFonts w:ascii="Times New Roman" w:hAnsi="Times New Roman"/>
          <w:spacing w:val="-10"/>
          <w:lang w:val="cs-CZ"/>
        </w:rPr>
        <w:t xml:space="preserve"> </w:t>
      </w:r>
      <w:r>
        <w:rPr>
          <w:rFonts w:ascii="Times New Roman" w:hAnsi="Times New Roman"/>
          <w:lang w:val="cs-CZ"/>
        </w:rPr>
        <w:t>účinnosti.</w:t>
      </w:r>
    </w:p>
    <w:p>
      <w:pPr>
        <w:rPr>
          <w:rFonts w:ascii="Times New Roman" w:hAnsi="Times New Roman"/>
          <w:lang w:val="cs-CZ"/>
        </w:rPr>
        <w:sectPr>
          <w:pgSz w:w="11900" w:h="16840"/>
          <w:pgMar w:top="1200" w:right="420" w:bottom="1100" w:left="420" w:header="0" w:footer="917" w:gutter="0"/>
          <w:cols w:space="708"/>
        </w:sectPr>
      </w:pPr>
    </w:p>
    <w:p>
      <w:pPr>
        <w:pStyle w:val="Zkladntext"/>
        <w:spacing w:line="20" w:lineRule="exact"/>
        <w:ind w:left="676"/>
        <w:jc w:val="left"/>
        <w:rPr>
          <w:rFonts w:ascii="Times New Roman"/>
          <w:sz w:val="2"/>
          <w:lang w:val="cs-CZ"/>
        </w:rPr>
      </w:pPr>
      <w:r>
        <w:rPr>
          <w:rFonts w:ascii="Times New Roman"/>
          <w:noProof/>
          <w:sz w:val="2"/>
          <w:lang w:val="cs-CZ" w:eastAsia="cs-CZ"/>
        </w:rPr>
        <w:lastRenderedPageBreak/>
        <mc:AlternateContent>
          <mc:Choice Requires="wpg">
            <w:drawing>
              <wp:inline distT="0" distB="0" distL="0" distR="0">
                <wp:extent cx="6156960" cy="9525"/>
                <wp:effectExtent l="9525" t="9525" r="5715" b="0"/>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9525"/>
                          <a:chOff x="0" y="0"/>
                          <a:chExt cx="9696" cy="15"/>
                        </a:xfrm>
                      </wpg:grpSpPr>
                      <wps:wsp>
                        <wps:cNvPr id="16" name="Line 8"/>
                        <wps:cNvCnPr/>
                        <wps:spPr bwMode="auto">
                          <a:xfrm>
                            <a:off x="0" y="7"/>
                            <a:ext cx="9696" cy="0"/>
                          </a:xfrm>
                          <a:prstGeom prst="line">
                            <a:avLst/>
                          </a:prstGeom>
                          <a:noFill/>
                          <a:ln w="9143">
                            <a:solidFill>
                              <a:srgbClr val="7F807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7" o:spid="_x0000_s1026" style="width:484.8pt;height:.75pt;mso-position-horizontal-relative:char;mso-position-vertical-relative:line" coordsize="9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">
                <v:line id="Line 8" o:spid="_x0000_s1027" style="position:absolute;visibility:visible;mso-wrap-style:square" from="0,7" to="9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xmB8MAAADbAAAADwAAAGRycy9kb3ducmV2LnhtbERP32vCMBB+H/g/hBP2NtMNVmY1yhyM&#10;7mUO64Y+Hs3ZVJtLaTLN/vtlMPDtPr6fN19G24kzDb51rOB+koEgrp1uuVHwuX29ewLhA7LGzjEp&#10;+CEPy8XoZo6Fdhfe0LkKjUgh7AtUYELoCyl9bciin7ieOHEHN1gMCQ6N1ANeUrjt5EOW5dJiy6nB&#10;YE8vhupT9W0VlIePqnycxq/3fL0z5Wpv1tNjVOp2HJ9nIALFcBX/u990mp/D3y/p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sZgfDAAAA2wAAAA8AAAAAAAAAAAAA&#10;AAAAoQIAAGRycy9kb3ducmV2LnhtbFBLBQYAAAAABAAEAPkAAACRAwAAAAA=&#10;" strokecolor="#7f807f" strokeweight=".25397mm"/>
                <w10:anchorlock/>
              </v:group>
            </w:pict>
          </mc:Fallback>
        </mc:AlternateContent>
      </w:r>
    </w:p>
    <w:p>
      <w:pPr>
        <w:pStyle w:val="Odstavecseseznamem"/>
        <w:numPr>
          <w:ilvl w:val="1"/>
          <w:numId w:val="9"/>
        </w:numPr>
        <w:tabs>
          <w:tab w:val="left" w:pos="1244"/>
        </w:tabs>
        <w:spacing w:before="53"/>
        <w:ind w:right="706" w:hanging="567"/>
        <w:jc w:val="both"/>
        <w:rPr>
          <w:rFonts w:ascii="Times New Roman" w:hAnsi="Times New Roman"/>
          <w:lang w:val="cs-CZ"/>
        </w:rPr>
      </w:pPr>
      <w:r>
        <w:rPr>
          <w:rFonts w:ascii="Times New Roman" w:hAnsi="Times New Roman"/>
          <w:lang w:val="cs-CZ"/>
        </w:rPr>
        <w:t>Tato Smlouva může být ukončena dohodou obou Smluvních stran, výpovědí nebo odstoupením od Smlouvy.</w:t>
      </w:r>
    </w:p>
    <w:p>
      <w:pPr>
        <w:pStyle w:val="Odstavecseseznamem"/>
        <w:numPr>
          <w:ilvl w:val="1"/>
          <w:numId w:val="9"/>
        </w:numPr>
        <w:tabs>
          <w:tab w:val="left" w:pos="1280"/>
        </w:tabs>
        <w:spacing w:before="120"/>
        <w:ind w:right="704" w:hanging="567"/>
        <w:jc w:val="both"/>
        <w:rPr>
          <w:rFonts w:ascii="Times New Roman" w:hAnsi="Times New Roman"/>
          <w:lang w:val="cs-CZ"/>
        </w:rPr>
      </w:pPr>
      <w:r>
        <w:rPr>
          <w:rFonts w:ascii="Times New Roman" w:hAnsi="Times New Roman"/>
          <w:lang w:val="cs-CZ"/>
        </w:rPr>
        <w:t>Tato Smlouva může být ukončena výpovědí bez uvedení důvodu, a to s měsíční výpovědní lhůtou, která počíná běžet prvním dnem kalendářního měsíce následujícího po prokazatelném doručení výpovědi druhé Straně.</w:t>
      </w:r>
    </w:p>
    <w:p>
      <w:pPr>
        <w:pStyle w:val="Odstavecseseznamem"/>
        <w:numPr>
          <w:ilvl w:val="1"/>
          <w:numId w:val="9"/>
        </w:numPr>
        <w:tabs>
          <w:tab w:val="left" w:pos="1280"/>
        </w:tabs>
        <w:spacing w:before="120"/>
        <w:ind w:right="705" w:hanging="567"/>
        <w:jc w:val="both"/>
        <w:rPr>
          <w:rFonts w:ascii="Times New Roman" w:hAnsi="Times New Roman"/>
          <w:lang w:val="cs-CZ"/>
        </w:rPr>
      </w:pPr>
      <w:r>
        <w:rPr>
          <w:rFonts w:ascii="Times New Roman" w:hAnsi="Times New Roman"/>
          <w:lang w:val="cs-CZ"/>
        </w:rPr>
        <w:t>Každá ze Smluvních stran má právo od Smlouvy odstoupit za podmínek uvedených v Občanském zákoníku.</w:t>
      </w:r>
    </w:p>
    <w:p>
      <w:pPr>
        <w:pStyle w:val="Zkladntext"/>
        <w:spacing w:before="5"/>
        <w:ind w:left="0"/>
        <w:jc w:val="left"/>
        <w:rPr>
          <w:rFonts w:ascii="Times New Roman"/>
          <w:sz w:val="31"/>
          <w:lang w:val="cs-CZ"/>
        </w:rPr>
      </w:pPr>
    </w:p>
    <w:p>
      <w:pPr>
        <w:pStyle w:val="Odstavecseseznamem"/>
        <w:numPr>
          <w:ilvl w:val="0"/>
          <w:numId w:val="18"/>
        </w:numPr>
        <w:tabs>
          <w:tab w:val="left" w:pos="4871"/>
          <w:tab w:val="left" w:pos="4873"/>
        </w:tabs>
        <w:ind w:left="4872" w:hanging="708"/>
        <w:jc w:val="left"/>
        <w:rPr>
          <w:rFonts w:ascii="Arial" w:hAnsi="Arial"/>
          <w:b/>
          <w:sz w:val="32"/>
          <w:lang w:val="cs-CZ"/>
        </w:rPr>
      </w:pPr>
      <w:r>
        <w:rPr>
          <w:rFonts w:ascii="Arial" w:hAnsi="Arial"/>
          <w:b/>
          <w:sz w:val="32"/>
          <w:lang w:val="cs-CZ"/>
        </w:rPr>
        <w:t>Řešení</w:t>
      </w:r>
      <w:r>
        <w:rPr>
          <w:rFonts w:ascii="Arial" w:hAnsi="Arial"/>
          <w:b/>
          <w:spacing w:val="-1"/>
          <w:sz w:val="32"/>
          <w:lang w:val="cs-CZ"/>
        </w:rPr>
        <w:t xml:space="preserve"> </w:t>
      </w:r>
      <w:r>
        <w:rPr>
          <w:rFonts w:ascii="Arial" w:hAnsi="Arial"/>
          <w:b/>
          <w:sz w:val="32"/>
          <w:lang w:val="cs-CZ"/>
        </w:rPr>
        <w:t>sporů</w:t>
      </w:r>
    </w:p>
    <w:p>
      <w:pPr>
        <w:spacing w:before="238"/>
        <w:ind w:left="1279" w:right="702" w:hanging="567"/>
        <w:jc w:val="both"/>
        <w:rPr>
          <w:rFonts w:ascii="Times New Roman" w:hAnsi="Times New Roman"/>
          <w:lang w:val="cs-CZ"/>
        </w:rPr>
      </w:pPr>
      <w:r>
        <w:rPr>
          <w:rFonts w:ascii="Times New Roman" w:hAnsi="Times New Roman"/>
          <w:lang w:val="cs-CZ"/>
        </w:rPr>
        <w:t>13.1. Jakýkoli právní postup, nebo soudní spor vedený v souvislosti s touto smlouvou, bude zahájen a veden u příslušného soudu České republiky s tím, že strany v této souvislosti ve smyslu ustanovení § 89a občanského soudního řádu sjednávají pro všechny spory, u nichž jsou k řízení v prvním stupni příslušné okresní soudy místní příslušnost Obvodního soudu pro Prahu 9 a pro všechny spory, u nichž jsou k řízení v prvním stupni příslušné krajské soudy místní příslušnost Městského soudu v</w:t>
      </w:r>
      <w:r>
        <w:rPr>
          <w:rFonts w:ascii="Times New Roman" w:hAnsi="Times New Roman"/>
          <w:spacing w:val="-22"/>
          <w:lang w:val="cs-CZ"/>
        </w:rPr>
        <w:t xml:space="preserve"> </w:t>
      </w:r>
      <w:r>
        <w:rPr>
          <w:rFonts w:ascii="Times New Roman" w:hAnsi="Times New Roman"/>
          <w:lang w:val="cs-CZ"/>
        </w:rPr>
        <w:t>Praze.</w:t>
      </w:r>
    </w:p>
    <w:p>
      <w:pPr>
        <w:pStyle w:val="Zkladntext"/>
        <w:spacing w:before="4"/>
        <w:ind w:left="0"/>
        <w:jc w:val="left"/>
        <w:rPr>
          <w:rFonts w:ascii="Times New Roman"/>
          <w:sz w:val="31"/>
          <w:lang w:val="cs-CZ"/>
        </w:rPr>
      </w:pPr>
    </w:p>
    <w:p>
      <w:pPr>
        <w:pStyle w:val="Odstavecseseznamem"/>
        <w:numPr>
          <w:ilvl w:val="0"/>
          <w:numId w:val="18"/>
        </w:numPr>
        <w:tabs>
          <w:tab w:val="left" w:pos="4204"/>
          <w:tab w:val="left" w:pos="4205"/>
        </w:tabs>
        <w:ind w:left="4204" w:hanging="708"/>
        <w:jc w:val="left"/>
        <w:rPr>
          <w:rFonts w:ascii="Arial" w:hAnsi="Arial"/>
          <w:b/>
          <w:sz w:val="32"/>
          <w:lang w:val="cs-CZ"/>
        </w:rPr>
      </w:pPr>
      <w:r>
        <w:rPr>
          <w:rFonts w:ascii="Arial" w:hAnsi="Arial"/>
          <w:b/>
          <w:sz w:val="32"/>
          <w:lang w:val="cs-CZ"/>
        </w:rPr>
        <w:t>Závěrečná</w:t>
      </w:r>
      <w:r>
        <w:rPr>
          <w:rFonts w:ascii="Arial" w:hAnsi="Arial"/>
          <w:b/>
          <w:spacing w:val="-1"/>
          <w:sz w:val="32"/>
          <w:lang w:val="cs-CZ"/>
        </w:rPr>
        <w:t xml:space="preserve"> </w:t>
      </w:r>
      <w:r>
        <w:rPr>
          <w:rFonts w:ascii="Arial" w:hAnsi="Arial"/>
          <w:b/>
          <w:sz w:val="32"/>
          <w:lang w:val="cs-CZ"/>
        </w:rPr>
        <w:t>ustanovení</w:t>
      </w:r>
    </w:p>
    <w:p>
      <w:pPr>
        <w:pStyle w:val="Odstavecseseznamem"/>
        <w:numPr>
          <w:ilvl w:val="1"/>
          <w:numId w:val="8"/>
        </w:numPr>
        <w:tabs>
          <w:tab w:val="left" w:pos="1280"/>
        </w:tabs>
        <w:spacing w:before="238"/>
        <w:ind w:right="704"/>
        <w:jc w:val="both"/>
        <w:rPr>
          <w:rFonts w:ascii="Times New Roman" w:hAnsi="Times New Roman"/>
          <w:lang w:val="cs-CZ"/>
        </w:rPr>
      </w:pPr>
      <w:r>
        <w:rPr>
          <w:rFonts w:ascii="Times New Roman" w:hAnsi="Times New Roman"/>
          <w:lang w:val="cs-CZ"/>
        </w:rPr>
        <w:t xml:space="preserve">Vztahy mezi stranami se řídí ustanoveními této Smlouvy, všeobecnými obchodními podmínkami, které tvoří Přílohu </w:t>
      </w:r>
      <w:proofErr w:type="gramStart"/>
      <w:r>
        <w:rPr>
          <w:rFonts w:ascii="Times New Roman" w:hAnsi="Times New Roman"/>
          <w:lang w:val="cs-CZ"/>
        </w:rPr>
        <w:t>č.1 této</w:t>
      </w:r>
      <w:proofErr w:type="gramEnd"/>
      <w:r>
        <w:rPr>
          <w:rFonts w:ascii="Times New Roman" w:hAnsi="Times New Roman"/>
          <w:lang w:val="cs-CZ"/>
        </w:rPr>
        <w:t xml:space="preserve"> Smlouvy a občanským zákoníkem. V částech vztahujících se k udělení práva užití programů splňujících znaky autorského díla se použije režim autorského zákona. Pro případ, že by některé ustanovení této Smlouvy bylo v rozporu s právními předpisy zakotvujícími ochranu práv spotřebitele, pak se takové ustanovení této Smlouvy pro právní vztah definovaný touto Smlouvou nepoužije a bude aplikován příslušný právní</w:t>
      </w:r>
      <w:r>
        <w:rPr>
          <w:rFonts w:ascii="Times New Roman" w:hAnsi="Times New Roman"/>
          <w:spacing w:val="-5"/>
          <w:lang w:val="cs-CZ"/>
        </w:rPr>
        <w:t xml:space="preserve"> </w:t>
      </w:r>
      <w:r>
        <w:rPr>
          <w:rFonts w:ascii="Times New Roman" w:hAnsi="Times New Roman"/>
          <w:lang w:val="cs-CZ"/>
        </w:rPr>
        <w:t>předpis.</w:t>
      </w:r>
    </w:p>
    <w:p>
      <w:pPr>
        <w:pStyle w:val="Odstavecseseznamem"/>
        <w:numPr>
          <w:ilvl w:val="1"/>
          <w:numId w:val="8"/>
        </w:numPr>
        <w:tabs>
          <w:tab w:val="left" w:pos="1280"/>
        </w:tabs>
        <w:spacing w:before="62"/>
        <w:ind w:right="704"/>
        <w:jc w:val="both"/>
        <w:rPr>
          <w:rFonts w:ascii="Times New Roman" w:hAnsi="Times New Roman"/>
          <w:lang w:val="cs-CZ"/>
        </w:rPr>
      </w:pPr>
      <w:r>
        <w:rPr>
          <w:rFonts w:ascii="Times New Roman" w:hAnsi="Times New Roman"/>
          <w:lang w:val="cs-CZ"/>
        </w:rPr>
        <w:t>Dodavatel se zavazuje k součinnosti při výkonu finanční kontroly dle § 2 písm. e) zákona č. 320/2001 Sb., o finanční kontrole, ve znění pozdějších předpisů. Poskytovatel se dále zavazuje umožnit všem oprávněným subjektům provést kontrolu dokladů souvisejících s plněním Veřejné zakázky, a to po dobu určenou k jejich archivaci v souladu s příslušnými právními</w:t>
      </w:r>
      <w:r>
        <w:rPr>
          <w:rFonts w:ascii="Times New Roman" w:hAnsi="Times New Roman"/>
          <w:spacing w:val="-15"/>
          <w:lang w:val="cs-CZ"/>
        </w:rPr>
        <w:t xml:space="preserve"> </w:t>
      </w:r>
      <w:r>
        <w:rPr>
          <w:rFonts w:ascii="Times New Roman" w:hAnsi="Times New Roman"/>
          <w:lang w:val="cs-CZ"/>
        </w:rPr>
        <w:t>předpisy.</w:t>
      </w:r>
    </w:p>
    <w:p>
      <w:pPr>
        <w:pStyle w:val="Odstavecseseznamem"/>
        <w:numPr>
          <w:ilvl w:val="1"/>
          <w:numId w:val="8"/>
        </w:numPr>
        <w:tabs>
          <w:tab w:val="left" w:pos="1280"/>
        </w:tabs>
        <w:spacing w:before="61"/>
        <w:ind w:right="704"/>
        <w:jc w:val="both"/>
        <w:rPr>
          <w:rFonts w:ascii="Times New Roman" w:hAnsi="Times New Roman"/>
          <w:lang w:val="cs-CZ"/>
        </w:rPr>
      </w:pPr>
      <w:r>
        <w:rPr>
          <w:rFonts w:ascii="Times New Roman" w:hAnsi="Times New Roman"/>
          <w:lang w:val="cs-CZ"/>
        </w:rPr>
        <w:t xml:space="preserve">Uzavřením této Smlouvy každá Smluvní strana předává druhé Smluvní straně za účelem zajištění </w:t>
      </w:r>
      <w:proofErr w:type="gramStart"/>
      <w:r>
        <w:rPr>
          <w:rFonts w:ascii="Times New Roman" w:hAnsi="Times New Roman"/>
          <w:lang w:val="cs-CZ"/>
        </w:rPr>
        <w:t>řádného  plnění</w:t>
      </w:r>
      <w:proofErr w:type="gramEnd"/>
      <w:r>
        <w:rPr>
          <w:rFonts w:ascii="Times New Roman" w:hAnsi="Times New Roman"/>
          <w:lang w:val="cs-CZ"/>
        </w:rPr>
        <w:t xml:space="preserve">  Smlouvy  seznam  kontaktních  osob,  které  se  budou  podílet  na  plnění  Smlouvy,  s uvedením jejich osobních údajů: jméno, příjmení, titul, funkce, telefonický a e-mailový kontakt, u kterých právním důvodem pro jejich zpracování Smluvními stranami, jako správci těchto osobních údajů, je jejich oprávněný zájem na splnění Smlouvy, na kterém se v mezích své kompetence podílejí subjekty údajů. Spolu s tím se každá Smluvní strana zavazuje zajistit informování subjektů těchto údajů a dalších subjektů údajů, jejichž osobní údaje se vyskytují ve Smlouvě, že byly při poskytnutí těchto osobních údajů informovány dle článku 13 nařízení Evropského parlamentu a Rady (EU) č. 2016/679 ze dne 27. dubna 2016 o ochraně fyzických osob v souvislosti se zpracováním osobních údajů a o volném pohybu těchto údajů a o zrušení směrnice 95/46/ES (obecné nařízení o ochraně osobních údajů) o zpracování poskytnutých osobních údajů pro účel plnění této Smlouvy a o tom, že toto zpracování osobních údajů je v souladu se zákonnou úpravou. Vzor prohlášení o informování je ke stažení na webových stránkách:</w:t>
      </w:r>
      <w:r>
        <w:rPr>
          <w:rFonts w:ascii="Times New Roman" w:hAnsi="Times New Roman"/>
          <w:spacing w:val="1"/>
          <w:lang w:val="cs-CZ"/>
        </w:rPr>
        <w:t xml:space="preserve"> </w:t>
      </w:r>
      <w:hyperlink r:id="rId20">
        <w:r>
          <w:rPr>
            <w:rFonts w:ascii="Times New Roman" w:hAnsi="Times New Roman"/>
            <w:lang w:val="cs-CZ"/>
          </w:rPr>
          <w:t>www.sfdi.cz/gdpr.</w:t>
        </w:r>
      </w:hyperlink>
    </w:p>
    <w:p>
      <w:pPr>
        <w:pStyle w:val="Odstavecseseznamem"/>
        <w:numPr>
          <w:ilvl w:val="1"/>
          <w:numId w:val="8"/>
        </w:numPr>
        <w:tabs>
          <w:tab w:val="left" w:pos="1280"/>
        </w:tabs>
        <w:spacing w:before="59"/>
        <w:ind w:right="704"/>
        <w:jc w:val="both"/>
        <w:rPr>
          <w:rFonts w:ascii="Times New Roman" w:hAnsi="Times New Roman"/>
          <w:lang w:val="cs-CZ"/>
        </w:rPr>
      </w:pPr>
      <w:r>
        <w:rPr>
          <w:rFonts w:ascii="Times New Roman" w:hAnsi="Times New Roman"/>
          <w:lang w:val="cs-CZ"/>
        </w:rPr>
        <w:t>Případná neplatnost některého ustanovení této Smlouvy, ať už způsobená rozporem s právními předpisy, následnou změnou právních předpisů, chybou v psaní či počtech, či z jakýchkoliv jiných důvodů nezakládá neplatnost celé Smlouvy. Pro případ neplatnosti některého z ustanovení této Smlouvy se Smluvní strany dohodly postižené ustanovení nahradit ustanovením, které nejlépe odpovídá obsahu a účelu neplatného</w:t>
      </w:r>
      <w:r>
        <w:rPr>
          <w:rFonts w:ascii="Times New Roman" w:hAnsi="Times New Roman"/>
          <w:spacing w:val="-7"/>
          <w:lang w:val="cs-CZ"/>
        </w:rPr>
        <w:t xml:space="preserve"> </w:t>
      </w:r>
      <w:r>
        <w:rPr>
          <w:rFonts w:ascii="Times New Roman" w:hAnsi="Times New Roman"/>
          <w:lang w:val="cs-CZ"/>
        </w:rPr>
        <w:t>ustanovení.</w:t>
      </w:r>
    </w:p>
    <w:p>
      <w:pPr>
        <w:pStyle w:val="Zkladntext"/>
        <w:spacing w:before="4"/>
        <w:ind w:left="0"/>
        <w:jc w:val="left"/>
        <w:rPr>
          <w:rFonts w:ascii="Times New Roman"/>
          <w:sz w:val="32"/>
          <w:lang w:val="cs-CZ"/>
        </w:rPr>
      </w:pPr>
    </w:p>
    <w:p>
      <w:pPr>
        <w:pStyle w:val="Odstavecseseznamem"/>
        <w:numPr>
          <w:ilvl w:val="1"/>
          <w:numId w:val="8"/>
        </w:numPr>
        <w:tabs>
          <w:tab w:val="left" w:pos="1280"/>
        </w:tabs>
        <w:ind w:right="710"/>
        <w:jc w:val="both"/>
        <w:rPr>
          <w:rFonts w:ascii="Times New Roman" w:hAnsi="Times New Roman"/>
          <w:lang w:val="cs-CZ"/>
        </w:rPr>
      </w:pPr>
      <w:r>
        <w:rPr>
          <w:rFonts w:ascii="Times New Roman" w:hAnsi="Times New Roman"/>
          <w:lang w:val="cs-CZ"/>
        </w:rPr>
        <w:t>Obsah Smlouvy může být měněn jen dohodou stran smluvních a to vždy jen vzestupně číslovanými písemnými dodatky potvrzenými Oprávněnými osobami smluvních</w:t>
      </w:r>
      <w:r>
        <w:rPr>
          <w:rFonts w:ascii="Times New Roman" w:hAnsi="Times New Roman"/>
          <w:spacing w:val="-2"/>
          <w:lang w:val="cs-CZ"/>
        </w:rPr>
        <w:t xml:space="preserve"> </w:t>
      </w:r>
      <w:r>
        <w:rPr>
          <w:rFonts w:ascii="Times New Roman" w:hAnsi="Times New Roman"/>
          <w:lang w:val="cs-CZ"/>
        </w:rPr>
        <w:t>stran.</w:t>
      </w:r>
    </w:p>
    <w:p>
      <w:pPr>
        <w:pStyle w:val="Odstavecseseznamem"/>
        <w:numPr>
          <w:ilvl w:val="1"/>
          <w:numId w:val="8"/>
        </w:numPr>
        <w:tabs>
          <w:tab w:val="left" w:pos="1280"/>
        </w:tabs>
        <w:spacing w:before="60"/>
        <w:ind w:right="704"/>
        <w:jc w:val="both"/>
        <w:rPr>
          <w:rFonts w:ascii="Times New Roman" w:hAnsi="Times New Roman"/>
          <w:lang w:val="cs-CZ"/>
        </w:rPr>
      </w:pPr>
      <w:r>
        <w:rPr>
          <w:rFonts w:ascii="Times New Roman" w:hAnsi="Times New Roman"/>
          <w:lang w:val="cs-CZ"/>
        </w:rPr>
        <w:t xml:space="preserve">Smluvní strany výslovně prohlašují, že obsah Smlouvy není předmětem utajení a že souhlasí se zveřejněním Smlouvy a jejích případných dodatků na </w:t>
      </w:r>
      <w:hyperlink r:id="rId21">
        <w:r>
          <w:rPr>
            <w:rFonts w:ascii="Times New Roman" w:hAnsi="Times New Roman"/>
            <w:lang w:val="cs-CZ"/>
          </w:rPr>
          <w:t xml:space="preserve">www.sfdi.cz </w:t>
        </w:r>
      </w:hyperlink>
      <w:r>
        <w:rPr>
          <w:rFonts w:ascii="Times New Roman" w:hAnsi="Times New Roman"/>
          <w:lang w:val="cs-CZ"/>
        </w:rPr>
        <w:t xml:space="preserve">bez dalších podmínek. </w:t>
      </w:r>
      <w:proofErr w:type="gramStart"/>
      <w:r>
        <w:rPr>
          <w:rFonts w:ascii="Times New Roman" w:hAnsi="Times New Roman"/>
          <w:lang w:val="cs-CZ"/>
        </w:rPr>
        <w:t>Odběratel   v</w:t>
      </w:r>
      <w:r>
        <w:rPr>
          <w:rFonts w:ascii="Times New Roman" w:hAnsi="Times New Roman"/>
          <w:spacing w:val="-4"/>
          <w:lang w:val="cs-CZ"/>
        </w:rPr>
        <w:t xml:space="preserve"> </w:t>
      </w:r>
      <w:r>
        <w:rPr>
          <w:rFonts w:ascii="Times New Roman" w:hAnsi="Times New Roman"/>
          <w:lang w:val="cs-CZ"/>
        </w:rPr>
        <w:t>souladu</w:t>
      </w:r>
      <w:proofErr w:type="gramEnd"/>
      <w:r>
        <w:rPr>
          <w:rFonts w:ascii="Times New Roman" w:hAnsi="Times New Roman"/>
          <w:spacing w:val="30"/>
          <w:lang w:val="cs-CZ"/>
        </w:rPr>
        <w:t xml:space="preserve"> </w:t>
      </w:r>
      <w:r>
        <w:rPr>
          <w:rFonts w:ascii="Times New Roman" w:hAnsi="Times New Roman"/>
          <w:lang w:val="cs-CZ"/>
        </w:rPr>
        <w:t>se</w:t>
      </w:r>
      <w:r>
        <w:rPr>
          <w:rFonts w:ascii="Times New Roman" w:hAnsi="Times New Roman"/>
          <w:spacing w:val="31"/>
          <w:lang w:val="cs-CZ"/>
        </w:rPr>
        <w:t xml:space="preserve"> </w:t>
      </w:r>
      <w:r>
        <w:rPr>
          <w:rFonts w:ascii="Times New Roman" w:hAnsi="Times New Roman"/>
          <w:lang w:val="cs-CZ"/>
        </w:rPr>
        <w:t>zákonem</w:t>
      </w:r>
      <w:r>
        <w:rPr>
          <w:rFonts w:ascii="Times New Roman" w:hAnsi="Times New Roman"/>
          <w:spacing w:val="27"/>
          <w:lang w:val="cs-CZ"/>
        </w:rPr>
        <w:t xml:space="preserve"> </w:t>
      </w:r>
      <w:r>
        <w:rPr>
          <w:rFonts w:ascii="Times New Roman" w:hAnsi="Times New Roman"/>
          <w:lang w:val="cs-CZ"/>
        </w:rPr>
        <w:t>č.</w:t>
      </w:r>
      <w:r>
        <w:rPr>
          <w:rFonts w:ascii="Times New Roman" w:hAnsi="Times New Roman"/>
          <w:spacing w:val="30"/>
          <w:lang w:val="cs-CZ"/>
        </w:rPr>
        <w:t xml:space="preserve"> </w:t>
      </w:r>
      <w:r>
        <w:rPr>
          <w:rFonts w:ascii="Times New Roman" w:hAnsi="Times New Roman"/>
          <w:lang w:val="cs-CZ"/>
        </w:rPr>
        <w:t>340/2015</w:t>
      </w:r>
      <w:r>
        <w:rPr>
          <w:rFonts w:ascii="Times New Roman" w:hAnsi="Times New Roman"/>
          <w:spacing w:val="30"/>
          <w:lang w:val="cs-CZ"/>
        </w:rPr>
        <w:t xml:space="preserve"> </w:t>
      </w:r>
      <w:r>
        <w:rPr>
          <w:rFonts w:ascii="Times New Roman" w:hAnsi="Times New Roman"/>
          <w:lang w:val="cs-CZ"/>
        </w:rPr>
        <w:t>Sb.,</w:t>
      </w:r>
      <w:r>
        <w:rPr>
          <w:rFonts w:ascii="Times New Roman" w:hAnsi="Times New Roman"/>
          <w:spacing w:val="30"/>
          <w:lang w:val="cs-CZ"/>
        </w:rPr>
        <w:t xml:space="preserve"> </w:t>
      </w:r>
      <w:r>
        <w:rPr>
          <w:rFonts w:ascii="Times New Roman" w:hAnsi="Times New Roman"/>
          <w:lang w:val="cs-CZ"/>
        </w:rPr>
        <w:t>o</w:t>
      </w:r>
      <w:r>
        <w:rPr>
          <w:rFonts w:ascii="Times New Roman" w:hAnsi="Times New Roman"/>
          <w:spacing w:val="30"/>
          <w:lang w:val="cs-CZ"/>
        </w:rPr>
        <w:t xml:space="preserve"> </w:t>
      </w:r>
      <w:r>
        <w:rPr>
          <w:rFonts w:ascii="Times New Roman" w:hAnsi="Times New Roman"/>
          <w:lang w:val="cs-CZ"/>
        </w:rPr>
        <w:t>zvláštních</w:t>
      </w:r>
      <w:r>
        <w:rPr>
          <w:rFonts w:ascii="Times New Roman" w:hAnsi="Times New Roman"/>
          <w:spacing w:val="30"/>
          <w:lang w:val="cs-CZ"/>
        </w:rPr>
        <w:t xml:space="preserve"> </w:t>
      </w:r>
      <w:r>
        <w:rPr>
          <w:rFonts w:ascii="Times New Roman" w:hAnsi="Times New Roman"/>
          <w:lang w:val="cs-CZ"/>
        </w:rPr>
        <w:t>podmínkách</w:t>
      </w:r>
      <w:r>
        <w:rPr>
          <w:rFonts w:ascii="Times New Roman" w:hAnsi="Times New Roman"/>
          <w:spacing w:val="30"/>
          <w:lang w:val="cs-CZ"/>
        </w:rPr>
        <w:t xml:space="preserve"> </w:t>
      </w:r>
      <w:r>
        <w:rPr>
          <w:rFonts w:ascii="Times New Roman" w:hAnsi="Times New Roman"/>
          <w:lang w:val="cs-CZ"/>
        </w:rPr>
        <w:t>účinnosti</w:t>
      </w:r>
      <w:r>
        <w:rPr>
          <w:rFonts w:ascii="Times New Roman" w:hAnsi="Times New Roman"/>
          <w:spacing w:val="31"/>
          <w:lang w:val="cs-CZ"/>
        </w:rPr>
        <w:t xml:space="preserve"> </w:t>
      </w:r>
      <w:r>
        <w:rPr>
          <w:rFonts w:ascii="Times New Roman" w:hAnsi="Times New Roman"/>
          <w:lang w:val="cs-CZ"/>
        </w:rPr>
        <w:t>některých</w:t>
      </w:r>
      <w:r>
        <w:rPr>
          <w:rFonts w:ascii="Times New Roman" w:hAnsi="Times New Roman"/>
          <w:spacing w:val="30"/>
          <w:lang w:val="cs-CZ"/>
        </w:rPr>
        <w:t xml:space="preserve"> </w:t>
      </w:r>
      <w:r>
        <w:rPr>
          <w:rFonts w:ascii="Times New Roman" w:hAnsi="Times New Roman"/>
          <w:lang w:val="cs-CZ"/>
        </w:rPr>
        <w:t>smluv,</w:t>
      </w:r>
    </w:p>
    <w:p>
      <w:pPr>
        <w:jc w:val="both"/>
        <w:rPr>
          <w:rFonts w:ascii="Times New Roman" w:hAnsi="Times New Roman"/>
          <w:lang w:val="cs-CZ"/>
        </w:rPr>
        <w:sectPr>
          <w:pgSz w:w="11900" w:h="16840"/>
          <w:pgMar w:top="1200" w:right="420" w:bottom="1100" w:left="420" w:header="0" w:footer="917" w:gutter="0"/>
          <w:cols w:space="708"/>
        </w:sectPr>
      </w:pPr>
    </w:p>
    <w:p>
      <w:pPr>
        <w:pStyle w:val="Zkladntext"/>
        <w:spacing w:line="20" w:lineRule="exact"/>
        <w:ind w:left="676"/>
        <w:jc w:val="left"/>
        <w:rPr>
          <w:rFonts w:ascii="Times New Roman"/>
          <w:sz w:val="2"/>
          <w:lang w:val="cs-CZ"/>
        </w:rPr>
      </w:pPr>
      <w:r>
        <w:rPr>
          <w:rFonts w:ascii="Times New Roman"/>
          <w:noProof/>
          <w:sz w:val="2"/>
          <w:lang w:val="cs-CZ" w:eastAsia="cs-CZ"/>
        </w:rPr>
        <w:lastRenderedPageBreak/>
        <mc:AlternateContent>
          <mc:Choice Requires="wpg">
            <w:drawing>
              <wp:inline distT="0" distB="0" distL="0" distR="0">
                <wp:extent cx="6156960" cy="9525"/>
                <wp:effectExtent l="9525" t="9525" r="5715" b="0"/>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6960" cy="9525"/>
                          <a:chOff x="0" y="0"/>
                          <a:chExt cx="9696" cy="15"/>
                        </a:xfrm>
                      </wpg:grpSpPr>
                      <wps:wsp>
                        <wps:cNvPr id="14" name="Line 6"/>
                        <wps:cNvCnPr/>
                        <wps:spPr bwMode="auto">
                          <a:xfrm>
                            <a:off x="0" y="7"/>
                            <a:ext cx="9696" cy="0"/>
                          </a:xfrm>
                          <a:prstGeom prst="line">
                            <a:avLst/>
                          </a:prstGeom>
                          <a:noFill/>
                          <a:ln w="9143">
                            <a:solidFill>
                              <a:srgbClr val="7F807F"/>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484.8pt;height:.75pt;mso-position-horizontal-relative:char;mso-position-vertical-relative:line" coordsize="96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">
                <v:line id="Line 6" o:spid="_x0000_s1027" style="position:absolute;visibility:visible;mso-wrap-style:square" from="0,7" to="9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Jd68MAAADbAAAADwAAAGRycy9kb3ducmV2LnhtbERPTU8CMRC9m/AfmiHhJl2MElkoBEzM&#10;egHjqtHjZDtsV7fTzbZA+feUxMTbvLzPWayibcWRet84VjAZZyCIK6cbrhV8vD/fPoLwAVlj65gU&#10;nMnDajm4WWCu3Ynf6FiGWqQQ9jkqMCF0uZS+MmTRj11HnLi96y2GBPta6h5PKdy28i7LptJiw6nB&#10;YEdPhqrf8mAVFPvXsniYxc/tdPdlis232c1+olKjYVzPQQSK4V/8537Raf49XH9JB8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yXevDAAAA2wAAAA8AAAAAAAAAAAAA&#10;AAAAoQIAAGRycy9kb3ducmV2LnhtbFBLBQYAAAAABAAEAPkAAACRAwAAAAA=&#10;" strokecolor="#7f807f" strokeweight=".25397mm"/>
                <w10:anchorlock/>
              </v:group>
            </w:pict>
          </mc:Fallback>
        </mc:AlternateContent>
      </w:r>
    </w:p>
    <w:p>
      <w:pPr>
        <w:tabs>
          <w:tab w:val="left" w:pos="3119"/>
          <w:tab w:val="left" w:pos="4346"/>
          <w:tab w:val="left" w:pos="5572"/>
          <w:tab w:val="left" w:pos="6362"/>
          <w:tab w:val="left" w:pos="7163"/>
          <w:tab w:val="left" w:pos="8524"/>
          <w:tab w:val="left" w:pos="9751"/>
        </w:tabs>
        <w:spacing w:before="53"/>
        <w:ind w:left="1279" w:right="706"/>
        <w:jc w:val="both"/>
        <w:rPr>
          <w:rFonts w:ascii="Times New Roman" w:hAnsi="Times New Roman"/>
          <w:lang w:val="cs-CZ"/>
        </w:rPr>
      </w:pPr>
      <w:r>
        <w:rPr>
          <w:rFonts w:ascii="Times New Roman" w:hAnsi="Times New Roman"/>
          <w:lang w:val="cs-CZ"/>
        </w:rPr>
        <w:t>uveřejňování</w:t>
      </w:r>
      <w:r>
        <w:rPr>
          <w:rFonts w:ascii="Times New Roman" w:hAnsi="Times New Roman"/>
          <w:lang w:val="cs-CZ"/>
        </w:rPr>
        <w:tab/>
        <w:t>těchto</w:t>
      </w:r>
      <w:r>
        <w:rPr>
          <w:rFonts w:ascii="Times New Roman" w:hAnsi="Times New Roman"/>
          <w:lang w:val="cs-CZ"/>
        </w:rPr>
        <w:tab/>
        <w:t>smluv</w:t>
      </w:r>
      <w:r>
        <w:rPr>
          <w:rFonts w:ascii="Times New Roman" w:hAnsi="Times New Roman"/>
          <w:lang w:val="cs-CZ"/>
        </w:rPr>
        <w:tab/>
        <w:t>a</w:t>
      </w:r>
      <w:r>
        <w:rPr>
          <w:rFonts w:ascii="Times New Roman" w:hAnsi="Times New Roman"/>
          <w:lang w:val="cs-CZ"/>
        </w:rPr>
        <w:tab/>
        <w:t>o</w:t>
      </w:r>
      <w:r>
        <w:rPr>
          <w:rFonts w:ascii="Times New Roman" w:hAnsi="Times New Roman"/>
          <w:lang w:val="cs-CZ"/>
        </w:rPr>
        <w:tab/>
        <w:t>registru</w:t>
      </w:r>
      <w:r>
        <w:rPr>
          <w:rFonts w:ascii="Times New Roman" w:hAnsi="Times New Roman"/>
          <w:lang w:val="cs-CZ"/>
        </w:rPr>
        <w:tab/>
        <w:t>smluv</w:t>
      </w:r>
      <w:r>
        <w:rPr>
          <w:rFonts w:ascii="Times New Roman" w:hAnsi="Times New Roman"/>
          <w:lang w:val="cs-CZ"/>
        </w:rPr>
        <w:tab/>
      </w:r>
      <w:r>
        <w:rPr>
          <w:rFonts w:ascii="Times New Roman" w:hAnsi="Times New Roman"/>
          <w:spacing w:val="-4"/>
          <w:lang w:val="cs-CZ"/>
        </w:rPr>
        <w:t xml:space="preserve">(zákon </w:t>
      </w:r>
      <w:r>
        <w:rPr>
          <w:rFonts w:ascii="Times New Roman" w:hAnsi="Times New Roman"/>
          <w:lang w:val="cs-CZ"/>
        </w:rPr>
        <w:t>o registru smluv), ve znění pozdějších předpisů, uveřejní Smlouvu po jejím podpisu smluvními stranami prostřednictvím registru</w:t>
      </w:r>
      <w:r>
        <w:rPr>
          <w:rFonts w:ascii="Times New Roman" w:hAnsi="Times New Roman"/>
          <w:spacing w:val="-7"/>
          <w:lang w:val="cs-CZ"/>
        </w:rPr>
        <w:t xml:space="preserve"> </w:t>
      </w:r>
      <w:r>
        <w:rPr>
          <w:rFonts w:ascii="Times New Roman" w:hAnsi="Times New Roman"/>
          <w:lang w:val="cs-CZ"/>
        </w:rPr>
        <w:t>smluv.</w:t>
      </w:r>
    </w:p>
    <w:p>
      <w:pPr>
        <w:pStyle w:val="Odstavecseseznamem"/>
        <w:numPr>
          <w:ilvl w:val="1"/>
          <w:numId w:val="8"/>
        </w:numPr>
        <w:tabs>
          <w:tab w:val="left" w:pos="1280"/>
        </w:tabs>
        <w:spacing w:before="59"/>
        <w:rPr>
          <w:rFonts w:ascii="Times New Roman" w:hAnsi="Times New Roman"/>
          <w:lang w:val="cs-CZ"/>
        </w:rPr>
      </w:pPr>
      <w:r>
        <w:rPr>
          <w:rFonts w:ascii="Times New Roman" w:hAnsi="Times New Roman"/>
          <w:lang w:val="cs-CZ"/>
        </w:rPr>
        <w:t>Smlouva je uzavřena</w:t>
      </w:r>
      <w:r>
        <w:rPr>
          <w:rFonts w:ascii="Times New Roman" w:hAnsi="Times New Roman"/>
          <w:spacing w:val="-3"/>
          <w:lang w:val="cs-CZ"/>
        </w:rPr>
        <w:t xml:space="preserve"> </w:t>
      </w:r>
      <w:r>
        <w:rPr>
          <w:rFonts w:ascii="Times New Roman" w:hAnsi="Times New Roman"/>
          <w:lang w:val="cs-CZ"/>
        </w:rPr>
        <w:t>elektronicky.</w:t>
      </w:r>
    </w:p>
    <w:p>
      <w:pPr>
        <w:pStyle w:val="Odstavecseseznamem"/>
        <w:numPr>
          <w:ilvl w:val="1"/>
          <w:numId w:val="8"/>
        </w:numPr>
        <w:tabs>
          <w:tab w:val="left" w:pos="1280"/>
        </w:tabs>
        <w:spacing w:before="62"/>
        <w:ind w:right="5581"/>
        <w:rPr>
          <w:rFonts w:ascii="Times New Roman" w:hAnsi="Times New Roman"/>
          <w:lang w:val="cs-CZ"/>
        </w:rPr>
      </w:pPr>
      <w:r>
        <w:rPr>
          <w:rFonts w:ascii="Times New Roman" w:hAnsi="Times New Roman"/>
          <w:lang w:val="cs-CZ"/>
        </w:rPr>
        <w:t>Nedílnou součástí Smlouvy jsou přílohy: Příloha č. 1 – Všeobecné obchodní podmínky Příloha č. 2 – Specifikace požadovaných</w:t>
      </w:r>
      <w:r>
        <w:rPr>
          <w:rFonts w:ascii="Times New Roman" w:hAnsi="Times New Roman"/>
          <w:spacing w:val="-13"/>
          <w:lang w:val="cs-CZ"/>
        </w:rPr>
        <w:t xml:space="preserve"> </w:t>
      </w:r>
      <w:r>
        <w:rPr>
          <w:rFonts w:ascii="Times New Roman" w:hAnsi="Times New Roman"/>
          <w:lang w:val="cs-CZ"/>
        </w:rPr>
        <w:t>služeb</w:t>
      </w:r>
    </w:p>
    <w:p>
      <w:pPr>
        <w:pStyle w:val="Zkladntext"/>
        <w:ind w:left="0"/>
        <w:jc w:val="left"/>
        <w:rPr>
          <w:rFonts w:ascii="Times New Roman"/>
          <w:sz w:val="24"/>
          <w:lang w:val="cs-CZ"/>
        </w:rPr>
      </w:pPr>
    </w:p>
    <w:p>
      <w:pPr>
        <w:pStyle w:val="Zkladntext"/>
        <w:spacing w:before="11"/>
        <w:ind w:left="0"/>
        <w:jc w:val="left"/>
        <w:rPr>
          <w:rFonts w:ascii="Times New Roman"/>
          <w:sz w:val="19"/>
          <w:lang w:val="cs-CZ"/>
        </w:rPr>
      </w:pPr>
    </w:p>
    <w:p>
      <w:pPr>
        <w:tabs>
          <w:tab w:val="left" w:pos="5949"/>
        </w:tabs>
        <w:ind w:left="909"/>
        <w:rPr>
          <w:rFonts w:ascii="Times New Roman" w:hAnsi="Times New Roman"/>
          <w:lang w:val="cs-CZ"/>
        </w:rPr>
      </w:pPr>
      <w:r>
        <w:rPr>
          <w:rFonts w:ascii="Times New Roman" w:hAnsi="Times New Roman"/>
          <w:lang w:val="cs-CZ"/>
        </w:rPr>
        <w:t xml:space="preserve">V Praze </w:t>
      </w:r>
      <w:proofErr w:type="gramStart"/>
      <w:r>
        <w:rPr>
          <w:rFonts w:ascii="Times New Roman" w:hAnsi="Times New Roman"/>
          <w:lang w:val="cs-CZ"/>
        </w:rPr>
        <w:t>dne  dle</w:t>
      </w:r>
      <w:proofErr w:type="gramEnd"/>
      <w:r>
        <w:rPr>
          <w:rFonts w:ascii="Times New Roman" w:hAnsi="Times New Roman"/>
          <w:spacing w:val="-8"/>
          <w:lang w:val="cs-CZ"/>
        </w:rPr>
        <w:t xml:space="preserve"> </w:t>
      </w:r>
      <w:r>
        <w:rPr>
          <w:rFonts w:ascii="Times New Roman" w:hAnsi="Times New Roman"/>
          <w:lang w:val="cs-CZ"/>
        </w:rPr>
        <w:t>elektronického</w:t>
      </w:r>
      <w:r>
        <w:rPr>
          <w:rFonts w:ascii="Times New Roman" w:hAnsi="Times New Roman"/>
          <w:spacing w:val="-1"/>
          <w:lang w:val="cs-CZ"/>
        </w:rPr>
        <w:t xml:space="preserve"> </w:t>
      </w:r>
      <w:r>
        <w:rPr>
          <w:rFonts w:ascii="Times New Roman" w:hAnsi="Times New Roman"/>
          <w:lang w:val="cs-CZ"/>
        </w:rPr>
        <w:t>podpisu</w:t>
      </w:r>
      <w:r>
        <w:rPr>
          <w:rFonts w:ascii="Times New Roman" w:hAnsi="Times New Roman"/>
          <w:lang w:val="cs-CZ"/>
        </w:rPr>
        <w:tab/>
        <w:t>V Praze dne dle elektronického</w:t>
      </w:r>
      <w:r>
        <w:rPr>
          <w:rFonts w:ascii="Times New Roman" w:hAnsi="Times New Roman"/>
          <w:spacing w:val="-3"/>
          <w:lang w:val="cs-CZ"/>
        </w:rPr>
        <w:t xml:space="preserve"> </w:t>
      </w:r>
      <w:r>
        <w:rPr>
          <w:rFonts w:ascii="Times New Roman" w:hAnsi="Times New Roman"/>
          <w:lang w:val="cs-CZ"/>
        </w:rPr>
        <w:t>podpisu</w:t>
      </w: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ind w:left="0"/>
        <w:jc w:val="left"/>
        <w:rPr>
          <w:rFonts w:ascii="Times New Roman"/>
          <w:sz w:val="20"/>
          <w:lang w:val="cs-CZ"/>
        </w:rPr>
      </w:pPr>
    </w:p>
    <w:p>
      <w:pPr>
        <w:pStyle w:val="Zkladntext"/>
        <w:spacing w:before="9"/>
        <w:ind w:left="0"/>
        <w:jc w:val="left"/>
        <w:rPr>
          <w:rFonts w:ascii="Times New Roman"/>
          <w:sz w:val="25"/>
          <w:lang w:val="cs-CZ"/>
        </w:rPr>
      </w:pPr>
      <w:r>
        <w:rPr>
          <w:noProof/>
          <w:lang w:val="cs-CZ" w:eastAsia="cs-CZ"/>
        </w:rPr>
        <mc:AlternateContent>
          <mc:Choice Requires="wps">
            <w:drawing>
              <wp:anchor distT="0" distB="0" distL="0" distR="0" simplePos="0" relativeHeight="251657728" behindDoc="1" locked="0" layoutInCell="1" allowOverlap="1">
                <wp:simplePos x="0" y="0"/>
                <wp:positionH relativeFrom="page">
                  <wp:posOffset>1208405</wp:posOffset>
                </wp:positionH>
                <wp:positionV relativeFrom="paragraph">
                  <wp:posOffset>216535</wp:posOffset>
                </wp:positionV>
                <wp:extent cx="1537970" cy="0"/>
                <wp:effectExtent l="8255" t="6985" r="6350" b="12065"/>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7970"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95.15pt,17.05pt" to="216.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" strokeweight=".15569mm">
                <w10:wrap type="topAndBottom" anchorx="page"/>
              </v:line>
            </w:pict>
          </mc:Fallback>
        </mc:AlternateContent>
      </w:r>
      <w:r>
        <w:rPr>
          <w:noProof/>
          <w:lang w:val="cs-CZ" w:eastAsia="cs-CZ"/>
        </w:rPr>
        <mc:AlternateContent>
          <mc:Choice Requires="wps">
            <w:drawing>
              <wp:anchor distT="0" distB="0" distL="0" distR="0" simplePos="0" relativeHeight="251658752" behindDoc="1" locked="0" layoutInCell="1" allowOverlap="1">
                <wp:simplePos x="0" y="0"/>
                <wp:positionH relativeFrom="page">
                  <wp:posOffset>4373880</wp:posOffset>
                </wp:positionH>
                <wp:positionV relativeFrom="paragraph">
                  <wp:posOffset>216535</wp:posOffset>
                </wp:positionV>
                <wp:extent cx="1605915" cy="0"/>
                <wp:effectExtent l="11430" t="6985" r="11430" b="12065"/>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5915" cy="0"/>
                        </a:xfrm>
                        <a:prstGeom prst="line">
                          <a:avLst/>
                        </a:prstGeom>
                        <a:noFill/>
                        <a:ln w="56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4.4pt,17.05pt" to="470.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vTHAIAAEIEAAAOAAAAZHJzL2Uyb0RvYy54bWysU8GO2jAQvVfqP1i+QxIWK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" strokeweight=".15569mm">
                <w10:wrap type="topAndBottom" anchorx="page"/>
              </v:line>
            </w:pict>
          </mc:Fallback>
        </mc:AlternateContent>
      </w:r>
    </w:p>
    <w:p>
      <w:pPr>
        <w:tabs>
          <w:tab w:val="left" w:pos="7079"/>
        </w:tabs>
        <w:spacing w:line="222" w:lineRule="exact"/>
        <w:ind w:left="2020"/>
        <w:rPr>
          <w:rFonts w:ascii="Times New Roman" w:hAnsi="Times New Roman"/>
          <w:lang w:val="cs-CZ"/>
        </w:rPr>
      </w:pPr>
      <w:r>
        <w:rPr>
          <w:rFonts w:ascii="Times New Roman" w:hAnsi="Times New Roman"/>
          <w:lang w:val="cs-CZ"/>
        </w:rPr>
        <w:t>Za</w:t>
      </w:r>
      <w:r>
        <w:rPr>
          <w:rFonts w:ascii="Times New Roman" w:hAnsi="Times New Roman"/>
          <w:spacing w:val="54"/>
          <w:lang w:val="cs-CZ"/>
        </w:rPr>
        <w:t xml:space="preserve"> </w:t>
      </w:r>
      <w:r>
        <w:rPr>
          <w:rFonts w:ascii="Times New Roman" w:hAnsi="Times New Roman"/>
          <w:lang w:val="cs-CZ"/>
        </w:rPr>
        <w:t>Dodavatele</w:t>
      </w:r>
      <w:r>
        <w:rPr>
          <w:rFonts w:ascii="Times New Roman" w:hAnsi="Times New Roman"/>
          <w:lang w:val="cs-CZ"/>
        </w:rPr>
        <w:tab/>
      </w:r>
      <w:proofErr w:type="gramStart"/>
      <w:r>
        <w:rPr>
          <w:rFonts w:ascii="Times New Roman" w:hAnsi="Times New Roman"/>
          <w:lang w:val="cs-CZ"/>
        </w:rPr>
        <w:t>Za  Odběratele</w:t>
      </w:r>
      <w:proofErr w:type="gramEnd"/>
    </w:p>
    <w:p>
      <w:pPr>
        <w:spacing w:line="222" w:lineRule="exact"/>
        <w:rPr>
          <w:rFonts w:ascii="Times New Roman" w:hAnsi="Times New Roman"/>
          <w:lang w:val="cs-CZ"/>
        </w:rPr>
        <w:sectPr>
          <w:pgSz w:w="11900" w:h="16840"/>
          <w:pgMar w:top="1200" w:right="420" w:bottom="1100" w:left="420" w:header="0" w:footer="917" w:gutter="0"/>
          <w:cols w:space="708"/>
        </w:sectPr>
      </w:pPr>
    </w:p>
    <w:p>
      <w:pPr>
        <w:pStyle w:val="Zkladntext"/>
        <w:spacing w:before="7"/>
        <w:ind w:left="0"/>
        <w:jc w:val="left"/>
        <w:rPr>
          <w:rFonts w:ascii="Times New Roman"/>
          <w:sz w:val="15"/>
          <w:lang w:val="cs-CZ"/>
        </w:rPr>
      </w:pPr>
    </w:p>
    <w:p>
      <w:pPr>
        <w:spacing w:before="100"/>
        <w:ind w:left="146"/>
        <w:rPr>
          <w:b/>
          <w:sz w:val="36"/>
          <w:lang w:val="cs-CZ"/>
        </w:rPr>
      </w:pPr>
      <w:r>
        <w:rPr>
          <w:noProof/>
          <w:lang w:val="cs-CZ" w:eastAsia="cs-CZ"/>
        </w:rPr>
        <w:drawing>
          <wp:anchor distT="0" distB="0" distL="0" distR="0" simplePos="0" relativeHeight="251654656" behindDoc="0" locked="0" layoutInCell="1" allowOverlap="1">
            <wp:simplePos x="0" y="0"/>
            <wp:positionH relativeFrom="page">
              <wp:posOffset>5600700</wp:posOffset>
            </wp:positionH>
            <wp:positionV relativeFrom="paragraph">
              <wp:posOffset>-120063</wp:posOffset>
            </wp:positionV>
            <wp:extent cx="1242059" cy="40385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2" cstate="print"/>
                    <a:stretch>
                      <a:fillRect/>
                    </a:stretch>
                  </pic:blipFill>
                  <pic:spPr>
                    <a:xfrm>
                      <a:off x="0" y="0"/>
                      <a:ext cx="1242059" cy="403859"/>
                    </a:xfrm>
                    <a:prstGeom prst="rect">
                      <a:avLst/>
                    </a:prstGeom>
                  </pic:spPr>
                </pic:pic>
              </a:graphicData>
            </a:graphic>
          </wp:anchor>
        </w:drawing>
      </w:r>
      <w:r>
        <w:rPr>
          <w:b/>
          <w:sz w:val="36"/>
          <w:lang w:val="cs-CZ"/>
        </w:rPr>
        <w:t>Všeobecné obchodní podmínky AUTOCONT a.s.</w:t>
      </w:r>
    </w:p>
    <w:p>
      <w:pPr>
        <w:spacing w:before="8"/>
        <w:ind w:left="146"/>
        <w:rPr>
          <w:sz w:val="12"/>
          <w:lang w:val="cs-CZ"/>
        </w:rPr>
      </w:pPr>
      <w:r>
        <w:rPr>
          <w:noProof/>
          <w:lang w:val="cs-CZ" w:eastAsia="cs-CZ"/>
        </w:rPr>
        <mc:AlternateContent>
          <mc:Choice Requires="wps">
            <w:drawing>
              <wp:anchor distT="0" distB="0" distL="114300" distR="114300" simplePos="0" relativeHeight="251653632" behindDoc="0" locked="0" layoutInCell="1" allowOverlap="1">
                <wp:simplePos x="0" y="0"/>
                <wp:positionH relativeFrom="page">
                  <wp:posOffset>341630</wp:posOffset>
                </wp:positionH>
                <wp:positionV relativeFrom="paragraph">
                  <wp:posOffset>114300</wp:posOffset>
                </wp:positionV>
                <wp:extent cx="6875780" cy="0"/>
                <wp:effectExtent l="17780" t="9525" r="12065" b="9525"/>
                <wp:wrapNone/>
                <wp:docPr id="1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182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9pt,9pt" to="568.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" strokeweight=".50794mm">
                <w10:wrap anchorx="page"/>
              </v:line>
            </w:pict>
          </mc:Fallback>
        </mc:AlternateContent>
      </w:r>
      <w:r>
        <w:rPr>
          <w:sz w:val="12"/>
          <w:lang w:val="cs-CZ"/>
        </w:rPr>
        <w:t xml:space="preserve">se sídlem Hornopolní 3322/34, Ostrava – Moravská Ostrava, PSČ 702 00, IČ 04308697, zapsané do obchodního rejstříku vedeného Krajským soudem v Ostravě pod spis. </w:t>
      </w:r>
      <w:proofErr w:type="gramStart"/>
      <w:r>
        <w:rPr>
          <w:sz w:val="12"/>
          <w:lang w:val="cs-CZ"/>
        </w:rPr>
        <w:t>zn.</w:t>
      </w:r>
      <w:proofErr w:type="gramEnd"/>
      <w:r>
        <w:rPr>
          <w:sz w:val="12"/>
          <w:lang w:val="cs-CZ"/>
        </w:rPr>
        <w:t xml:space="preserve"> B 11012</w:t>
      </w:r>
    </w:p>
    <w:p>
      <w:pPr>
        <w:rPr>
          <w:sz w:val="12"/>
          <w:lang w:val="cs-CZ"/>
        </w:rPr>
        <w:sectPr>
          <w:footerReference w:type="default" r:id="rId23"/>
          <w:pgSz w:w="11900" w:h="16840"/>
          <w:pgMar w:top="720" w:right="420" w:bottom="780" w:left="420" w:header="0" w:footer="583" w:gutter="0"/>
          <w:pgNumType w:start="1"/>
          <w:cols w:space="708"/>
        </w:sectPr>
      </w:pPr>
    </w:p>
    <w:p>
      <w:pPr>
        <w:pStyle w:val="Nadpis4"/>
        <w:numPr>
          <w:ilvl w:val="0"/>
          <w:numId w:val="7"/>
        </w:numPr>
        <w:tabs>
          <w:tab w:val="left" w:pos="542"/>
          <w:tab w:val="left" w:pos="543"/>
        </w:tabs>
        <w:spacing w:before="195" w:line="229" w:lineRule="exact"/>
        <w:ind w:hanging="396"/>
        <w:rPr>
          <w:lang w:val="cs-CZ"/>
        </w:rPr>
      </w:pPr>
      <w:r>
        <w:rPr>
          <w:lang w:val="cs-CZ"/>
        </w:rPr>
        <w:lastRenderedPageBreak/>
        <w:t>Základní</w:t>
      </w:r>
      <w:r>
        <w:rPr>
          <w:spacing w:val="-2"/>
          <w:lang w:val="cs-CZ"/>
        </w:rPr>
        <w:t xml:space="preserve"> </w:t>
      </w:r>
      <w:r>
        <w:rPr>
          <w:lang w:val="cs-CZ"/>
        </w:rPr>
        <w:t>ustanovení</w:t>
      </w:r>
    </w:p>
    <w:p>
      <w:pPr>
        <w:pStyle w:val="Odstavecseseznamem"/>
        <w:numPr>
          <w:ilvl w:val="1"/>
          <w:numId w:val="7"/>
        </w:numPr>
        <w:tabs>
          <w:tab w:val="left" w:pos="543"/>
        </w:tabs>
        <w:spacing w:before="2" w:line="235" w:lineRule="auto"/>
        <w:ind w:right="38"/>
        <w:jc w:val="both"/>
        <w:rPr>
          <w:sz w:val="16"/>
          <w:lang w:val="cs-CZ"/>
        </w:rPr>
      </w:pPr>
      <w:r>
        <w:rPr>
          <w:sz w:val="16"/>
          <w:lang w:val="cs-CZ"/>
        </w:rPr>
        <w:t>Tyto Všeobecné obchodní, servisní a záruční podmínky (dále jen „</w:t>
      </w:r>
      <w:r>
        <w:rPr>
          <w:b/>
          <w:sz w:val="16"/>
          <w:lang w:val="cs-CZ"/>
        </w:rPr>
        <w:t>Všeobecné podmínky</w:t>
      </w:r>
      <w:r>
        <w:rPr>
          <w:sz w:val="16"/>
          <w:lang w:val="cs-CZ"/>
        </w:rPr>
        <w:t>“) upravují vztahy při dodávkách zboží a služeb, tj. hardware - HW, software - SW, spotřební materiál, pomocný materiál, náhradní díly, dokumentace apod. (dále jen „předmětu plnění“) firmou AUTOCONT a. s., (dále jen „dodavatel“) odběratelům a jsou závazné pro veškerý obchodní styk s</w:t>
      </w:r>
      <w:r>
        <w:rPr>
          <w:spacing w:val="-13"/>
          <w:sz w:val="16"/>
          <w:lang w:val="cs-CZ"/>
        </w:rPr>
        <w:t xml:space="preserve"> </w:t>
      </w:r>
      <w:r>
        <w:rPr>
          <w:sz w:val="16"/>
          <w:lang w:val="cs-CZ"/>
        </w:rPr>
        <w:t>dodavatelem.</w:t>
      </w:r>
    </w:p>
    <w:p>
      <w:pPr>
        <w:pStyle w:val="Zkladntext"/>
        <w:spacing w:line="235" w:lineRule="auto"/>
        <w:ind w:left="146" w:right="40"/>
        <w:rPr>
          <w:lang w:val="cs-CZ"/>
        </w:rPr>
      </w:pPr>
      <w:r>
        <w:rPr>
          <w:lang w:val="cs-CZ"/>
        </w:rPr>
        <w:t>Odchylná písemná ujednání účastníků mají přednost před ustanoveními těchto Všeobecných podmínek.</w:t>
      </w:r>
    </w:p>
    <w:p>
      <w:pPr>
        <w:pStyle w:val="Odstavecseseznamem"/>
        <w:numPr>
          <w:ilvl w:val="1"/>
          <w:numId w:val="7"/>
        </w:numPr>
        <w:tabs>
          <w:tab w:val="left" w:pos="543"/>
        </w:tabs>
        <w:spacing w:before="1" w:line="235" w:lineRule="auto"/>
        <w:ind w:right="39"/>
        <w:jc w:val="both"/>
        <w:rPr>
          <w:sz w:val="16"/>
          <w:lang w:val="cs-CZ"/>
        </w:rPr>
      </w:pPr>
      <w:r>
        <w:rPr>
          <w:sz w:val="16"/>
          <w:lang w:val="cs-CZ"/>
        </w:rPr>
        <w:t>Signováním právně závazných aktů směřujících k založení závazkového vztahu mezi dodavatelem a odběratelem ve věci dodávky předmětu plnění dodavatelem akceptují účastníci, že jejich vzájemný závazkový vztah se bude řídit režimem občanského zákoníku. Založení sjednávaného závazkového vztahu je vždy podmíněno přijetím objednávky odběratele</w:t>
      </w:r>
      <w:r>
        <w:rPr>
          <w:spacing w:val="-5"/>
          <w:sz w:val="16"/>
          <w:lang w:val="cs-CZ"/>
        </w:rPr>
        <w:t xml:space="preserve"> </w:t>
      </w:r>
      <w:r>
        <w:rPr>
          <w:sz w:val="16"/>
          <w:lang w:val="cs-CZ"/>
        </w:rPr>
        <w:t>dodavatelem.</w:t>
      </w:r>
    </w:p>
    <w:p>
      <w:pPr>
        <w:pStyle w:val="Zkladntext"/>
        <w:spacing w:line="235" w:lineRule="auto"/>
        <w:ind w:left="146" w:right="38" w:hanging="1"/>
        <w:rPr>
          <w:lang w:val="cs-CZ"/>
        </w:rPr>
      </w:pPr>
      <w:r>
        <w:rPr>
          <w:lang w:val="cs-CZ"/>
        </w:rPr>
        <w:t xml:space="preserve">V případě, kdy je prodej zboží (resp. realizace předmětu plnění) uskutečněn </w:t>
      </w:r>
      <w:r>
        <w:rPr>
          <w:b/>
          <w:u w:val="single"/>
          <w:lang w:val="cs-CZ"/>
        </w:rPr>
        <w:t>za použit</w:t>
      </w:r>
      <w:r>
        <w:rPr>
          <w:b/>
          <w:lang w:val="cs-CZ"/>
        </w:rPr>
        <w:t>í</w:t>
      </w:r>
      <w:r>
        <w:rPr>
          <w:b/>
          <w:u w:val="single"/>
          <w:lang w:val="cs-CZ"/>
        </w:rPr>
        <w:t xml:space="preserve"> prostředků komunikace na dálku</w:t>
      </w:r>
      <w:r>
        <w:rPr>
          <w:b/>
          <w:lang w:val="cs-CZ"/>
        </w:rPr>
        <w:t xml:space="preserve"> </w:t>
      </w:r>
      <w:r>
        <w:rPr>
          <w:lang w:val="cs-CZ"/>
        </w:rPr>
        <w:t>(zejména elektronický obchod na Internetu), odesláním objednávky spotřebitel potvrzuje, že byl seznámen s těmito Všeobecnými podmínkami, vyjadřuje svůj souhlas s jejich zněním a vůli řídit se jimi při obchodním styku s</w:t>
      </w:r>
      <w:r>
        <w:rPr>
          <w:spacing w:val="-2"/>
          <w:lang w:val="cs-CZ"/>
        </w:rPr>
        <w:t xml:space="preserve"> </w:t>
      </w:r>
      <w:r>
        <w:rPr>
          <w:lang w:val="cs-CZ"/>
        </w:rPr>
        <w:t>dodavatelem.</w:t>
      </w:r>
    </w:p>
    <w:p>
      <w:pPr>
        <w:pStyle w:val="Zkladntext"/>
        <w:spacing w:line="235" w:lineRule="auto"/>
        <w:ind w:left="146" w:right="38"/>
        <w:rPr>
          <w:lang w:val="cs-CZ"/>
        </w:rPr>
      </w:pPr>
      <w:r>
        <w:rPr>
          <w:lang w:val="cs-CZ"/>
        </w:rPr>
        <w:t>Pro případ, že by některé ustanovení těchto Všeobecných podmínek bylo v rozporu s právními předpisy zakotvujícími ochranu práv spotřebitele, pak se takové ustanovení těchto Všeobecných podmínek pro právní vztah mezi dodavatelem a spotřebitelem nepoužije a bude aplikován příslušný právní předpis.</w:t>
      </w:r>
    </w:p>
    <w:p>
      <w:pPr>
        <w:pStyle w:val="Odstavecseseznamem"/>
        <w:numPr>
          <w:ilvl w:val="1"/>
          <w:numId w:val="7"/>
        </w:numPr>
        <w:tabs>
          <w:tab w:val="left" w:pos="543"/>
        </w:tabs>
        <w:spacing w:line="179" w:lineRule="exact"/>
        <w:rPr>
          <w:sz w:val="16"/>
          <w:lang w:val="cs-CZ"/>
        </w:rPr>
      </w:pPr>
      <w:r>
        <w:rPr>
          <w:sz w:val="16"/>
          <w:lang w:val="cs-CZ"/>
        </w:rPr>
        <w:t>Definice základních</w:t>
      </w:r>
      <w:r>
        <w:rPr>
          <w:spacing w:val="-1"/>
          <w:sz w:val="16"/>
          <w:lang w:val="cs-CZ"/>
        </w:rPr>
        <w:t xml:space="preserve"> </w:t>
      </w:r>
      <w:r>
        <w:rPr>
          <w:sz w:val="16"/>
          <w:lang w:val="cs-CZ"/>
        </w:rPr>
        <w:t>pojmů.</w:t>
      </w:r>
    </w:p>
    <w:p>
      <w:pPr>
        <w:pStyle w:val="Zkladntext"/>
        <w:spacing w:before="2" w:line="235" w:lineRule="auto"/>
        <w:ind w:left="146" w:right="39"/>
        <w:rPr>
          <w:lang w:val="cs-CZ"/>
        </w:rPr>
      </w:pPr>
      <w:r>
        <w:rPr>
          <w:u w:val="single"/>
          <w:lang w:val="cs-CZ"/>
        </w:rPr>
        <w:t>Spotřebite</w:t>
      </w:r>
      <w:r>
        <w:rPr>
          <w:lang w:val="cs-CZ"/>
        </w:rPr>
        <w:t>l je každý člověk, který mimo rámec své podnikatelské činnosti nebo mimo rámec samostatného výkonu svého povolání uzavírá smlouvu s podnikatelem nebo s ním jinak jedná (viz § 419 občanského zákoníku).</w:t>
      </w:r>
    </w:p>
    <w:p>
      <w:pPr>
        <w:pStyle w:val="Zkladntext"/>
        <w:spacing w:line="235" w:lineRule="auto"/>
        <w:ind w:left="146" w:right="38"/>
        <w:rPr>
          <w:lang w:val="cs-CZ"/>
        </w:rPr>
      </w:pPr>
      <w:r>
        <w:rPr>
          <w:u w:val="single"/>
          <w:lang w:val="cs-CZ"/>
        </w:rPr>
        <w:t>Plátce</w:t>
      </w:r>
      <w:r>
        <w:rPr>
          <w:lang w:val="cs-CZ"/>
        </w:rPr>
        <w:t xml:space="preserve"> je odběratel, který uzavírá závazkový vztah s dodavatelem, ale pořizuje předmět plnění s tím, že jej bude používat příjemce/zákazník. Příjemce/zákazník je jako uživatel předmětu plnění odběratelem písemně zplnomocněn k převzetí předmětu plnění a ke </w:t>
      </w:r>
      <w:proofErr w:type="gramStart"/>
      <w:r>
        <w:rPr>
          <w:lang w:val="cs-CZ"/>
        </w:rPr>
        <w:t>všem       dalším</w:t>
      </w:r>
      <w:proofErr w:type="gramEnd"/>
      <w:r>
        <w:rPr>
          <w:lang w:val="cs-CZ"/>
        </w:rPr>
        <w:t xml:space="preserve">       jednáním       v       souvislosti       s       jeho       používáním. </w:t>
      </w:r>
      <w:r>
        <w:rPr>
          <w:u w:val="single"/>
          <w:lang w:val="cs-CZ"/>
        </w:rPr>
        <w:t>Prodejce</w:t>
      </w:r>
      <w:r>
        <w:rPr>
          <w:lang w:val="cs-CZ"/>
        </w:rPr>
        <w:t xml:space="preserve"> je prodávající pracovník pověřený zastupováním dodavatele při obchodním jednání.</w:t>
      </w:r>
    </w:p>
    <w:p>
      <w:pPr>
        <w:pStyle w:val="Nadpis4"/>
        <w:numPr>
          <w:ilvl w:val="0"/>
          <w:numId w:val="7"/>
        </w:numPr>
        <w:tabs>
          <w:tab w:val="left" w:pos="542"/>
          <w:tab w:val="left" w:pos="543"/>
        </w:tabs>
        <w:ind w:hanging="396"/>
        <w:rPr>
          <w:lang w:val="cs-CZ"/>
        </w:rPr>
      </w:pPr>
      <w:r>
        <w:rPr>
          <w:lang w:val="cs-CZ"/>
        </w:rPr>
        <w:t>Cena předmětu</w:t>
      </w:r>
      <w:r>
        <w:rPr>
          <w:spacing w:val="-2"/>
          <w:lang w:val="cs-CZ"/>
        </w:rPr>
        <w:t xml:space="preserve"> </w:t>
      </w:r>
      <w:r>
        <w:rPr>
          <w:lang w:val="cs-CZ"/>
        </w:rPr>
        <w:t>plnění</w:t>
      </w:r>
    </w:p>
    <w:p>
      <w:pPr>
        <w:pStyle w:val="Odstavecseseznamem"/>
        <w:numPr>
          <w:ilvl w:val="1"/>
          <w:numId w:val="7"/>
        </w:numPr>
        <w:tabs>
          <w:tab w:val="left" w:pos="543"/>
        </w:tabs>
        <w:spacing w:before="3" w:line="235" w:lineRule="auto"/>
        <w:ind w:right="40"/>
        <w:jc w:val="both"/>
        <w:rPr>
          <w:sz w:val="16"/>
          <w:lang w:val="cs-CZ"/>
        </w:rPr>
      </w:pPr>
      <w:r>
        <w:rPr>
          <w:sz w:val="16"/>
          <w:lang w:val="cs-CZ"/>
        </w:rPr>
        <w:t>Přehledové katalogy a ceníky vydávané dodavatelem, jakož i ústní a telefonické informace či informace poskytované prostřednictvím internetových www serverů o cenách předmětu plnění jsou informativní, ze strany dodavatele nezávazné a odběratelem nevymahatelné. Dodavatel si vyhrazuje právo změnit technické parametry, popř. i ceny předmětu plnění bez předchozího písemného oznámení. Dodavatel nezodpovídá za chyby vzniklé při tisku obchodních a technických materiálů.</w:t>
      </w:r>
    </w:p>
    <w:p>
      <w:pPr>
        <w:pStyle w:val="Odstavecseseznamem"/>
        <w:numPr>
          <w:ilvl w:val="1"/>
          <w:numId w:val="7"/>
        </w:numPr>
        <w:tabs>
          <w:tab w:val="left" w:pos="543"/>
        </w:tabs>
        <w:spacing w:line="235" w:lineRule="auto"/>
        <w:ind w:right="40"/>
        <w:jc w:val="both"/>
        <w:rPr>
          <w:sz w:val="16"/>
          <w:lang w:val="cs-CZ"/>
        </w:rPr>
      </w:pPr>
      <w:r>
        <w:rPr>
          <w:sz w:val="16"/>
          <w:lang w:val="cs-CZ"/>
        </w:rPr>
        <w:t>Pro upřesnění ceny a specifikace předmětu plnění je odběratel oprávněn si vyžádat závaznou cenovou nabídku (dále jen „nabídka“), jejíž platnost je 7 kalendářních dnů ode dne vystavení, není-li uvedeno</w:t>
      </w:r>
      <w:r>
        <w:rPr>
          <w:spacing w:val="-6"/>
          <w:sz w:val="16"/>
          <w:lang w:val="cs-CZ"/>
        </w:rPr>
        <w:t xml:space="preserve"> </w:t>
      </w:r>
      <w:r>
        <w:rPr>
          <w:sz w:val="16"/>
          <w:lang w:val="cs-CZ"/>
        </w:rPr>
        <w:t>jinak.</w:t>
      </w:r>
    </w:p>
    <w:p>
      <w:pPr>
        <w:pStyle w:val="Odstavecseseznamem"/>
        <w:numPr>
          <w:ilvl w:val="1"/>
          <w:numId w:val="7"/>
        </w:numPr>
        <w:tabs>
          <w:tab w:val="left" w:pos="543"/>
        </w:tabs>
        <w:spacing w:line="235" w:lineRule="auto"/>
        <w:ind w:right="42"/>
        <w:jc w:val="both"/>
        <w:rPr>
          <w:sz w:val="16"/>
          <w:lang w:val="cs-CZ"/>
        </w:rPr>
      </w:pPr>
      <w:r>
        <w:rPr>
          <w:sz w:val="16"/>
          <w:lang w:val="cs-CZ"/>
        </w:rPr>
        <w:t>Ceny předmětu plnění uváděné v cenové nabídce nezahrnují žádné související služby, pokud není výslovně uvedeno jinak. Požadavek na poskytnutí souvisejících služeb je třeba výslovně uvést v</w:t>
      </w:r>
      <w:r>
        <w:rPr>
          <w:spacing w:val="-7"/>
          <w:sz w:val="16"/>
          <w:lang w:val="cs-CZ"/>
        </w:rPr>
        <w:t xml:space="preserve"> </w:t>
      </w:r>
      <w:r>
        <w:rPr>
          <w:sz w:val="16"/>
          <w:lang w:val="cs-CZ"/>
        </w:rPr>
        <w:t>objednávce.</w:t>
      </w:r>
    </w:p>
    <w:p>
      <w:pPr>
        <w:pStyle w:val="Odstavecseseznamem"/>
        <w:numPr>
          <w:ilvl w:val="1"/>
          <w:numId w:val="7"/>
        </w:numPr>
        <w:tabs>
          <w:tab w:val="left" w:pos="543"/>
        </w:tabs>
        <w:spacing w:before="1" w:line="235" w:lineRule="auto"/>
        <w:ind w:right="38"/>
        <w:jc w:val="both"/>
        <w:rPr>
          <w:sz w:val="16"/>
          <w:lang w:val="cs-CZ"/>
        </w:rPr>
      </w:pPr>
      <w:r>
        <w:rPr>
          <w:sz w:val="16"/>
          <w:lang w:val="cs-CZ"/>
        </w:rPr>
        <w:t>Dodavatel předpokládá obvyklé použití předmětu plnění. Jakékoliv specifické požadavky na předmět plnění (např. operační systém, se kterým má být předmět plnění provozován, způsob jeho připojení apod.) je třeba výslovně uvést v objednávce.</w:t>
      </w:r>
    </w:p>
    <w:p>
      <w:pPr>
        <w:pStyle w:val="Nadpis4"/>
        <w:numPr>
          <w:ilvl w:val="0"/>
          <w:numId w:val="7"/>
        </w:numPr>
        <w:tabs>
          <w:tab w:val="left" w:pos="542"/>
          <w:tab w:val="left" w:pos="543"/>
        </w:tabs>
        <w:spacing w:line="229" w:lineRule="exact"/>
        <w:ind w:hanging="396"/>
        <w:rPr>
          <w:lang w:val="cs-CZ"/>
        </w:rPr>
      </w:pPr>
      <w:r>
        <w:rPr>
          <w:lang w:val="cs-CZ"/>
        </w:rPr>
        <w:t>Uzavření</w:t>
      </w:r>
      <w:r>
        <w:rPr>
          <w:spacing w:val="-2"/>
          <w:lang w:val="cs-CZ"/>
        </w:rPr>
        <w:t xml:space="preserve"> </w:t>
      </w:r>
      <w:r>
        <w:rPr>
          <w:lang w:val="cs-CZ"/>
        </w:rPr>
        <w:t>smlouvy</w:t>
      </w:r>
    </w:p>
    <w:p>
      <w:pPr>
        <w:pStyle w:val="Odstavecseseznamem"/>
        <w:numPr>
          <w:ilvl w:val="1"/>
          <w:numId w:val="7"/>
        </w:numPr>
        <w:tabs>
          <w:tab w:val="left" w:pos="543"/>
        </w:tabs>
        <w:spacing w:before="1" w:line="235" w:lineRule="auto"/>
        <w:ind w:right="40"/>
        <w:jc w:val="both"/>
        <w:rPr>
          <w:sz w:val="16"/>
          <w:lang w:val="cs-CZ"/>
        </w:rPr>
      </w:pPr>
      <w:r>
        <w:rPr>
          <w:sz w:val="16"/>
          <w:lang w:val="cs-CZ"/>
        </w:rPr>
        <w:t>Jednotlivé obchodní případy se uzavírají na základě písemných objednávek odběratele, zaslaných poštou nebo faxem nebo objednávek zaslaných elektronickou formou (prostřednictvím e-mailu nebo internetových www serverů), ve výjimečných případech též na základě ústní anebo telefonické objednávky. Vystavení objednávky obvykle předchází cenová nabídka dodavatele učiněná na základě poptávky odběratele. Pokud není písemně uvedeno jinak, platí pro závazkový vztah mezi dodavatelem a odběratelem tyto Všeobecné podmínky. Příslušné části Všeobecných podmínek platí až do doby úplného vypořádání práv a závazků mezi dodavatelem a odběratelem. Pro cenovou kalkulaci předmětu plnění platí ceny, uvedené v platné písemné nabídce dodavatele, nebo ceny platné v okamžiku přijetí</w:t>
      </w:r>
      <w:r>
        <w:rPr>
          <w:spacing w:val="-3"/>
          <w:sz w:val="16"/>
          <w:lang w:val="cs-CZ"/>
        </w:rPr>
        <w:t xml:space="preserve"> </w:t>
      </w:r>
      <w:r>
        <w:rPr>
          <w:sz w:val="16"/>
          <w:lang w:val="cs-CZ"/>
        </w:rPr>
        <w:t>objednávky.</w:t>
      </w:r>
    </w:p>
    <w:p>
      <w:pPr>
        <w:pStyle w:val="Odstavecseseznamem"/>
        <w:numPr>
          <w:ilvl w:val="1"/>
          <w:numId w:val="7"/>
        </w:numPr>
        <w:tabs>
          <w:tab w:val="left" w:pos="543"/>
        </w:tabs>
        <w:spacing w:line="180" w:lineRule="exact"/>
        <w:rPr>
          <w:sz w:val="16"/>
          <w:lang w:val="cs-CZ"/>
        </w:rPr>
      </w:pPr>
      <w:r>
        <w:rPr>
          <w:sz w:val="16"/>
          <w:lang w:val="cs-CZ"/>
        </w:rPr>
        <w:t>Objednávka musí obsahovat tyto základní</w:t>
      </w:r>
      <w:r>
        <w:rPr>
          <w:spacing w:val="-10"/>
          <w:sz w:val="16"/>
          <w:lang w:val="cs-CZ"/>
        </w:rPr>
        <w:t xml:space="preserve"> </w:t>
      </w:r>
      <w:r>
        <w:rPr>
          <w:sz w:val="16"/>
          <w:lang w:val="cs-CZ"/>
        </w:rPr>
        <w:t>náležitosti:</w:t>
      </w:r>
    </w:p>
    <w:p>
      <w:pPr>
        <w:pStyle w:val="Odstavecseseznamem"/>
        <w:numPr>
          <w:ilvl w:val="0"/>
          <w:numId w:val="6"/>
        </w:numPr>
        <w:tabs>
          <w:tab w:val="left" w:pos="226"/>
        </w:tabs>
        <w:spacing w:before="1" w:line="235" w:lineRule="auto"/>
        <w:ind w:right="45" w:hanging="84"/>
        <w:jc w:val="left"/>
        <w:rPr>
          <w:sz w:val="16"/>
          <w:lang w:val="cs-CZ"/>
        </w:rPr>
      </w:pPr>
      <w:r>
        <w:rPr>
          <w:sz w:val="16"/>
          <w:lang w:val="cs-CZ"/>
        </w:rPr>
        <w:t>obchodní firmu (resp. název) a sídlo odběratele včetně telefonického a faxového spojení; je-li odběratel fyzickou osobou, pak uvádí jméno a příjmení, bydliště a místo</w:t>
      </w:r>
      <w:r>
        <w:rPr>
          <w:spacing w:val="-25"/>
          <w:sz w:val="16"/>
          <w:lang w:val="cs-CZ"/>
        </w:rPr>
        <w:t xml:space="preserve"> </w:t>
      </w:r>
      <w:r>
        <w:rPr>
          <w:sz w:val="16"/>
          <w:lang w:val="cs-CZ"/>
        </w:rPr>
        <w:t>podnikání</w:t>
      </w:r>
    </w:p>
    <w:p>
      <w:pPr>
        <w:pStyle w:val="Odstavecseseznamem"/>
        <w:numPr>
          <w:ilvl w:val="0"/>
          <w:numId w:val="6"/>
        </w:numPr>
        <w:tabs>
          <w:tab w:val="left" w:pos="255"/>
        </w:tabs>
        <w:spacing w:before="1" w:line="235" w:lineRule="auto"/>
        <w:ind w:left="259" w:right="180" w:hanging="84"/>
        <w:jc w:val="left"/>
        <w:rPr>
          <w:sz w:val="16"/>
          <w:lang w:val="cs-CZ"/>
        </w:rPr>
      </w:pPr>
      <w:r>
        <w:rPr>
          <w:sz w:val="16"/>
          <w:lang w:val="cs-CZ"/>
        </w:rPr>
        <w:t>osobu, oprávněnou v dané věci jednat jménem odběratele, IČO a DIČ odběratele (je-li registrován jako plátce</w:t>
      </w:r>
      <w:r>
        <w:rPr>
          <w:spacing w:val="-1"/>
          <w:sz w:val="16"/>
          <w:lang w:val="cs-CZ"/>
        </w:rPr>
        <w:t xml:space="preserve"> </w:t>
      </w:r>
      <w:r>
        <w:rPr>
          <w:sz w:val="16"/>
          <w:lang w:val="cs-CZ"/>
        </w:rPr>
        <w:t>DPH);</w:t>
      </w:r>
    </w:p>
    <w:p>
      <w:pPr>
        <w:pStyle w:val="Odstavecseseznamem"/>
        <w:numPr>
          <w:ilvl w:val="0"/>
          <w:numId w:val="6"/>
        </w:numPr>
        <w:tabs>
          <w:tab w:val="left" w:pos="255"/>
        </w:tabs>
        <w:spacing w:line="235" w:lineRule="auto"/>
        <w:ind w:left="259" w:right="203" w:hanging="84"/>
        <w:jc w:val="left"/>
        <w:rPr>
          <w:sz w:val="16"/>
          <w:lang w:val="cs-CZ"/>
        </w:rPr>
      </w:pPr>
      <w:r>
        <w:rPr>
          <w:sz w:val="16"/>
          <w:lang w:val="cs-CZ"/>
        </w:rPr>
        <w:t>jednoznačné</w:t>
      </w:r>
      <w:r>
        <w:rPr>
          <w:spacing w:val="-3"/>
          <w:sz w:val="16"/>
          <w:lang w:val="cs-CZ"/>
        </w:rPr>
        <w:t xml:space="preserve"> </w:t>
      </w:r>
      <w:r>
        <w:rPr>
          <w:sz w:val="16"/>
          <w:lang w:val="cs-CZ"/>
        </w:rPr>
        <w:t>určení</w:t>
      </w:r>
      <w:r>
        <w:rPr>
          <w:spacing w:val="-5"/>
          <w:sz w:val="16"/>
          <w:lang w:val="cs-CZ"/>
        </w:rPr>
        <w:t xml:space="preserve"> </w:t>
      </w:r>
      <w:r>
        <w:rPr>
          <w:sz w:val="16"/>
          <w:lang w:val="cs-CZ"/>
        </w:rPr>
        <w:t>předmětu</w:t>
      </w:r>
      <w:r>
        <w:rPr>
          <w:spacing w:val="-4"/>
          <w:sz w:val="16"/>
          <w:lang w:val="cs-CZ"/>
        </w:rPr>
        <w:t xml:space="preserve"> </w:t>
      </w:r>
      <w:r>
        <w:rPr>
          <w:sz w:val="16"/>
          <w:lang w:val="cs-CZ"/>
        </w:rPr>
        <w:t>plnění</w:t>
      </w:r>
      <w:r>
        <w:rPr>
          <w:spacing w:val="-5"/>
          <w:sz w:val="16"/>
          <w:lang w:val="cs-CZ"/>
        </w:rPr>
        <w:t xml:space="preserve"> </w:t>
      </w:r>
      <w:r>
        <w:rPr>
          <w:sz w:val="16"/>
          <w:lang w:val="cs-CZ"/>
        </w:rPr>
        <w:t>a</w:t>
      </w:r>
      <w:r>
        <w:rPr>
          <w:spacing w:val="-2"/>
          <w:sz w:val="16"/>
          <w:lang w:val="cs-CZ"/>
        </w:rPr>
        <w:t xml:space="preserve"> </w:t>
      </w:r>
      <w:r>
        <w:rPr>
          <w:sz w:val="16"/>
          <w:lang w:val="cs-CZ"/>
        </w:rPr>
        <w:t>jeho</w:t>
      </w:r>
      <w:r>
        <w:rPr>
          <w:spacing w:val="-3"/>
          <w:sz w:val="16"/>
          <w:lang w:val="cs-CZ"/>
        </w:rPr>
        <w:t xml:space="preserve"> </w:t>
      </w:r>
      <w:r>
        <w:rPr>
          <w:sz w:val="16"/>
          <w:lang w:val="cs-CZ"/>
        </w:rPr>
        <w:t>množství</w:t>
      </w:r>
      <w:r>
        <w:rPr>
          <w:spacing w:val="-4"/>
          <w:sz w:val="16"/>
          <w:lang w:val="cs-CZ"/>
        </w:rPr>
        <w:t xml:space="preserve"> </w:t>
      </w:r>
      <w:r>
        <w:rPr>
          <w:sz w:val="16"/>
          <w:lang w:val="cs-CZ"/>
        </w:rPr>
        <w:t>(včetně</w:t>
      </w:r>
      <w:r>
        <w:rPr>
          <w:spacing w:val="-3"/>
          <w:sz w:val="16"/>
          <w:lang w:val="cs-CZ"/>
        </w:rPr>
        <w:t xml:space="preserve"> </w:t>
      </w:r>
      <w:r>
        <w:rPr>
          <w:sz w:val="16"/>
          <w:lang w:val="cs-CZ"/>
        </w:rPr>
        <w:t>poskytnutí</w:t>
      </w:r>
      <w:r>
        <w:rPr>
          <w:spacing w:val="-4"/>
          <w:sz w:val="16"/>
          <w:lang w:val="cs-CZ"/>
        </w:rPr>
        <w:t xml:space="preserve"> </w:t>
      </w:r>
      <w:r>
        <w:rPr>
          <w:sz w:val="16"/>
          <w:lang w:val="cs-CZ"/>
        </w:rPr>
        <w:t>souvisejících služeb či plnění), dodací podmínky (místo a termín), odpovědnou osobu pro převzetí předmětu plnění a případné další specifické požadavky na předmět</w:t>
      </w:r>
      <w:r>
        <w:rPr>
          <w:spacing w:val="-16"/>
          <w:sz w:val="16"/>
          <w:lang w:val="cs-CZ"/>
        </w:rPr>
        <w:t xml:space="preserve"> </w:t>
      </w:r>
      <w:r>
        <w:rPr>
          <w:sz w:val="16"/>
          <w:lang w:val="cs-CZ"/>
        </w:rPr>
        <w:t>plnění;</w:t>
      </w:r>
    </w:p>
    <w:p>
      <w:pPr>
        <w:pStyle w:val="Odstavecseseznamem"/>
        <w:numPr>
          <w:ilvl w:val="0"/>
          <w:numId w:val="6"/>
        </w:numPr>
        <w:tabs>
          <w:tab w:val="left" w:pos="255"/>
        </w:tabs>
        <w:spacing w:line="235" w:lineRule="auto"/>
        <w:ind w:left="259" w:right="141" w:hanging="84"/>
        <w:jc w:val="left"/>
        <w:rPr>
          <w:sz w:val="16"/>
          <w:lang w:val="cs-CZ"/>
        </w:rPr>
      </w:pPr>
      <w:r>
        <w:rPr>
          <w:sz w:val="16"/>
          <w:lang w:val="cs-CZ"/>
        </w:rPr>
        <w:t>veškeré informace, takto získané o zákaznících, jsou uchovávány v souladu s platnými zákony České republiky, nařízením Evropského parlamentu a Rady (EU) 2016/679, obecné nařízení o ochraně osobních údajů (GDPR). Informace o zpracování osobních údajů dodavatelem jsou zveřejněny na internetové adrese</w:t>
      </w:r>
      <w:r>
        <w:rPr>
          <w:color w:val="0563C1"/>
          <w:sz w:val="16"/>
          <w:lang w:val="cs-CZ"/>
        </w:rPr>
        <w:t xml:space="preserve"> </w:t>
      </w:r>
      <w:hyperlink r:id="rId24">
        <w:r>
          <w:rPr>
            <w:color w:val="0563C1"/>
            <w:sz w:val="16"/>
            <w:u w:val="single" w:color="0563C1"/>
            <w:lang w:val="cs-CZ"/>
          </w:rPr>
          <w:t>www.autocont.cz/ke-</w:t>
        </w:r>
      </w:hyperlink>
      <w:r>
        <w:rPr>
          <w:color w:val="0563C1"/>
          <w:sz w:val="16"/>
          <w:u w:val="single" w:color="0563C1"/>
          <w:lang w:val="cs-CZ"/>
        </w:rPr>
        <w:t xml:space="preserve"> </w:t>
      </w:r>
      <w:proofErr w:type="spellStart"/>
      <w:r>
        <w:rPr>
          <w:color w:val="0563C1"/>
          <w:sz w:val="16"/>
          <w:u w:val="single" w:color="0563C1"/>
          <w:lang w:val="cs-CZ"/>
        </w:rPr>
        <w:t>stazeni</w:t>
      </w:r>
      <w:proofErr w:type="spellEnd"/>
      <w:r>
        <w:rPr>
          <w:color w:val="0563C1"/>
          <w:sz w:val="16"/>
          <w:u w:val="single" w:color="0563C1"/>
          <w:lang w:val="cs-CZ"/>
        </w:rPr>
        <w:t>/</w:t>
      </w:r>
      <w:proofErr w:type="spellStart"/>
      <w:r>
        <w:rPr>
          <w:color w:val="0563C1"/>
          <w:sz w:val="16"/>
          <w:u w:val="single" w:color="0563C1"/>
          <w:lang w:val="cs-CZ"/>
        </w:rPr>
        <w:t>obchodni-zarucni-podminky</w:t>
      </w:r>
      <w:proofErr w:type="spellEnd"/>
      <w:r>
        <w:rPr>
          <w:sz w:val="16"/>
          <w:lang w:val="cs-CZ"/>
        </w:rPr>
        <w:t>.</w:t>
      </w:r>
    </w:p>
    <w:p>
      <w:pPr>
        <w:pStyle w:val="Odstavecseseznamem"/>
        <w:numPr>
          <w:ilvl w:val="1"/>
          <w:numId w:val="7"/>
        </w:numPr>
        <w:tabs>
          <w:tab w:val="left" w:pos="543"/>
        </w:tabs>
        <w:spacing w:line="235" w:lineRule="auto"/>
        <w:ind w:right="40"/>
        <w:jc w:val="both"/>
        <w:rPr>
          <w:sz w:val="16"/>
          <w:lang w:val="cs-CZ"/>
        </w:rPr>
      </w:pPr>
      <w:r>
        <w:rPr>
          <w:sz w:val="16"/>
          <w:lang w:val="cs-CZ"/>
        </w:rPr>
        <w:t>Po obdržení objednávky odběratele zašle dodavatel odběrateli Potvrzení objednávky,</w:t>
      </w:r>
      <w:r>
        <w:rPr>
          <w:spacing w:val="20"/>
          <w:sz w:val="16"/>
          <w:lang w:val="cs-CZ"/>
        </w:rPr>
        <w:t xml:space="preserve"> </w:t>
      </w:r>
      <w:r>
        <w:rPr>
          <w:sz w:val="16"/>
          <w:lang w:val="cs-CZ"/>
        </w:rPr>
        <w:t>a</w:t>
      </w:r>
      <w:r>
        <w:rPr>
          <w:spacing w:val="23"/>
          <w:sz w:val="16"/>
          <w:lang w:val="cs-CZ"/>
        </w:rPr>
        <w:t xml:space="preserve"> </w:t>
      </w:r>
      <w:r>
        <w:rPr>
          <w:sz w:val="16"/>
          <w:lang w:val="cs-CZ"/>
        </w:rPr>
        <w:t>to</w:t>
      </w:r>
      <w:r>
        <w:rPr>
          <w:spacing w:val="20"/>
          <w:sz w:val="16"/>
          <w:lang w:val="cs-CZ"/>
        </w:rPr>
        <w:t xml:space="preserve"> </w:t>
      </w:r>
      <w:r>
        <w:rPr>
          <w:sz w:val="16"/>
          <w:lang w:val="cs-CZ"/>
        </w:rPr>
        <w:t>písemně,</w:t>
      </w:r>
      <w:r>
        <w:rPr>
          <w:spacing w:val="21"/>
          <w:sz w:val="16"/>
          <w:lang w:val="cs-CZ"/>
        </w:rPr>
        <w:t xml:space="preserve"> </w:t>
      </w:r>
      <w:r>
        <w:rPr>
          <w:sz w:val="16"/>
          <w:lang w:val="cs-CZ"/>
        </w:rPr>
        <w:t>faxem</w:t>
      </w:r>
      <w:r>
        <w:rPr>
          <w:spacing w:val="21"/>
          <w:sz w:val="16"/>
          <w:lang w:val="cs-CZ"/>
        </w:rPr>
        <w:t xml:space="preserve"> </w:t>
      </w:r>
      <w:r>
        <w:rPr>
          <w:sz w:val="16"/>
          <w:lang w:val="cs-CZ"/>
        </w:rPr>
        <w:t>či</w:t>
      </w:r>
      <w:r>
        <w:rPr>
          <w:spacing w:val="21"/>
          <w:sz w:val="16"/>
          <w:lang w:val="cs-CZ"/>
        </w:rPr>
        <w:t xml:space="preserve"> </w:t>
      </w:r>
      <w:r>
        <w:rPr>
          <w:sz w:val="16"/>
          <w:lang w:val="cs-CZ"/>
        </w:rPr>
        <w:t>e-mailem.</w:t>
      </w:r>
      <w:r>
        <w:rPr>
          <w:spacing w:val="21"/>
          <w:sz w:val="16"/>
          <w:lang w:val="cs-CZ"/>
        </w:rPr>
        <w:t xml:space="preserve"> </w:t>
      </w:r>
      <w:r>
        <w:rPr>
          <w:sz w:val="16"/>
          <w:lang w:val="cs-CZ"/>
        </w:rPr>
        <w:t>Dodavatel</w:t>
      </w:r>
      <w:r>
        <w:rPr>
          <w:spacing w:val="21"/>
          <w:sz w:val="16"/>
          <w:lang w:val="cs-CZ"/>
        </w:rPr>
        <w:t xml:space="preserve"> </w:t>
      </w:r>
      <w:r>
        <w:rPr>
          <w:sz w:val="16"/>
          <w:lang w:val="cs-CZ"/>
        </w:rPr>
        <w:t>je</w:t>
      </w:r>
      <w:r>
        <w:rPr>
          <w:spacing w:val="23"/>
          <w:sz w:val="16"/>
          <w:lang w:val="cs-CZ"/>
        </w:rPr>
        <w:t xml:space="preserve"> </w:t>
      </w:r>
      <w:r>
        <w:rPr>
          <w:sz w:val="16"/>
          <w:lang w:val="cs-CZ"/>
        </w:rPr>
        <w:t>oprávněn</w:t>
      </w:r>
      <w:r>
        <w:rPr>
          <w:spacing w:val="22"/>
          <w:sz w:val="16"/>
          <w:lang w:val="cs-CZ"/>
        </w:rPr>
        <w:t xml:space="preserve"> </w:t>
      </w:r>
      <w:r>
        <w:rPr>
          <w:sz w:val="16"/>
          <w:lang w:val="cs-CZ"/>
        </w:rPr>
        <w:t>přijmout</w:t>
      </w:r>
      <w:r>
        <w:rPr>
          <w:spacing w:val="21"/>
          <w:sz w:val="16"/>
          <w:lang w:val="cs-CZ"/>
        </w:rPr>
        <w:t xml:space="preserve"> </w:t>
      </w:r>
      <w:r>
        <w:rPr>
          <w:sz w:val="16"/>
          <w:lang w:val="cs-CZ"/>
        </w:rPr>
        <w:t>i</w:t>
      </w:r>
    </w:p>
    <w:p>
      <w:pPr>
        <w:pStyle w:val="Zkladntext"/>
        <w:spacing w:before="157" w:line="235" w:lineRule="auto"/>
        <w:ind w:right="134"/>
        <w:rPr>
          <w:lang w:val="cs-CZ"/>
        </w:rPr>
      </w:pPr>
      <w:r>
        <w:rPr>
          <w:lang w:val="cs-CZ"/>
        </w:rPr>
        <w:br w:type="column"/>
      </w:r>
      <w:r>
        <w:rPr>
          <w:lang w:val="cs-CZ"/>
        </w:rPr>
        <w:lastRenderedPageBreak/>
        <w:t>objednávku doručenou mu po uplynutí lhůty platnosti nabídky. Potvrzení objednávky je dodavatel povinen odeslat odběrateli nejpozději do 2 pracovních dnů ode dne doručení objednávky. V případě, že základní údaje (rozsah a charakteristika předmětu plnění, dodací a platební podmínky) v potvrzení objednávky vystavené dodavatelem souhlasí s textem objednávky odběratele, potvrzuje dodavatel předáním, resp. odesláním potvrzení objednávky svoji vůli přijmout objednávku odběratele jako závaznou a tímto okamžikem vzniká závazkový</w:t>
      </w:r>
      <w:r>
        <w:rPr>
          <w:spacing w:val="-3"/>
          <w:lang w:val="cs-CZ"/>
        </w:rPr>
        <w:t xml:space="preserve"> </w:t>
      </w:r>
      <w:r>
        <w:rPr>
          <w:lang w:val="cs-CZ"/>
        </w:rPr>
        <w:t>vztah.</w:t>
      </w:r>
    </w:p>
    <w:p>
      <w:pPr>
        <w:pStyle w:val="Odstavecseseznamem"/>
        <w:numPr>
          <w:ilvl w:val="1"/>
          <w:numId w:val="7"/>
        </w:numPr>
        <w:tabs>
          <w:tab w:val="left" w:pos="543"/>
        </w:tabs>
        <w:spacing w:before="1" w:line="235" w:lineRule="auto"/>
        <w:ind w:right="136"/>
        <w:jc w:val="both"/>
        <w:rPr>
          <w:sz w:val="16"/>
          <w:lang w:val="cs-CZ"/>
        </w:rPr>
      </w:pPr>
      <w:r>
        <w:rPr>
          <w:sz w:val="16"/>
          <w:lang w:val="cs-CZ"/>
        </w:rPr>
        <w:t xml:space="preserve">V případě, že některý z požadavků uvedených v objednávce odběratele nemůže dodavatel splnit, zašle odběrateli znovu nabídku s uvedením možných variant objednávky a vyžádá si stanovisko odběratele. V případě, že v objednávce odběratele jde o nestandardní předmět plnění, vyžádá si dodavatel před přijetím objednávky složení zálohy ve sjednané výši na základě vystavené zálohové faktury ve smyslu článku </w:t>
      </w:r>
      <w:proofErr w:type="gramStart"/>
      <w:r>
        <w:rPr>
          <w:sz w:val="16"/>
          <w:lang w:val="cs-CZ"/>
        </w:rPr>
        <w:t>8.2. těchto</w:t>
      </w:r>
      <w:proofErr w:type="gramEnd"/>
      <w:r>
        <w:rPr>
          <w:sz w:val="16"/>
          <w:lang w:val="cs-CZ"/>
        </w:rPr>
        <w:t xml:space="preserve"> podmínek. Dodací lhůta, uvedená v potvrzení objednávky, začíná běžet po uhrazení zálohy</w:t>
      </w:r>
      <w:r>
        <w:rPr>
          <w:spacing w:val="-10"/>
          <w:sz w:val="16"/>
          <w:lang w:val="cs-CZ"/>
        </w:rPr>
        <w:t xml:space="preserve"> </w:t>
      </w:r>
      <w:r>
        <w:rPr>
          <w:sz w:val="16"/>
          <w:lang w:val="cs-CZ"/>
        </w:rPr>
        <w:t>objednatelem.</w:t>
      </w:r>
    </w:p>
    <w:p>
      <w:pPr>
        <w:pStyle w:val="Odstavecseseznamem"/>
        <w:numPr>
          <w:ilvl w:val="1"/>
          <w:numId w:val="7"/>
        </w:numPr>
        <w:tabs>
          <w:tab w:val="left" w:pos="543"/>
        </w:tabs>
        <w:spacing w:line="235" w:lineRule="auto"/>
        <w:ind w:right="134"/>
        <w:jc w:val="both"/>
        <w:rPr>
          <w:sz w:val="16"/>
          <w:lang w:val="cs-CZ"/>
        </w:rPr>
      </w:pPr>
      <w:r>
        <w:rPr>
          <w:sz w:val="16"/>
          <w:lang w:val="cs-CZ"/>
        </w:rPr>
        <w:t xml:space="preserve">Ustanovení článku </w:t>
      </w:r>
      <w:proofErr w:type="gramStart"/>
      <w:r>
        <w:rPr>
          <w:sz w:val="16"/>
          <w:lang w:val="cs-CZ"/>
        </w:rPr>
        <w:t>3.3. čtvrtá</w:t>
      </w:r>
      <w:proofErr w:type="gramEnd"/>
      <w:r>
        <w:rPr>
          <w:sz w:val="16"/>
          <w:lang w:val="cs-CZ"/>
        </w:rPr>
        <w:t xml:space="preserve"> věta, není pro dodavatele závazné v případě, že výrobce přestane vyrábět a dodávat produkt, který je obsahem předmětu plnění, nahradí ho novou verzí, popř. výrazným způsobem změní cenu produktu. V takovém případě tuto skutečnost dodavatel neprodleně sdělí odběrateli a po dohodě s ním zašle aktualizované potvrzení</w:t>
      </w:r>
      <w:r>
        <w:rPr>
          <w:spacing w:val="-9"/>
          <w:sz w:val="16"/>
          <w:lang w:val="cs-CZ"/>
        </w:rPr>
        <w:t xml:space="preserve"> </w:t>
      </w:r>
      <w:r>
        <w:rPr>
          <w:sz w:val="16"/>
          <w:lang w:val="cs-CZ"/>
        </w:rPr>
        <w:t>objednávky.</w:t>
      </w:r>
    </w:p>
    <w:p>
      <w:pPr>
        <w:pStyle w:val="Odstavecseseznamem"/>
        <w:numPr>
          <w:ilvl w:val="1"/>
          <w:numId w:val="7"/>
        </w:numPr>
        <w:tabs>
          <w:tab w:val="left" w:pos="543"/>
        </w:tabs>
        <w:spacing w:line="235" w:lineRule="auto"/>
        <w:ind w:right="136"/>
        <w:jc w:val="both"/>
        <w:rPr>
          <w:sz w:val="16"/>
          <w:lang w:val="cs-CZ"/>
        </w:rPr>
      </w:pPr>
      <w:r>
        <w:rPr>
          <w:sz w:val="16"/>
          <w:lang w:val="cs-CZ"/>
        </w:rPr>
        <w:t>V případě větších dodávek předmětu plnění, či specifických podmínek, za nichž má být plnění uskutečněno, resp. požaduje-li to některý z účastníků, mohou účastníci uzavřít zvláštní smlouvu na předmět plnění s odkazem na znění těchto Všeobecných</w:t>
      </w:r>
      <w:r>
        <w:rPr>
          <w:spacing w:val="-1"/>
          <w:sz w:val="16"/>
          <w:lang w:val="cs-CZ"/>
        </w:rPr>
        <w:t xml:space="preserve"> </w:t>
      </w:r>
      <w:r>
        <w:rPr>
          <w:sz w:val="16"/>
          <w:lang w:val="cs-CZ"/>
        </w:rPr>
        <w:t>podmínek.</w:t>
      </w:r>
    </w:p>
    <w:p>
      <w:pPr>
        <w:pStyle w:val="Nadpis4"/>
        <w:numPr>
          <w:ilvl w:val="0"/>
          <w:numId w:val="7"/>
        </w:numPr>
        <w:tabs>
          <w:tab w:val="left" w:pos="542"/>
          <w:tab w:val="left" w:pos="543"/>
        </w:tabs>
        <w:spacing w:line="229" w:lineRule="exact"/>
        <w:ind w:hanging="396"/>
        <w:rPr>
          <w:lang w:val="cs-CZ"/>
        </w:rPr>
      </w:pPr>
      <w:r>
        <w:rPr>
          <w:lang w:val="cs-CZ"/>
        </w:rPr>
        <w:t>Dodací</w:t>
      </w:r>
      <w:r>
        <w:rPr>
          <w:spacing w:val="-2"/>
          <w:lang w:val="cs-CZ"/>
        </w:rPr>
        <w:t xml:space="preserve"> </w:t>
      </w:r>
      <w:r>
        <w:rPr>
          <w:lang w:val="cs-CZ"/>
        </w:rPr>
        <w:t>podmínky</w:t>
      </w:r>
    </w:p>
    <w:p>
      <w:pPr>
        <w:pStyle w:val="Odstavecseseznamem"/>
        <w:numPr>
          <w:ilvl w:val="1"/>
          <w:numId w:val="7"/>
        </w:numPr>
        <w:tabs>
          <w:tab w:val="left" w:pos="543"/>
        </w:tabs>
        <w:spacing w:before="2" w:line="235" w:lineRule="auto"/>
        <w:ind w:right="136"/>
        <w:jc w:val="both"/>
        <w:rPr>
          <w:sz w:val="16"/>
          <w:lang w:val="cs-CZ"/>
        </w:rPr>
      </w:pPr>
      <w:r>
        <w:rPr>
          <w:sz w:val="16"/>
          <w:lang w:val="cs-CZ"/>
        </w:rPr>
        <w:t>Dodávky předmětu plnění budou dle dostupnosti produktů a provozních možností dodavatele realizovány v co nejkratším termínu, obvykle do 1-21 dnů, v případě speciálních produktů a rozsáhlejších dodávek do 3-8</w:t>
      </w:r>
      <w:r>
        <w:rPr>
          <w:spacing w:val="-9"/>
          <w:sz w:val="16"/>
          <w:lang w:val="cs-CZ"/>
        </w:rPr>
        <w:t xml:space="preserve"> </w:t>
      </w:r>
      <w:r>
        <w:rPr>
          <w:sz w:val="16"/>
          <w:lang w:val="cs-CZ"/>
        </w:rPr>
        <w:t>týdnů.</w:t>
      </w:r>
    </w:p>
    <w:p>
      <w:pPr>
        <w:pStyle w:val="Odstavecseseznamem"/>
        <w:numPr>
          <w:ilvl w:val="1"/>
          <w:numId w:val="7"/>
        </w:numPr>
        <w:tabs>
          <w:tab w:val="left" w:pos="543"/>
        </w:tabs>
        <w:spacing w:line="235" w:lineRule="auto"/>
        <w:ind w:right="136"/>
        <w:jc w:val="both"/>
        <w:rPr>
          <w:sz w:val="16"/>
          <w:lang w:val="cs-CZ"/>
        </w:rPr>
      </w:pPr>
      <w:r>
        <w:rPr>
          <w:sz w:val="16"/>
          <w:lang w:val="cs-CZ"/>
        </w:rPr>
        <w:t>Předpokládaný termín plnění je uveden v potvrzení objednávky. Dodavatel může ve výjimečných případech termín plnění prodloužit, musí však neprodleně na tuto změnu upozornit</w:t>
      </w:r>
      <w:r>
        <w:rPr>
          <w:spacing w:val="-3"/>
          <w:sz w:val="16"/>
          <w:lang w:val="cs-CZ"/>
        </w:rPr>
        <w:t xml:space="preserve"> </w:t>
      </w:r>
      <w:r>
        <w:rPr>
          <w:sz w:val="16"/>
          <w:lang w:val="cs-CZ"/>
        </w:rPr>
        <w:t>odběratele.</w:t>
      </w:r>
    </w:p>
    <w:p>
      <w:pPr>
        <w:pStyle w:val="Odstavecseseznamem"/>
        <w:numPr>
          <w:ilvl w:val="1"/>
          <w:numId w:val="7"/>
        </w:numPr>
        <w:tabs>
          <w:tab w:val="left" w:pos="543"/>
        </w:tabs>
        <w:spacing w:line="235" w:lineRule="auto"/>
        <w:ind w:right="137"/>
        <w:jc w:val="both"/>
        <w:rPr>
          <w:sz w:val="16"/>
          <w:lang w:val="cs-CZ"/>
        </w:rPr>
      </w:pPr>
      <w:r>
        <w:rPr>
          <w:sz w:val="16"/>
          <w:lang w:val="cs-CZ"/>
        </w:rPr>
        <w:t>Za splnění termínu plnění se považuje dodání předmětu plnění odběrateli ve výdejním místě dodavatele, nebo předání pověřeným pracovníkem dodavatele (při použití vlastní dopravy dodavatele) v místě plnění anebo předání předmětu plnění prvnímu tuzemskému</w:t>
      </w:r>
      <w:r>
        <w:rPr>
          <w:spacing w:val="-3"/>
          <w:sz w:val="16"/>
          <w:lang w:val="cs-CZ"/>
        </w:rPr>
        <w:t xml:space="preserve"> </w:t>
      </w:r>
      <w:r>
        <w:rPr>
          <w:sz w:val="16"/>
          <w:lang w:val="cs-CZ"/>
        </w:rPr>
        <w:t>dopravci.</w:t>
      </w:r>
    </w:p>
    <w:p>
      <w:pPr>
        <w:pStyle w:val="Odstavecseseznamem"/>
        <w:numPr>
          <w:ilvl w:val="1"/>
          <w:numId w:val="7"/>
        </w:numPr>
        <w:tabs>
          <w:tab w:val="left" w:pos="543"/>
        </w:tabs>
        <w:spacing w:before="1" w:line="235" w:lineRule="auto"/>
        <w:ind w:right="134"/>
        <w:jc w:val="both"/>
        <w:rPr>
          <w:sz w:val="16"/>
          <w:lang w:val="cs-CZ"/>
        </w:rPr>
      </w:pPr>
      <w:r>
        <w:rPr>
          <w:sz w:val="16"/>
          <w:lang w:val="cs-CZ"/>
        </w:rPr>
        <w:t>Je-li sjednán osobní odběr odběratelem anebo jedná-li se o předmět plnění, vyžadující instalaci u odběratele, je za splnění termínu plnění považováno též sdělení odběrateli, že předmět plnění je připraven k expedici. Odklad převzetí předmětu plnění či jeho instalace u odběratele nemá poté vliv na splnění termínu plnění.</w:t>
      </w:r>
    </w:p>
    <w:p>
      <w:pPr>
        <w:pStyle w:val="Odstavecseseznamem"/>
        <w:numPr>
          <w:ilvl w:val="1"/>
          <w:numId w:val="7"/>
        </w:numPr>
        <w:tabs>
          <w:tab w:val="left" w:pos="543"/>
        </w:tabs>
        <w:spacing w:line="235" w:lineRule="auto"/>
        <w:ind w:right="136"/>
        <w:jc w:val="both"/>
        <w:rPr>
          <w:sz w:val="16"/>
          <w:lang w:val="cs-CZ"/>
        </w:rPr>
      </w:pPr>
      <w:r>
        <w:rPr>
          <w:sz w:val="16"/>
          <w:lang w:val="cs-CZ"/>
        </w:rPr>
        <w:t>Není-li sjednáno jinak, je místem plnění příslušné výdejní místo dodavatele. Pokud odběratel požaduje jiné místo plnění, je tímto místem sídlo odběratele anebo místo plnění, uvedené na objednávce a rovněž na potvrzení</w:t>
      </w:r>
      <w:r>
        <w:rPr>
          <w:spacing w:val="-14"/>
          <w:sz w:val="16"/>
          <w:lang w:val="cs-CZ"/>
        </w:rPr>
        <w:t xml:space="preserve"> </w:t>
      </w:r>
      <w:r>
        <w:rPr>
          <w:sz w:val="16"/>
          <w:lang w:val="cs-CZ"/>
        </w:rPr>
        <w:t>objednávky.</w:t>
      </w:r>
    </w:p>
    <w:p>
      <w:pPr>
        <w:pStyle w:val="Odstavecseseznamem"/>
        <w:numPr>
          <w:ilvl w:val="1"/>
          <w:numId w:val="7"/>
        </w:numPr>
        <w:tabs>
          <w:tab w:val="left" w:pos="543"/>
        </w:tabs>
        <w:spacing w:line="235" w:lineRule="auto"/>
        <w:ind w:right="135"/>
        <w:jc w:val="both"/>
        <w:rPr>
          <w:sz w:val="16"/>
          <w:lang w:val="cs-CZ"/>
        </w:rPr>
      </w:pPr>
      <w:r>
        <w:rPr>
          <w:sz w:val="16"/>
          <w:lang w:val="cs-CZ"/>
        </w:rPr>
        <w:t>Náklady spojené s dodáním do jiného místa plnění, než je výdejní místo dodavatele, nese odběratel. Požaduje-li odběratel dopravu předmětu plnění, dodavatel podle charakteru předmětu plnění a údajů na objednávce a potvrzení objednávky zvolí adekvátní způsob dopravy (poštovní přepravu, přepravní službu anebo vlastní dopravu dodavatele). Je-li předmět plnění přepravován podle přepravních pokynů odběratele, přechází na odběratele riziko ztráty, poškození či zničení okamžikem předání předmětu plnění poštovní přepravě či prvnímu dopravci za účelem dopravy předmětu plnění</w:t>
      </w:r>
      <w:r>
        <w:rPr>
          <w:spacing w:val="-5"/>
          <w:sz w:val="16"/>
          <w:lang w:val="cs-CZ"/>
        </w:rPr>
        <w:t xml:space="preserve"> </w:t>
      </w:r>
      <w:r>
        <w:rPr>
          <w:sz w:val="16"/>
          <w:lang w:val="cs-CZ"/>
        </w:rPr>
        <w:t>odběrateli.</w:t>
      </w:r>
    </w:p>
    <w:p>
      <w:pPr>
        <w:pStyle w:val="Odstavecseseznamem"/>
        <w:numPr>
          <w:ilvl w:val="1"/>
          <w:numId w:val="7"/>
        </w:numPr>
        <w:tabs>
          <w:tab w:val="left" w:pos="543"/>
        </w:tabs>
        <w:spacing w:before="1" w:line="235" w:lineRule="auto"/>
        <w:ind w:right="134"/>
        <w:jc w:val="both"/>
        <w:rPr>
          <w:sz w:val="16"/>
          <w:lang w:val="cs-CZ"/>
        </w:rPr>
      </w:pPr>
      <w:r>
        <w:rPr>
          <w:sz w:val="16"/>
          <w:lang w:val="cs-CZ"/>
        </w:rPr>
        <w:t>Nepřevezme-li odběratel předmět plnění z důvodů ležících na jeho straně (např. není i přes předem dohodnutý termín přítomna odběratelem určená osoba), nese odběratel náklady spojené s opakovaným dodáním v plné</w:t>
      </w:r>
      <w:r>
        <w:rPr>
          <w:spacing w:val="-13"/>
          <w:sz w:val="16"/>
          <w:lang w:val="cs-CZ"/>
        </w:rPr>
        <w:t xml:space="preserve"> </w:t>
      </w:r>
      <w:r>
        <w:rPr>
          <w:sz w:val="16"/>
          <w:lang w:val="cs-CZ"/>
        </w:rPr>
        <w:t>výši.</w:t>
      </w:r>
    </w:p>
    <w:p>
      <w:pPr>
        <w:pStyle w:val="Odstavecseseznamem"/>
        <w:numPr>
          <w:ilvl w:val="1"/>
          <w:numId w:val="7"/>
        </w:numPr>
        <w:tabs>
          <w:tab w:val="left" w:pos="543"/>
        </w:tabs>
        <w:spacing w:line="235" w:lineRule="auto"/>
        <w:ind w:right="139"/>
        <w:jc w:val="both"/>
        <w:rPr>
          <w:sz w:val="16"/>
          <w:lang w:val="cs-CZ"/>
        </w:rPr>
      </w:pPr>
      <w:r>
        <w:rPr>
          <w:sz w:val="16"/>
          <w:lang w:val="cs-CZ"/>
        </w:rPr>
        <w:t>Odběratel je povinen předmět plnění převzít a neprodleně zkontrolovat soulad množství a typu předmětu plnění s dodacím listem nebo výdejkou, popř. zjevná poškození přepravních obalů či</w:t>
      </w:r>
      <w:r>
        <w:rPr>
          <w:spacing w:val="-4"/>
          <w:sz w:val="16"/>
          <w:lang w:val="cs-CZ"/>
        </w:rPr>
        <w:t xml:space="preserve"> </w:t>
      </w:r>
      <w:r>
        <w:rPr>
          <w:sz w:val="16"/>
          <w:lang w:val="cs-CZ"/>
        </w:rPr>
        <w:t>produktů.</w:t>
      </w:r>
    </w:p>
    <w:p>
      <w:pPr>
        <w:pStyle w:val="Odstavecseseznamem"/>
        <w:numPr>
          <w:ilvl w:val="1"/>
          <w:numId w:val="7"/>
        </w:numPr>
        <w:tabs>
          <w:tab w:val="left" w:pos="543"/>
        </w:tabs>
        <w:spacing w:line="235" w:lineRule="auto"/>
        <w:ind w:right="134"/>
        <w:jc w:val="both"/>
        <w:rPr>
          <w:sz w:val="16"/>
          <w:lang w:val="cs-CZ"/>
        </w:rPr>
      </w:pPr>
      <w:r>
        <w:rPr>
          <w:sz w:val="16"/>
          <w:lang w:val="cs-CZ"/>
        </w:rPr>
        <w:t>Zjistí-li odběratel rozpor s dodacím listem, nebo výdejkou, popř. zjevné poškození obalů či produktů, je povinen tuto skutečnost neprodleně sdělit dodavateli anebo doručiteli zásilky a písemně ji uvést na dodacím listu, nebo výdejce dodavatele, popř. dodacím listu spediční</w:t>
      </w:r>
      <w:r>
        <w:rPr>
          <w:spacing w:val="-5"/>
          <w:sz w:val="16"/>
          <w:lang w:val="cs-CZ"/>
        </w:rPr>
        <w:t xml:space="preserve"> </w:t>
      </w:r>
      <w:r>
        <w:rPr>
          <w:sz w:val="16"/>
          <w:lang w:val="cs-CZ"/>
        </w:rPr>
        <w:t>služby.</w:t>
      </w:r>
    </w:p>
    <w:p>
      <w:pPr>
        <w:pStyle w:val="Odstavecseseznamem"/>
        <w:numPr>
          <w:ilvl w:val="1"/>
          <w:numId w:val="7"/>
        </w:numPr>
        <w:tabs>
          <w:tab w:val="left" w:pos="543"/>
        </w:tabs>
        <w:spacing w:before="1" w:line="235" w:lineRule="auto"/>
        <w:ind w:right="134"/>
        <w:jc w:val="both"/>
        <w:rPr>
          <w:sz w:val="16"/>
          <w:lang w:val="cs-CZ"/>
        </w:rPr>
      </w:pPr>
      <w:r>
        <w:rPr>
          <w:sz w:val="16"/>
          <w:lang w:val="cs-CZ"/>
        </w:rPr>
        <w:t>Při zjištění rozdílu v množství a druhu předmětu plnění či jeho zjevném poškození, je odběratel povinen tuto vadu neprodleně reklamovat u dodavatele, nejpozději však do 2 pracovních dnů od předání. Na pozdější reklamace tohoto typu nemusí dodavatel brát</w:t>
      </w:r>
      <w:r>
        <w:rPr>
          <w:spacing w:val="-4"/>
          <w:sz w:val="16"/>
          <w:lang w:val="cs-CZ"/>
        </w:rPr>
        <w:t xml:space="preserve"> </w:t>
      </w:r>
      <w:r>
        <w:rPr>
          <w:sz w:val="16"/>
          <w:lang w:val="cs-CZ"/>
        </w:rPr>
        <w:t>zřetel.</w:t>
      </w:r>
    </w:p>
    <w:p>
      <w:pPr>
        <w:pStyle w:val="Odstavecseseznamem"/>
        <w:numPr>
          <w:ilvl w:val="1"/>
          <w:numId w:val="7"/>
        </w:numPr>
        <w:tabs>
          <w:tab w:val="left" w:pos="543"/>
        </w:tabs>
        <w:spacing w:line="235" w:lineRule="auto"/>
        <w:ind w:right="136"/>
        <w:jc w:val="both"/>
        <w:rPr>
          <w:sz w:val="16"/>
          <w:lang w:val="cs-CZ"/>
        </w:rPr>
      </w:pPr>
      <w:r>
        <w:rPr>
          <w:sz w:val="16"/>
          <w:lang w:val="cs-CZ"/>
        </w:rPr>
        <w:t>Odběratel je povinen při převzetí předmětu plnění, jeho prohlídce a následném uvedení do provozu provést rovněž kontrolu sériových čísel předmětu plnění se záznamem uvedeným na dodacím listě, nebo výdejce. Na zjištěný rozdíl je povinen upozornit dodavatele, a to nejpozději do 3 pracovních dnů od převzetí předmětu plnění. Dodavatel poté zajistí opravu a zaslání nového dodacího listu, nebo výdejky do 10 pracovních dní. Neupozorní-li odběratel na rozdíl včas, pak rozdílnost sériového čísla produktu a sériového čísla uvedeného v dodacím listě, nebo výdejce, je důvodem pro odmítnutí</w:t>
      </w:r>
      <w:r>
        <w:rPr>
          <w:spacing w:val="-7"/>
          <w:sz w:val="16"/>
          <w:lang w:val="cs-CZ"/>
        </w:rPr>
        <w:t xml:space="preserve"> </w:t>
      </w:r>
      <w:r>
        <w:rPr>
          <w:sz w:val="16"/>
          <w:lang w:val="cs-CZ"/>
        </w:rPr>
        <w:t>reklamace.</w:t>
      </w:r>
    </w:p>
    <w:p>
      <w:pPr>
        <w:pStyle w:val="Odstavecseseznamem"/>
        <w:numPr>
          <w:ilvl w:val="1"/>
          <w:numId w:val="7"/>
        </w:numPr>
        <w:tabs>
          <w:tab w:val="left" w:pos="543"/>
        </w:tabs>
        <w:spacing w:before="1" w:line="235" w:lineRule="auto"/>
        <w:ind w:right="136"/>
        <w:jc w:val="both"/>
        <w:rPr>
          <w:sz w:val="16"/>
          <w:lang w:val="cs-CZ"/>
        </w:rPr>
      </w:pPr>
      <w:r>
        <w:rPr>
          <w:sz w:val="16"/>
          <w:lang w:val="cs-CZ"/>
        </w:rPr>
        <w:t>Odběratel je při prodeji informován o místech zpětného sběru použitého elektrozařízení.</w:t>
      </w:r>
    </w:p>
    <w:p>
      <w:pPr>
        <w:pStyle w:val="Nadpis4"/>
        <w:numPr>
          <w:ilvl w:val="0"/>
          <w:numId w:val="7"/>
        </w:numPr>
        <w:tabs>
          <w:tab w:val="left" w:pos="542"/>
          <w:tab w:val="left" w:pos="543"/>
        </w:tabs>
        <w:spacing w:before="38"/>
        <w:ind w:hanging="396"/>
        <w:rPr>
          <w:lang w:val="cs-CZ"/>
        </w:rPr>
      </w:pPr>
      <w:r>
        <w:rPr>
          <w:lang w:val="cs-CZ"/>
        </w:rPr>
        <w:t>Stornování objednávky</w:t>
      </w:r>
      <w:r>
        <w:rPr>
          <w:spacing w:val="-6"/>
          <w:lang w:val="cs-CZ"/>
        </w:rPr>
        <w:t xml:space="preserve"> </w:t>
      </w:r>
      <w:r>
        <w:rPr>
          <w:lang w:val="cs-CZ"/>
        </w:rPr>
        <w:t>odběratelem</w:t>
      </w:r>
    </w:p>
    <w:p>
      <w:pPr>
        <w:pStyle w:val="Odstavecseseznamem"/>
        <w:numPr>
          <w:ilvl w:val="1"/>
          <w:numId w:val="7"/>
        </w:numPr>
        <w:tabs>
          <w:tab w:val="left" w:pos="543"/>
        </w:tabs>
        <w:spacing w:before="3" w:line="235" w:lineRule="auto"/>
        <w:ind w:right="139"/>
        <w:jc w:val="both"/>
        <w:rPr>
          <w:sz w:val="16"/>
          <w:lang w:val="cs-CZ"/>
        </w:rPr>
      </w:pPr>
      <w:r>
        <w:rPr>
          <w:sz w:val="16"/>
          <w:lang w:val="cs-CZ"/>
        </w:rPr>
        <w:t xml:space="preserve">Po přijetí objednávky dodavatelem dle článku </w:t>
      </w:r>
      <w:proofErr w:type="gramStart"/>
      <w:r>
        <w:rPr>
          <w:sz w:val="16"/>
          <w:lang w:val="cs-CZ"/>
        </w:rPr>
        <w:t>3.3. je</w:t>
      </w:r>
      <w:proofErr w:type="gramEnd"/>
      <w:r>
        <w:rPr>
          <w:sz w:val="16"/>
          <w:lang w:val="cs-CZ"/>
        </w:rPr>
        <w:t xml:space="preserve"> třeba změnu objednávky či její stornování projednat s příslušným obchodním</w:t>
      </w:r>
      <w:r>
        <w:rPr>
          <w:spacing w:val="-8"/>
          <w:sz w:val="16"/>
          <w:lang w:val="cs-CZ"/>
        </w:rPr>
        <w:t xml:space="preserve"> </w:t>
      </w:r>
      <w:r>
        <w:rPr>
          <w:sz w:val="16"/>
          <w:lang w:val="cs-CZ"/>
        </w:rPr>
        <w:t>zástupcem.</w:t>
      </w:r>
    </w:p>
    <w:p>
      <w:pPr>
        <w:spacing w:line="235" w:lineRule="auto"/>
        <w:jc w:val="both"/>
        <w:rPr>
          <w:sz w:val="16"/>
          <w:lang w:val="cs-CZ"/>
        </w:rPr>
        <w:sectPr>
          <w:type w:val="continuous"/>
          <w:pgSz w:w="11900" w:h="16840"/>
          <w:pgMar w:top="560" w:right="420" w:bottom="280" w:left="420" w:header="708" w:footer="708" w:gutter="0"/>
          <w:cols w:num="2" w:space="708" w:equalWidth="0">
            <w:col w:w="5434" w:space="95"/>
            <w:col w:w="5531"/>
          </w:cols>
        </w:sectPr>
      </w:pPr>
    </w:p>
    <w:p>
      <w:pPr>
        <w:pStyle w:val="Odstavecseseznamem"/>
        <w:numPr>
          <w:ilvl w:val="1"/>
          <w:numId w:val="7"/>
        </w:numPr>
        <w:tabs>
          <w:tab w:val="left" w:pos="543"/>
        </w:tabs>
        <w:spacing w:before="76" w:line="235" w:lineRule="auto"/>
        <w:ind w:right="40"/>
        <w:jc w:val="both"/>
        <w:rPr>
          <w:sz w:val="16"/>
          <w:lang w:val="cs-CZ"/>
        </w:rPr>
      </w:pPr>
      <w:r>
        <w:rPr>
          <w:sz w:val="16"/>
          <w:lang w:val="cs-CZ"/>
        </w:rPr>
        <w:lastRenderedPageBreak/>
        <w:t>Dodavatel je oprávněn vyúčtovat odběrateli storno poplatek až do výše 50% ceny předmětu plnění anebo její stornované části na pokrytí nákladů účelně vynaložených v souvislosti se změnou či stornováním</w:t>
      </w:r>
      <w:r>
        <w:rPr>
          <w:spacing w:val="-11"/>
          <w:sz w:val="16"/>
          <w:lang w:val="cs-CZ"/>
        </w:rPr>
        <w:t xml:space="preserve"> </w:t>
      </w:r>
      <w:r>
        <w:rPr>
          <w:sz w:val="16"/>
          <w:lang w:val="cs-CZ"/>
        </w:rPr>
        <w:t>objednávky.</w:t>
      </w:r>
    </w:p>
    <w:p>
      <w:pPr>
        <w:pStyle w:val="Nadpis4"/>
        <w:numPr>
          <w:ilvl w:val="0"/>
          <w:numId w:val="7"/>
        </w:numPr>
        <w:tabs>
          <w:tab w:val="left" w:pos="542"/>
          <w:tab w:val="left" w:pos="543"/>
        </w:tabs>
        <w:ind w:hanging="396"/>
        <w:rPr>
          <w:lang w:val="cs-CZ"/>
        </w:rPr>
      </w:pPr>
      <w:r>
        <w:rPr>
          <w:lang w:val="cs-CZ"/>
        </w:rPr>
        <w:t>Instalace předmětu</w:t>
      </w:r>
      <w:r>
        <w:rPr>
          <w:spacing w:val="-2"/>
          <w:lang w:val="cs-CZ"/>
        </w:rPr>
        <w:t xml:space="preserve"> </w:t>
      </w:r>
      <w:r>
        <w:rPr>
          <w:lang w:val="cs-CZ"/>
        </w:rPr>
        <w:t>plnění</w:t>
      </w:r>
    </w:p>
    <w:p>
      <w:pPr>
        <w:pStyle w:val="Odstavecseseznamem"/>
        <w:numPr>
          <w:ilvl w:val="1"/>
          <w:numId w:val="7"/>
        </w:numPr>
        <w:tabs>
          <w:tab w:val="left" w:pos="543"/>
        </w:tabs>
        <w:spacing w:before="3" w:line="235" w:lineRule="auto"/>
        <w:ind w:right="38"/>
        <w:jc w:val="both"/>
        <w:rPr>
          <w:sz w:val="16"/>
          <w:lang w:val="cs-CZ"/>
        </w:rPr>
      </w:pPr>
      <w:r>
        <w:rPr>
          <w:sz w:val="16"/>
          <w:lang w:val="cs-CZ"/>
        </w:rPr>
        <w:t>Požaduje-li odběratel instalaci předmětu plnění, resp. vyžaduje-li předmět plnění instalaci u odběratele, je tato provedena za úplatu, a to obvykle v okamžiku dodání předmětu plnění anebo v termínu dohodnutém s pověřenou osobou dodavatele. Odběratel se zavazuje do okamžiku instalace předmětu plnění zajistit jeho řádné uložení způsobem odpovídajícím jeho charakteru a</w:t>
      </w:r>
      <w:r>
        <w:rPr>
          <w:spacing w:val="-9"/>
          <w:sz w:val="16"/>
          <w:lang w:val="cs-CZ"/>
        </w:rPr>
        <w:t xml:space="preserve"> </w:t>
      </w:r>
      <w:r>
        <w:rPr>
          <w:sz w:val="16"/>
          <w:lang w:val="cs-CZ"/>
        </w:rPr>
        <w:t>hodnotě.</w:t>
      </w:r>
    </w:p>
    <w:p>
      <w:pPr>
        <w:pStyle w:val="Odstavecseseznamem"/>
        <w:numPr>
          <w:ilvl w:val="1"/>
          <w:numId w:val="7"/>
        </w:numPr>
        <w:tabs>
          <w:tab w:val="left" w:pos="543"/>
        </w:tabs>
        <w:spacing w:line="235" w:lineRule="auto"/>
        <w:ind w:right="40"/>
        <w:jc w:val="both"/>
        <w:rPr>
          <w:sz w:val="16"/>
          <w:lang w:val="cs-CZ"/>
        </w:rPr>
      </w:pPr>
      <w:r>
        <w:rPr>
          <w:sz w:val="16"/>
          <w:lang w:val="cs-CZ"/>
        </w:rPr>
        <w:t xml:space="preserve">Požaduje-li odběratel instalaci předmětu plnění, je povinen v takovém případě zajistit přístup dodavatelem pověřených osob do objektů, v nichž má být předmět plnění instalován a vytvořit nezbytné podmínky pro instalaci (zejména zajistit odpovídající součinnost, znalost přístupových hesel do počítačové sítě, </w:t>
      </w:r>
      <w:proofErr w:type="gramStart"/>
      <w:r>
        <w:rPr>
          <w:sz w:val="16"/>
          <w:lang w:val="cs-CZ"/>
        </w:rPr>
        <w:t>informace  o konfiguraci</w:t>
      </w:r>
      <w:proofErr w:type="gramEnd"/>
      <w:r>
        <w:rPr>
          <w:sz w:val="16"/>
          <w:lang w:val="cs-CZ"/>
        </w:rPr>
        <w:t xml:space="preserve"> stávajícího systému, zálohování existujících dat na dotčených zařízeních apod.). Rozsah podmínek vychází z běžných zvyklostí a bude upřesněn pověřenou osobou</w:t>
      </w:r>
      <w:r>
        <w:rPr>
          <w:spacing w:val="-1"/>
          <w:sz w:val="16"/>
          <w:lang w:val="cs-CZ"/>
        </w:rPr>
        <w:t xml:space="preserve"> </w:t>
      </w:r>
      <w:r>
        <w:rPr>
          <w:sz w:val="16"/>
          <w:lang w:val="cs-CZ"/>
        </w:rPr>
        <w:t>dodavatele.</w:t>
      </w:r>
    </w:p>
    <w:p>
      <w:pPr>
        <w:pStyle w:val="Odstavecseseznamem"/>
        <w:numPr>
          <w:ilvl w:val="1"/>
          <w:numId w:val="7"/>
        </w:numPr>
        <w:tabs>
          <w:tab w:val="left" w:pos="543"/>
        </w:tabs>
        <w:spacing w:before="1" w:line="235" w:lineRule="auto"/>
        <w:ind w:right="40"/>
        <w:jc w:val="both"/>
        <w:rPr>
          <w:sz w:val="16"/>
          <w:lang w:val="cs-CZ"/>
        </w:rPr>
      </w:pPr>
      <w:r>
        <w:rPr>
          <w:sz w:val="16"/>
          <w:lang w:val="cs-CZ"/>
        </w:rPr>
        <w:t>Neposkytne-li odběratel dodavateli požadovanou součinnost, resp. nevytvoří-li podmínky pro úspěšnou instalaci předmětu plnění ve smyslu předchozího článku, je dodavatel oprávněn vyúčtovat odběrateli náklady spojené s marnou instalací dle platného ceníku služeb dodavatele. Zůstane-li i nový pokus dodavatele instalovat předmět plnění u odběratele z důvodů ležících na straně odběratele bezvýsledný, je dodavatel oprávněn provedení instalace předmětu plnění odmítnout. Závazek dodavatele provést instalaci předmětu plnění se považuje za splněný dnem, kdy opakovaný pokus o instalaci předmětu plnění u odběratele zůstal</w:t>
      </w:r>
      <w:r>
        <w:rPr>
          <w:spacing w:val="-19"/>
          <w:sz w:val="16"/>
          <w:lang w:val="cs-CZ"/>
        </w:rPr>
        <w:t xml:space="preserve"> </w:t>
      </w:r>
      <w:r>
        <w:rPr>
          <w:sz w:val="16"/>
          <w:lang w:val="cs-CZ"/>
        </w:rPr>
        <w:t>bezvýsledný.</w:t>
      </w:r>
    </w:p>
    <w:p>
      <w:pPr>
        <w:pStyle w:val="Odstavecseseznamem"/>
        <w:numPr>
          <w:ilvl w:val="1"/>
          <w:numId w:val="7"/>
        </w:numPr>
        <w:tabs>
          <w:tab w:val="left" w:pos="543"/>
        </w:tabs>
        <w:spacing w:line="235" w:lineRule="auto"/>
        <w:ind w:right="38"/>
        <w:jc w:val="both"/>
        <w:rPr>
          <w:sz w:val="16"/>
          <w:lang w:val="cs-CZ"/>
        </w:rPr>
      </w:pPr>
      <w:r>
        <w:rPr>
          <w:sz w:val="16"/>
          <w:lang w:val="cs-CZ"/>
        </w:rPr>
        <w:t>Instalace u odběratele jsou standardně prováděny v běžnou pracovní dobu tj. Po - Pá mezi 8:00 - 17:00 hod. Je-li z provozních důvodů na straně odběratele nezbytné provádět instalaci mimo tuto dobu, je třeba, aby tento požadavek byl uveden na objednávce, resp. potvrzení objednávky a byl tedy obsažen ve sjednané ceně. Požaduje-li odběratel dodatečně instalaci předmětu plnění mimo standardní pracovní dobu, dohodnou účastníci tohoto závazkového vztahu podmínky této instalace.</w:t>
      </w:r>
    </w:p>
    <w:p>
      <w:pPr>
        <w:pStyle w:val="Odstavecseseznamem"/>
        <w:numPr>
          <w:ilvl w:val="1"/>
          <w:numId w:val="7"/>
        </w:numPr>
        <w:tabs>
          <w:tab w:val="left" w:pos="543"/>
        </w:tabs>
        <w:spacing w:before="1" w:line="235" w:lineRule="auto"/>
        <w:ind w:right="40"/>
        <w:jc w:val="both"/>
        <w:rPr>
          <w:sz w:val="16"/>
          <w:lang w:val="cs-CZ"/>
        </w:rPr>
      </w:pPr>
      <w:r>
        <w:rPr>
          <w:sz w:val="16"/>
          <w:lang w:val="cs-CZ"/>
        </w:rPr>
        <w:t>Instalace předmětu plnění se považuje za ukončenou předvedením, že příslušný produkt pracuje správně dle předané dokumentace, nebo jiným demonstrováním standardního provozního stavu, s výjimkou uvedenou v článku 6.3. O instalaci předmětu plnění u odběratele bude účastníky sepsán předávací</w:t>
      </w:r>
      <w:r>
        <w:rPr>
          <w:spacing w:val="-14"/>
          <w:sz w:val="16"/>
          <w:lang w:val="cs-CZ"/>
        </w:rPr>
        <w:t xml:space="preserve"> </w:t>
      </w:r>
      <w:r>
        <w:rPr>
          <w:sz w:val="16"/>
          <w:lang w:val="cs-CZ"/>
        </w:rPr>
        <w:t>protokol.</w:t>
      </w:r>
    </w:p>
    <w:p>
      <w:pPr>
        <w:pStyle w:val="Nadpis4"/>
        <w:numPr>
          <w:ilvl w:val="0"/>
          <w:numId w:val="7"/>
        </w:numPr>
        <w:tabs>
          <w:tab w:val="left" w:pos="542"/>
          <w:tab w:val="left" w:pos="543"/>
        </w:tabs>
        <w:spacing w:line="229" w:lineRule="exact"/>
        <w:ind w:hanging="396"/>
        <w:rPr>
          <w:lang w:val="cs-CZ"/>
        </w:rPr>
      </w:pPr>
      <w:r>
        <w:rPr>
          <w:lang w:val="cs-CZ"/>
        </w:rPr>
        <w:t>Funkčnost předmětu</w:t>
      </w:r>
      <w:r>
        <w:rPr>
          <w:spacing w:val="-1"/>
          <w:lang w:val="cs-CZ"/>
        </w:rPr>
        <w:t xml:space="preserve"> </w:t>
      </w:r>
      <w:r>
        <w:rPr>
          <w:lang w:val="cs-CZ"/>
        </w:rPr>
        <w:t>plnění</w:t>
      </w:r>
    </w:p>
    <w:p>
      <w:pPr>
        <w:pStyle w:val="Odstavecseseznamem"/>
        <w:numPr>
          <w:ilvl w:val="1"/>
          <w:numId w:val="7"/>
        </w:numPr>
        <w:tabs>
          <w:tab w:val="left" w:pos="543"/>
        </w:tabs>
        <w:spacing w:before="1" w:line="235" w:lineRule="auto"/>
        <w:ind w:right="40"/>
        <w:jc w:val="both"/>
        <w:rPr>
          <w:sz w:val="16"/>
          <w:lang w:val="cs-CZ"/>
        </w:rPr>
      </w:pPr>
      <w:r>
        <w:rPr>
          <w:sz w:val="16"/>
          <w:lang w:val="cs-CZ"/>
        </w:rPr>
        <w:t>Dodavatel neodpovídá za vhodnost předmětu plnění k určitému účelu použití a za možnost použití ve stávajícím systému odběratele, není-li toto písemně uvedeno v Nabídce, Potvrzení objednávky anebo v jiném písemném ujednání. Ve sporu o rozsah pojmu obvyklé užití platí výklad podaný statutárním orgánem</w:t>
      </w:r>
      <w:r>
        <w:rPr>
          <w:spacing w:val="-20"/>
          <w:sz w:val="16"/>
          <w:lang w:val="cs-CZ"/>
        </w:rPr>
        <w:t xml:space="preserve"> </w:t>
      </w:r>
      <w:r>
        <w:rPr>
          <w:sz w:val="16"/>
          <w:lang w:val="cs-CZ"/>
        </w:rPr>
        <w:t>dodavatele.</w:t>
      </w:r>
    </w:p>
    <w:p>
      <w:pPr>
        <w:pStyle w:val="Odstavecseseznamem"/>
        <w:numPr>
          <w:ilvl w:val="1"/>
          <w:numId w:val="7"/>
        </w:numPr>
        <w:tabs>
          <w:tab w:val="left" w:pos="543"/>
        </w:tabs>
        <w:spacing w:line="235" w:lineRule="auto"/>
        <w:ind w:right="102"/>
        <w:rPr>
          <w:sz w:val="16"/>
          <w:lang w:val="cs-CZ"/>
        </w:rPr>
      </w:pPr>
      <w:r>
        <w:rPr>
          <w:sz w:val="16"/>
          <w:lang w:val="cs-CZ"/>
        </w:rPr>
        <w:t>Požaduje-li odběratel instalaci předmětu plnění v rozporu s obvyklým užitím anebo ujednáním, ač na tuto skutečnost byl dodavatelem upozorněn, je dodavatel oprávněn:</w:t>
      </w:r>
    </w:p>
    <w:p>
      <w:pPr>
        <w:pStyle w:val="Odstavecseseznamem"/>
        <w:numPr>
          <w:ilvl w:val="0"/>
          <w:numId w:val="6"/>
        </w:numPr>
        <w:tabs>
          <w:tab w:val="left" w:pos="226"/>
        </w:tabs>
        <w:spacing w:line="179" w:lineRule="exact"/>
        <w:ind w:left="225" w:hanging="79"/>
        <w:jc w:val="left"/>
        <w:rPr>
          <w:sz w:val="16"/>
          <w:lang w:val="cs-CZ"/>
        </w:rPr>
      </w:pPr>
      <w:r>
        <w:rPr>
          <w:sz w:val="16"/>
          <w:lang w:val="cs-CZ"/>
        </w:rPr>
        <w:t>navrhnout realizovatelný způsob instalace předmětu</w:t>
      </w:r>
      <w:r>
        <w:rPr>
          <w:spacing w:val="-7"/>
          <w:sz w:val="16"/>
          <w:lang w:val="cs-CZ"/>
        </w:rPr>
        <w:t xml:space="preserve"> </w:t>
      </w:r>
      <w:r>
        <w:rPr>
          <w:sz w:val="16"/>
          <w:lang w:val="cs-CZ"/>
        </w:rPr>
        <w:t>plnění;</w:t>
      </w:r>
    </w:p>
    <w:p>
      <w:pPr>
        <w:pStyle w:val="Odstavecseseznamem"/>
        <w:numPr>
          <w:ilvl w:val="0"/>
          <w:numId w:val="6"/>
        </w:numPr>
        <w:tabs>
          <w:tab w:val="left" w:pos="226"/>
        </w:tabs>
        <w:spacing w:before="2" w:line="235" w:lineRule="auto"/>
        <w:ind w:right="333" w:hanging="84"/>
        <w:jc w:val="left"/>
        <w:rPr>
          <w:sz w:val="16"/>
          <w:lang w:val="cs-CZ"/>
        </w:rPr>
      </w:pPr>
      <w:r>
        <w:rPr>
          <w:sz w:val="16"/>
          <w:lang w:val="cs-CZ"/>
        </w:rPr>
        <w:t>navrhnout doplnění předmětu plnění, popř. provést nezbytná systémová opatření ke zprovoznění předmětu plnění (update-upgrade driverů, změna konfigurací</w:t>
      </w:r>
      <w:r>
        <w:rPr>
          <w:spacing w:val="-20"/>
          <w:sz w:val="16"/>
          <w:lang w:val="cs-CZ"/>
        </w:rPr>
        <w:t xml:space="preserve"> </w:t>
      </w:r>
      <w:r>
        <w:rPr>
          <w:sz w:val="16"/>
          <w:lang w:val="cs-CZ"/>
        </w:rPr>
        <w:t>apod.);</w:t>
      </w:r>
    </w:p>
    <w:p>
      <w:pPr>
        <w:pStyle w:val="Odstavecseseznamem"/>
        <w:numPr>
          <w:ilvl w:val="0"/>
          <w:numId w:val="6"/>
        </w:numPr>
        <w:tabs>
          <w:tab w:val="left" w:pos="226"/>
        </w:tabs>
        <w:spacing w:line="179" w:lineRule="exact"/>
        <w:ind w:left="225" w:hanging="79"/>
        <w:jc w:val="left"/>
        <w:rPr>
          <w:sz w:val="16"/>
          <w:lang w:val="cs-CZ"/>
        </w:rPr>
      </w:pPr>
      <w:r>
        <w:rPr>
          <w:sz w:val="16"/>
          <w:lang w:val="cs-CZ"/>
        </w:rPr>
        <w:t>instalaci předmětu plnění pro nerealizovatelnost</w:t>
      </w:r>
      <w:r>
        <w:rPr>
          <w:spacing w:val="-8"/>
          <w:sz w:val="16"/>
          <w:lang w:val="cs-CZ"/>
        </w:rPr>
        <w:t xml:space="preserve"> </w:t>
      </w:r>
      <w:r>
        <w:rPr>
          <w:sz w:val="16"/>
          <w:lang w:val="cs-CZ"/>
        </w:rPr>
        <w:t>odmítnout.</w:t>
      </w:r>
    </w:p>
    <w:p>
      <w:pPr>
        <w:pStyle w:val="Zkladntext"/>
        <w:spacing w:line="180" w:lineRule="exact"/>
        <w:ind w:left="146"/>
        <w:jc w:val="left"/>
        <w:rPr>
          <w:lang w:val="cs-CZ"/>
        </w:rPr>
      </w:pPr>
      <w:r>
        <w:rPr>
          <w:lang w:val="cs-CZ"/>
        </w:rPr>
        <w:t>Náklady vynaložené dodavatelem v souvislosti s řešením této situace nese odběratel.</w:t>
      </w:r>
    </w:p>
    <w:p>
      <w:pPr>
        <w:pStyle w:val="Odstavecseseznamem"/>
        <w:numPr>
          <w:ilvl w:val="1"/>
          <w:numId w:val="7"/>
        </w:numPr>
        <w:tabs>
          <w:tab w:val="left" w:pos="543"/>
        </w:tabs>
        <w:spacing w:before="1" w:line="235" w:lineRule="auto"/>
        <w:ind w:right="39"/>
        <w:jc w:val="both"/>
        <w:rPr>
          <w:sz w:val="16"/>
          <w:lang w:val="cs-CZ"/>
        </w:rPr>
      </w:pPr>
      <w:r>
        <w:rPr>
          <w:sz w:val="16"/>
          <w:lang w:val="cs-CZ"/>
        </w:rPr>
        <w:t>Nemožnost provést instalaci předmětu plnění způsobem, který není předem sjednán a uveden na potvrzení objednávky, nemůže být důvodem pro odstoupení od tohoto závazkového vztahu ze strany</w:t>
      </w:r>
      <w:r>
        <w:rPr>
          <w:spacing w:val="-4"/>
          <w:sz w:val="16"/>
          <w:lang w:val="cs-CZ"/>
        </w:rPr>
        <w:t xml:space="preserve"> </w:t>
      </w:r>
      <w:r>
        <w:rPr>
          <w:sz w:val="16"/>
          <w:lang w:val="cs-CZ"/>
        </w:rPr>
        <w:t>odběratele.</w:t>
      </w:r>
    </w:p>
    <w:p>
      <w:pPr>
        <w:pStyle w:val="Nadpis4"/>
        <w:numPr>
          <w:ilvl w:val="0"/>
          <w:numId w:val="7"/>
        </w:numPr>
        <w:tabs>
          <w:tab w:val="left" w:pos="542"/>
          <w:tab w:val="left" w:pos="543"/>
        </w:tabs>
        <w:ind w:hanging="396"/>
        <w:rPr>
          <w:lang w:val="cs-CZ"/>
        </w:rPr>
      </w:pPr>
      <w:r>
        <w:rPr>
          <w:lang w:val="cs-CZ"/>
        </w:rPr>
        <w:t>Platební podmínky a přechod vlastnických</w:t>
      </w:r>
      <w:r>
        <w:rPr>
          <w:spacing w:val="-13"/>
          <w:lang w:val="cs-CZ"/>
        </w:rPr>
        <w:t xml:space="preserve"> </w:t>
      </w:r>
      <w:r>
        <w:rPr>
          <w:lang w:val="cs-CZ"/>
        </w:rPr>
        <w:t>práv</w:t>
      </w:r>
    </w:p>
    <w:p>
      <w:pPr>
        <w:pStyle w:val="Odstavecseseznamem"/>
        <w:numPr>
          <w:ilvl w:val="1"/>
          <w:numId w:val="7"/>
        </w:numPr>
        <w:tabs>
          <w:tab w:val="left" w:pos="543"/>
        </w:tabs>
        <w:spacing w:before="2" w:line="235" w:lineRule="auto"/>
        <w:ind w:right="40"/>
        <w:jc w:val="both"/>
        <w:rPr>
          <w:sz w:val="16"/>
          <w:lang w:val="cs-CZ"/>
        </w:rPr>
      </w:pPr>
      <w:r>
        <w:rPr>
          <w:sz w:val="16"/>
          <w:lang w:val="cs-CZ"/>
        </w:rPr>
        <w:t>Obvyklé platební podmínky při dodávkách standardního sortimentu dodavatele jsou platba předem, resp. platba v hotovosti při předání předmětu plnění. Jiné platební podmínky je možné sjednat v rámcové, resp. kupní smlouvě, podepsané statutárním zástupcem</w:t>
      </w:r>
      <w:r>
        <w:rPr>
          <w:spacing w:val="-1"/>
          <w:sz w:val="16"/>
          <w:lang w:val="cs-CZ"/>
        </w:rPr>
        <w:t xml:space="preserve"> </w:t>
      </w:r>
      <w:r>
        <w:rPr>
          <w:sz w:val="16"/>
          <w:lang w:val="cs-CZ"/>
        </w:rPr>
        <w:t>dodavatele.</w:t>
      </w:r>
    </w:p>
    <w:p>
      <w:pPr>
        <w:pStyle w:val="Odstavecseseznamem"/>
        <w:numPr>
          <w:ilvl w:val="1"/>
          <w:numId w:val="7"/>
        </w:numPr>
        <w:tabs>
          <w:tab w:val="left" w:pos="543"/>
        </w:tabs>
        <w:spacing w:before="1" w:line="235" w:lineRule="auto"/>
        <w:ind w:right="38"/>
        <w:jc w:val="both"/>
        <w:rPr>
          <w:sz w:val="16"/>
          <w:lang w:val="cs-CZ"/>
        </w:rPr>
      </w:pPr>
      <w:r>
        <w:rPr>
          <w:sz w:val="16"/>
          <w:lang w:val="cs-CZ"/>
        </w:rPr>
        <w:t>V případě, že odběratel objednává nestandardní předmět plnění (např. zakázkové konfigurace PC, nestandardní komponenty, periferie či další zařízení, popř. SW), může být objednávka odběratele přijata a potvrzena až po složení zálohy odběratelem ve výši minimálně 30% z ceny nestandardního předmětu</w:t>
      </w:r>
      <w:r>
        <w:rPr>
          <w:spacing w:val="-16"/>
          <w:sz w:val="16"/>
          <w:lang w:val="cs-CZ"/>
        </w:rPr>
        <w:t xml:space="preserve"> </w:t>
      </w:r>
      <w:r>
        <w:rPr>
          <w:sz w:val="16"/>
          <w:lang w:val="cs-CZ"/>
        </w:rPr>
        <w:t>plnění.</w:t>
      </w:r>
    </w:p>
    <w:p>
      <w:pPr>
        <w:pStyle w:val="Odstavecseseznamem"/>
        <w:numPr>
          <w:ilvl w:val="1"/>
          <w:numId w:val="7"/>
        </w:numPr>
        <w:tabs>
          <w:tab w:val="left" w:pos="543"/>
        </w:tabs>
        <w:spacing w:line="235" w:lineRule="auto"/>
        <w:ind w:right="38"/>
        <w:jc w:val="both"/>
        <w:rPr>
          <w:sz w:val="16"/>
          <w:lang w:val="cs-CZ"/>
        </w:rPr>
      </w:pPr>
      <w:r>
        <w:rPr>
          <w:sz w:val="16"/>
          <w:lang w:val="cs-CZ"/>
        </w:rPr>
        <w:t>Požaduje-li odběratel úpravu obvyklých platebních podmínek, je třeba tyto projednat s obchodním zástupcem dodavatele a takto sjednané podmínky uvést v objednávce. Úprava platebních podmínek může mít vliv na výši sjednané ceny předmětu</w:t>
      </w:r>
      <w:r>
        <w:rPr>
          <w:spacing w:val="-1"/>
          <w:sz w:val="16"/>
          <w:lang w:val="cs-CZ"/>
        </w:rPr>
        <w:t xml:space="preserve"> </w:t>
      </w:r>
      <w:r>
        <w:rPr>
          <w:sz w:val="16"/>
          <w:lang w:val="cs-CZ"/>
        </w:rPr>
        <w:t>plnění.</w:t>
      </w:r>
    </w:p>
    <w:p>
      <w:pPr>
        <w:pStyle w:val="Odstavecseseznamem"/>
        <w:numPr>
          <w:ilvl w:val="1"/>
          <w:numId w:val="7"/>
        </w:numPr>
        <w:tabs>
          <w:tab w:val="left" w:pos="543"/>
        </w:tabs>
        <w:spacing w:line="235" w:lineRule="auto"/>
        <w:ind w:right="38"/>
        <w:jc w:val="both"/>
        <w:rPr>
          <w:sz w:val="16"/>
          <w:lang w:val="cs-CZ"/>
        </w:rPr>
      </w:pPr>
      <w:r>
        <w:rPr>
          <w:sz w:val="16"/>
          <w:lang w:val="cs-CZ"/>
        </w:rPr>
        <w:t>V případě, že odběratel není ve lhůtě splatnosti uvedené na faktuře vystavené dodavatelem schopen z jakéhokoliv důvodu provést její úhradu, nebo je v prodlení s úhradou jakékoli jiné platby vůči dodavateli, je povinen neprodleně kontaktovat obchodní oddělení dodavatele a navrhnout změnu platebních podmínek. Nedojde-li k dohodě o změně platebních podmínek, je dodavatel oprávněn účtovat odběrateli smluvní pokutu ve výši 0,1% dlužné částky včetně DPH za každý den prodlení ode dne původní splatnosti závazku až do jeho úplného uhrazení. Smluvní pokuta je splatná na základě její fakturace dodavatelem s tím, že uplatněním smluvní pokuty není dotčeno právo dodavatele na náhradu škody v plné</w:t>
      </w:r>
      <w:r>
        <w:rPr>
          <w:spacing w:val="-10"/>
          <w:sz w:val="16"/>
          <w:lang w:val="cs-CZ"/>
        </w:rPr>
        <w:t xml:space="preserve"> </w:t>
      </w:r>
      <w:r>
        <w:rPr>
          <w:sz w:val="16"/>
          <w:lang w:val="cs-CZ"/>
        </w:rPr>
        <w:t>výši.</w:t>
      </w:r>
    </w:p>
    <w:p>
      <w:pPr>
        <w:pStyle w:val="Odstavecseseznamem"/>
        <w:numPr>
          <w:ilvl w:val="1"/>
          <w:numId w:val="7"/>
        </w:numPr>
        <w:tabs>
          <w:tab w:val="left" w:pos="543"/>
        </w:tabs>
        <w:spacing w:before="1" w:line="235" w:lineRule="auto"/>
        <w:ind w:right="42"/>
        <w:jc w:val="both"/>
        <w:rPr>
          <w:sz w:val="16"/>
          <w:lang w:val="cs-CZ"/>
        </w:rPr>
      </w:pPr>
      <w:r>
        <w:rPr>
          <w:sz w:val="16"/>
          <w:lang w:val="cs-CZ"/>
        </w:rPr>
        <w:t>Povinnost odběratele uhradit svůj závazek vůči dodavateli řádně a včas je splněna datem připsání placené sjednané částky na účet dodavatele uvedený na</w:t>
      </w:r>
      <w:r>
        <w:rPr>
          <w:spacing w:val="-21"/>
          <w:sz w:val="16"/>
          <w:lang w:val="cs-CZ"/>
        </w:rPr>
        <w:t xml:space="preserve"> </w:t>
      </w:r>
      <w:r>
        <w:rPr>
          <w:sz w:val="16"/>
          <w:lang w:val="cs-CZ"/>
        </w:rPr>
        <w:t>faktuře.</w:t>
      </w:r>
    </w:p>
    <w:p>
      <w:pPr>
        <w:pStyle w:val="Odstavecseseznamem"/>
        <w:numPr>
          <w:ilvl w:val="1"/>
          <w:numId w:val="7"/>
        </w:numPr>
        <w:tabs>
          <w:tab w:val="left" w:pos="543"/>
        </w:tabs>
        <w:spacing w:line="235" w:lineRule="auto"/>
        <w:ind w:right="38"/>
        <w:jc w:val="both"/>
        <w:rPr>
          <w:sz w:val="16"/>
          <w:lang w:val="cs-CZ"/>
        </w:rPr>
      </w:pPr>
      <w:r>
        <w:rPr>
          <w:sz w:val="16"/>
          <w:lang w:val="cs-CZ"/>
        </w:rPr>
        <w:t>V případě, že odběratel realizuje platbu v hotovosti, vystaví dodavatel odběrateli příjmový pokladní doklad s uvedením čísla zálohové faktury, resp. faktury, ke které se příslušný příjmový pokladní doklad vztahuje. Faktura, resp. zálohová faktura s uvedením platební podmínky „v hotovosti“ je podkladem pro provedení platby, nikoli dokladem o provedení platby v</w:t>
      </w:r>
      <w:r>
        <w:rPr>
          <w:spacing w:val="-13"/>
          <w:sz w:val="16"/>
          <w:lang w:val="cs-CZ"/>
        </w:rPr>
        <w:t xml:space="preserve"> </w:t>
      </w:r>
      <w:r>
        <w:rPr>
          <w:sz w:val="16"/>
          <w:lang w:val="cs-CZ"/>
        </w:rPr>
        <w:t>hotovosti.</w:t>
      </w:r>
    </w:p>
    <w:p>
      <w:pPr>
        <w:pStyle w:val="Odstavecseseznamem"/>
        <w:numPr>
          <w:ilvl w:val="1"/>
          <w:numId w:val="7"/>
        </w:numPr>
        <w:tabs>
          <w:tab w:val="left" w:pos="543"/>
        </w:tabs>
        <w:spacing w:before="1" w:line="235" w:lineRule="auto"/>
        <w:ind w:right="39"/>
        <w:jc w:val="both"/>
        <w:rPr>
          <w:sz w:val="16"/>
          <w:lang w:val="cs-CZ"/>
        </w:rPr>
      </w:pPr>
      <w:r>
        <w:rPr>
          <w:sz w:val="16"/>
          <w:lang w:val="cs-CZ"/>
        </w:rPr>
        <w:t xml:space="preserve">Nebezpečí vzniku škody na předmětu plnění přechází na odběratele okamžikem jeho převzetí, s výjimkou uvedenou v článku </w:t>
      </w:r>
      <w:proofErr w:type="gramStart"/>
      <w:r>
        <w:rPr>
          <w:sz w:val="16"/>
          <w:lang w:val="cs-CZ"/>
        </w:rPr>
        <w:t>4.6. poslední</w:t>
      </w:r>
      <w:proofErr w:type="gramEnd"/>
      <w:r>
        <w:rPr>
          <w:sz w:val="16"/>
          <w:lang w:val="cs-CZ"/>
        </w:rPr>
        <w:t xml:space="preserve"> věta. Až do úplného zaplacení</w:t>
      </w:r>
      <w:r>
        <w:rPr>
          <w:spacing w:val="7"/>
          <w:sz w:val="16"/>
          <w:lang w:val="cs-CZ"/>
        </w:rPr>
        <w:t xml:space="preserve"> </w:t>
      </w:r>
      <w:r>
        <w:rPr>
          <w:sz w:val="16"/>
          <w:lang w:val="cs-CZ"/>
        </w:rPr>
        <w:t>ceny</w:t>
      </w:r>
      <w:r>
        <w:rPr>
          <w:spacing w:val="7"/>
          <w:sz w:val="16"/>
          <w:lang w:val="cs-CZ"/>
        </w:rPr>
        <w:t xml:space="preserve"> </w:t>
      </w:r>
      <w:r>
        <w:rPr>
          <w:sz w:val="16"/>
          <w:lang w:val="cs-CZ"/>
        </w:rPr>
        <w:t>plnění</w:t>
      </w:r>
      <w:r>
        <w:rPr>
          <w:spacing w:val="7"/>
          <w:sz w:val="16"/>
          <w:lang w:val="cs-CZ"/>
        </w:rPr>
        <w:t xml:space="preserve"> </w:t>
      </w:r>
      <w:r>
        <w:rPr>
          <w:sz w:val="16"/>
          <w:lang w:val="cs-CZ"/>
        </w:rPr>
        <w:t>je</w:t>
      </w:r>
      <w:r>
        <w:rPr>
          <w:spacing w:val="9"/>
          <w:sz w:val="16"/>
          <w:lang w:val="cs-CZ"/>
        </w:rPr>
        <w:t xml:space="preserve"> </w:t>
      </w:r>
      <w:r>
        <w:rPr>
          <w:sz w:val="16"/>
          <w:lang w:val="cs-CZ"/>
        </w:rPr>
        <w:t>předmět</w:t>
      </w:r>
      <w:r>
        <w:rPr>
          <w:spacing w:val="5"/>
          <w:sz w:val="16"/>
          <w:lang w:val="cs-CZ"/>
        </w:rPr>
        <w:t xml:space="preserve"> </w:t>
      </w:r>
      <w:r>
        <w:rPr>
          <w:sz w:val="16"/>
          <w:lang w:val="cs-CZ"/>
        </w:rPr>
        <w:t>plnění</w:t>
      </w:r>
      <w:r>
        <w:rPr>
          <w:spacing w:val="6"/>
          <w:sz w:val="16"/>
          <w:lang w:val="cs-CZ"/>
        </w:rPr>
        <w:t xml:space="preserve"> </w:t>
      </w:r>
      <w:r>
        <w:rPr>
          <w:sz w:val="16"/>
          <w:lang w:val="cs-CZ"/>
        </w:rPr>
        <w:t>ve</w:t>
      </w:r>
      <w:r>
        <w:rPr>
          <w:spacing w:val="9"/>
          <w:sz w:val="16"/>
          <w:lang w:val="cs-CZ"/>
        </w:rPr>
        <w:t xml:space="preserve"> </w:t>
      </w:r>
      <w:r>
        <w:rPr>
          <w:sz w:val="16"/>
          <w:lang w:val="cs-CZ"/>
        </w:rPr>
        <w:t>vlastnictví</w:t>
      </w:r>
      <w:r>
        <w:rPr>
          <w:spacing w:val="7"/>
          <w:sz w:val="16"/>
          <w:lang w:val="cs-CZ"/>
        </w:rPr>
        <w:t xml:space="preserve"> </w:t>
      </w:r>
      <w:r>
        <w:rPr>
          <w:sz w:val="16"/>
          <w:lang w:val="cs-CZ"/>
        </w:rPr>
        <w:t>dodavatele,</w:t>
      </w:r>
      <w:r>
        <w:rPr>
          <w:spacing w:val="7"/>
          <w:sz w:val="16"/>
          <w:lang w:val="cs-CZ"/>
        </w:rPr>
        <w:t xml:space="preserve"> </w:t>
      </w:r>
      <w:r>
        <w:rPr>
          <w:sz w:val="16"/>
          <w:lang w:val="cs-CZ"/>
        </w:rPr>
        <w:t>a</w:t>
      </w:r>
      <w:r>
        <w:rPr>
          <w:spacing w:val="9"/>
          <w:sz w:val="16"/>
          <w:lang w:val="cs-CZ"/>
        </w:rPr>
        <w:t xml:space="preserve"> </w:t>
      </w:r>
      <w:r>
        <w:rPr>
          <w:sz w:val="16"/>
          <w:lang w:val="cs-CZ"/>
        </w:rPr>
        <w:t>to</w:t>
      </w:r>
      <w:r>
        <w:rPr>
          <w:spacing w:val="9"/>
          <w:sz w:val="16"/>
          <w:lang w:val="cs-CZ"/>
        </w:rPr>
        <w:t xml:space="preserve"> </w:t>
      </w:r>
      <w:r>
        <w:rPr>
          <w:sz w:val="16"/>
          <w:lang w:val="cs-CZ"/>
        </w:rPr>
        <w:t>i</w:t>
      </w:r>
      <w:r>
        <w:rPr>
          <w:spacing w:val="8"/>
          <w:sz w:val="16"/>
          <w:lang w:val="cs-CZ"/>
        </w:rPr>
        <w:t xml:space="preserve"> </w:t>
      </w:r>
      <w:r>
        <w:rPr>
          <w:sz w:val="16"/>
          <w:lang w:val="cs-CZ"/>
        </w:rPr>
        <w:t>v</w:t>
      </w:r>
      <w:r>
        <w:rPr>
          <w:spacing w:val="7"/>
          <w:sz w:val="16"/>
          <w:lang w:val="cs-CZ"/>
        </w:rPr>
        <w:t xml:space="preserve"> </w:t>
      </w:r>
      <w:r>
        <w:rPr>
          <w:sz w:val="16"/>
          <w:lang w:val="cs-CZ"/>
        </w:rPr>
        <w:t>případě</w:t>
      </w:r>
    </w:p>
    <w:p>
      <w:pPr>
        <w:pStyle w:val="Zkladntext"/>
        <w:spacing w:before="76" w:line="235" w:lineRule="auto"/>
        <w:ind w:right="134"/>
        <w:rPr>
          <w:lang w:val="cs-CZ"/>
        </w:rPr>
      </w:pPr>
      <w:r>
        <w:rPr>
          <w:lang w:val="cs-CZ"/>
        </w:rPr>
        <w:br w:type="column"/>
      </w:r>
      <w:r>
        <w:rPr>
          <w:lang w:val="cs-CZ"/>
        </w:rPr>
        <w:lastRenderedPageBreak/>
        <w:t>začlenění do systému, který je majetkem odběratele, resp. systému, který odběratel využívá. Do doby přechodu vlastnického práva k předmětu plnění na odběratele, je jakékoli poskytnutí předmětu plnění do zástavy nebo zřízení zajišťovacího převodu práva či jiného závazkového vztahu k předmětu plnění odběratelem ve prospěch třetí strany, bez souhlasu dodavatele, vyloučeno, rovněž za jakékoliv zcizení předmětu plnění odpovídá</w:t>
      </w:r>
      <w:r>
        <w:rPr>
          <w:spacing w:val="-8"/>
          <w:lang w:val="cs-CZ"/>
        </w:rPr>
        <w:t xml:space="preserve"> </w:t>
      </w:r>
      <w:r>
        <w:rPr>
          <w:lang w:val="cs-CZ"/>
        </w:rPr>
        <w:t>odběratel.</w:t>
      </w:r>
    </w:p>
    <w:p>
      <w:pPr>
        <w:pStyle w:val="Odstavecseseznamem"/>
        <w:numPr>
          <w:ilvl w:val="1"/>
          <w:numId w:val="7"/>
        </w:numPr>
        <w:tabs>
          <w:tab w:val="left" w:pos="543"/>
        </w:tabs>
        <w:spacing w:line="235" w:lineRule="auto"/>
        <w:ind w:right="134"/>
        <w:jc w:val="both"/>
        <w:rPr>
          <w:sz w:val="16"/>
          <w:lang w:val="cs-CZ"/>
        </w:rPr>
      </w:pPr>
      <w:r>
        <w:rPr>
          <w:sz w:val="16"/>
          <w:lang w:val="cs-CZ"/>
        </w:rPr>
        <w:t>Pokud je dodavatel oprávněn pro nezaplacení ceny plnění převzít předmět plnění zpět, přiznává mu odběratel neodvolatelné právo vstupu v obvyklé době do prostor, v nichž je předmět plnění umístěn za účelem odvezení předmětu</w:t>
      </w:r>
      <w:r>
        <w:rPr>
          <w:spacing w:val="-17"/>
          <w:sz w:val="16"/>
          <w:lang w:val="cs-CZ"/>
        </w:rPr>
        <w:t xml:space="preserve"> </w:t>
      </w:r>
      <w:r>
        <w:rPr>
          <w:sz w:val="16"/>
          <w:lang w:val="cs-CZ"/>
        </w:rPr>
        <w:t>plnění.</w:t>
      </w:r>
    </w:p>
    <w:p>
      <w:pPr>
        <w:pStyle w:val="Odstavecseseznamem"/>
        <w:numPr>
          <w:ilvl w:val="1"/>
          <w:numId w:val="7"/>
        </w:numPr>
        <w:tabs>
          <w:tab w:val="left" w:pos="543"/>
        </w:tabs>
        <w:spacing w:before="1" w:line="235" w:lineRule="auto"/>
        <w:ind w:right="136"/>
        <w:jc w:val="both"/>
        <w:rPr>
          <w:sz w:val="16"/>
          <w:lang w:val="cs-CZ"/>
        </w:rPr>
      </w:pPr>
      <w:r>
        <w:rPr>
          <w:sz w:val="16"/>
          <w:lang w:val="cs-CZ"/>
        </w:rPr>
        <w:t>Nesplní-li odběratel svůj závazek uhradit cenu za předmět plnění včas a v plné výši, je dodavatel oprávněn přerušit poskytování plnění, resp. služeb s předmětem plnění souvisejících (např. záruční servis) až do uhrazení závazku odběratele v plné výši včetně sjednaných úroků (penále), resp. smluvních pokut za opožděnou úhradu.</w:t>
      </w:r>
    </w:p>
    <w:p>
      <w:pPr>
        <w:pStyle w:val="Nadpis4"/>
        <w:numPr>
          <w:ilvl w:val="0"/>
          <w:numId w:val="7"/>
        </w:numPr>
        <w:tabs>
          <w:tab w:val="left" w:pos="542"/>
          <w:tab w:val="left" w:pos="543"/>
        </w:tabs>
        <w:ind w:hanging="396"/>
        <w:rPr>
          <w:lang w:val="cs-CZ"/>
        </w:rPr>
      </w:pPr>
      <w:r>
        <w:rPr>
          <w:lang w:val="cs-CZ"/>
        </w:rPr>
        <w:t>Záruka</w:t>
      </w:r>
    </w:p>
    <w:p>
      <w:pPr>
        <w:pStyle w:val="Nadpis5"/>
        <w:numPr>
          <w:ilvl w:val="1"/>
          <w:numId w:val="7"/>
        </w:numPr>
        <w:tabs>
          <w:tab w:val="left" w:pos="543"/>
        </w:tabs>
        <w:spacing w:line="182" w:lineRule="exact"/>
        <w:rPr>
          <w:lang w:val="cs-CZ"/>
        </w:rPr>
      </w:pPr>
      <w:r>
        <w:rPr>
          <w:lang w:val="cs-CZ"/>
        </w:rPr>
        <w:t>Obsah</w:t>
      </w:r>
      <w:r>
        <w:rPr>
          <w:spacing w:val="-1"/>
          <w:lang w:val="cs-CZ"/>
        </w:rPr>
        <w:t xml:space="preserve"> </w:t>
      </w:r>
      <w:r>
        <w:rPr>
          <w:lang w:val="cs-CZ"/>
        </w:rPr>
        <w:t>záruky:</w:t>
      </w:r>
    </w:p>
    <w:p>
      <w:pPr>
        <w:pStyle w:val="Odstavecseseznamem"/>
        <w:numPr>
          <w:ilvl w:val="2"/>
          <w:numId w:val="7"/>
        </w:numPr>
        <w:tabs>
          <w:tab w:val="left" w:pos="713"/>
        </w:tabs>
        <w:spacing w:before="1" w:line="235" w:lineRule="auto"/>
        <w:ind w:right="134" w:hanging="509"/>
        <w:jc w:val="both"/>
        <w:rPr>
          <w:sz w:val="16"/>
          <w:lang w:val="cs-CZ"/>
        </w:rPr>
      </w:pPr>
      <w:r>
        <w:rPr>
          <w:sz w:val="16"/>
          <w:lang w:val="cs-CZ"/>
        </w:rPr>
        <w:t>Dodavatel poskytuje záruku na jednotlivá zboží a na ostatní jednotlivé předměty plnění s výjimkou SW (dále též jen „zboží/dílo“) specifikované ve faktuře nebo v jiném účetním dokladu a současně v příslušném dokladu o dodání zboží/díla, tj. v dodacím listu nebo výdejce nebo ve výrobním listu PC sestavy nebo v servisním protokolu, v nichž jsou uvedena sériová čísla dodaného zboží/díla. Zbožím není software, k software dodavatel pouze převádí uživatelská práva (viz níže). Poskytnutím záruky nejsou dotčena práva spotřebitele jakožto kupujícího, která se ke koupi věci váží podle zvláštních právních</w:t>
      </w:r>
      <w:r>
        <w:rPr>
          <w:spacing w:val="-17"/>
          <w:sz w:val="16"/>
          <w:lang w:val="cs-CZ"/>
        </w:rPr>
        <w:t xml:space="preserve"> </w:t>
      </w:r>
      <w:r>
        <w:rPr>
          <w:sz w:val="16"/>
          <w:lang w:val="cs-CZ"/>
        </w:rPr>
        <w:t>předpisů.</w:t>
      </w:r>
    </w:p>
    <w:p>
      <w:pPr>
        <w:pStyle w:val="Odstavecseseznamem"/>
        <w:numPr>
          <w:ilvl w:val="2"/>
          <w:numId w:val="7"/>
        </w:numPr>
        <w:tabs>
          <w:tab w:val="left" w:pos="713"/>
        </w:tabs>
        <w:spacing w:line="235" w:lineRule="auto"/>
        <w:ind w:right="136" w:hanging="508"/>
        <w:jc w:val="both"/>
        <w:rPr>
          <w:sz w:val="16"/>
          <w:lang w:val="cs-CZ"/>
        </w:rPr>
      </w:pPr>
      <w:r>
        <w:rPr>
          <w:sz w:val="16"/>
          <w:u w:val="single"/>
          <w:lang w:val="cs-CZ"/>
        </w:rPr>
        <w:t>Délka záruční doby</w:t>
      </w:r>
      <w:r>
        <w:rPr>
          <w:sz w:val="16"/>
          <w:lang w:val="cs-CZ"/>
        </w:rPr>
        <w:t xml:space="preserve"> zboží/díla může být pro jednotlivé díly zboží/díla stanovena rozdílně a je vyznačena v dodacím listu nebo výdejce nebo ve výrobním listu PC sestavy nebo v servisním protokolu. V těch právních vztazích, na něž </w:t>
      </w:r>
      <w:proofErr w:type="gramStart"/>
      <w:r>
        <w:rPr>
          <w:sz w:val="16"/>
          <w:lang w:val="cs-CZ"/>
        </w:rPr>
        <w:t>se  vztahují</w:t>
      </w:r>
      <w:proofErr w:type="gramEnd"/>
      <w:r>
        <w:rPr>
          <w:sz w:val="16"/>
          <w:lang w:val="cs-CZ"/>
        </w:rPr>
        <w:t xml:space="preserve"> zvláštní ustanovení o prodeji zboží v obchodě podle občanského zákoníku, činí při prodeji spotřebního zboží délka zákonné záruční doby na zboží 24 měsíců, nestanoví-li občanský zákoník ve specifických případech výslovně</w:t>
      </w:r>
      <w:r>
        <w:rPr>
          <w:spacing w:val="-1"/>
          <w:sz w:val="16"/>
          <w:lang w:val="cs-CZ"/>
        </w:rPr>
        <w:t xml:space="preserve"> </w:t>
      </w:r>
      <w:r>
        <w:rPr>
          <w:sz w:val="16"/>
          <w:lang w:val="cs-CZ"/>
        </w:rPr>
        <w:t>jinak.</w:t>
      </w:r>
    </w:p>
    <w:p>
      <w:pPr>
        <w:pStyle w:val="Odstavecseseznamem"/>
        <w:numPr>
          <w:ilvl w:val="2"/>
          <w:numId w:val="7"/>
        </w:numPr>
        <w:tabs>
          <w:tab w:val="left" w:pos="713"/>
        </w:tabs>
        <w:spacing w:before="1" w:line="235" w:lineRule="auto"/>
        <w:ind w:right="135" w:hanging="508"/>
        <w:jc w:val="both"/>
        <w:rPr>
          <w:sz w:val="16"/>
          <w:lang w:val="cs-CZ"/>
        </w:rPr>
      </w:pPr>
      <w:r>
        <w:rPr>
          <w:sz w:val="16"/>
          <w:lang w:val="cs-CZ"/>
        </w:rPr>
        <w:t xml:space="preserve">U některého zboží/díla lze </w:t>
      </w:r>
      <w:r>
        <w:rPr>
          <w:sz w:val="16"/>
          <w:u w:val="single"/>
          <w:lang w:val="cs-CZ"/>
        </w:rPr>
        <w:t>zakoupit rozšíření délky nebo rozšíření rozsahu záruky</w:t>
      </w:r>
      <w:r>
        <w:rPr>
          <w:sz w:val="16"/>
          <w:lang w:val="cs-CZ"/>
        </w:rPr>
        <w:t xml:space="preserve">, rozšířený obsah a podmínky záruky se pak řídí též příslušnými registračními podmínkami (např. notebooky Toshiba), resp. </w:t>
      </w:r>
      <w:proofErr w:type="gramStart"/>
      <w:r>
        <w:rPr>
          <w:sz w:val="16"/>
          <w:lang w:val="cs-CZ"/>
        </w:rPr>
        <w:t>smluvním  ujednáním</w:t>
      </w:r>
      <w:proofErr w:type="gramEnd"/>
      <w:r>
        <w:rPr>
          <w:sz w:val="16"/>
          <w:lang w:val="cs-CZ"/>
        </w:rPr>
        <w:t xml:space="preserve"> o rozšíření záruky. Odchylná ustanovení registračních podmínek (dle registrační karty), resp. smluvního ujednání o rozšíření záruky, mají přednost před ustanoveními těchto Všeobecných podmínek, v ostatních ustanoveních platí tyto Všeobecné</w:t>
      </w:r>
      <w:r>
        <w:rPr>
          <w:spacing w:val="-5"/>
          <w:sz w:val="16"/>
          <w:lang w:val="cs-CZ"/>
        </w:rPr>
        <w:t xml:space="preserve"> </w:t>
      </w:r>
      <w:r>
        <w:rPr>
          <w:sz w:val="16"/>
          <w:lang w:val="cs-CZ"/>
        </w:rPr>
        <w:t>podmínky.</w:t>
      </w:r>
    </w:p>
    <w:p>
      <w:pPr>
        <w:pStyle w:val="Odstavecseseznamem"/>
        <w:numPr>
          <w:ilvl w:val="2"/>
          <w:numId w:val="7"/>
        </w:numPr>
        <w:tabs>
          <w:tab w:val="left" w:pos="713"/>
        </w:tabs>
        <w:spacing w:before="1" w:line="235" w:lineRule="auto"/>
        <w:ind w:right="136" w:hanging="508"/>
        <w:jc w:val="both"/>
        <w:rPr>
          <w:sz w:val="16"/>
          <w:lang w:val="cs-CZ"/>
        </w:rPr>
      </w:pPr>
      <w:r>
        <w:rPr>
          <w:sz w:val="16"/>
          <w:lang w:val="cs-CZ"/>
        </w:rPr>
        <w:t xml:space="preserve">Zákonná záruka: Při prodeji zboží, na něž se vztahují zvláštní ustanovení o prodeji zboží v obchodě podle občanského zákoníku, se na </w:t>
      </w:r>
      <w:proofErr w:type="gramStart"/>
      <w:r>
        <w:rPr>
          <w:sz w:val="16"/>
          <w:lang w:val="cs-CZ"/>
        </w:rPr>
        <w:t>prvních  24</w:t>
      </w:r>
      <w:proofErr w:type="gramEnd"/>
      <w:r>
        <w:rPr>
          <w:sz w:val="16"/>
          <w:lang w:val="cs-CZ"/>
        </w:rPr>
        <w:t xml:space="preserve"> měsíců z celkové doby dodavatelem poskytnuté záruky vztahují ustanovení § 2158 až 2174 občanského zákoníku (zvláštní ustanovení o prodeji zboží v obchodě). Po uplynutí zákonné záruky se nároky odběratele řídí obsahem </w:t>
      </w:r>
      <w:r>
        <w:rPr>
          <w:sz w:val="16"/>
          <w:u w:val="single"/>
          <w:lang w:val="cs-CZ"/>
        </w:rPr>
        <w:t>smluvní (tzv</w:t>
      </w:r>
      <w:r>
        <w:rPr>
          <w:sz w:val="16"/>
          <w:lang w:val="cs-CZ"/>
        </w:rPr>
        <w:t>.</w:t>
      </w:r>
      <w:r>
        <w:rPr>
          <w:sz w:val="16"/>
          <w:u w:val="single"/>
          <w:lang w:val="cs-CZ"/>
        </w:rPr>
        <w:t xml:space="preserve"> prodloužené) záruky</w:t>
      </w:r>
      <w:r>
        <w:rPr>
          <w:sz w:val="16"/>
          <w:lang w:val="cs-CZ"/>
        </w:rPr>
        <w:t xml:space="preserve"> podle těchto Všeobecných podmínek. Na prodej použitého zboží se zákonná záruka</w:t>
      </w:r>
      <w:r>
        <w:rPr>
          <w:spacing w:val="-3"/>
          <w:sz w:val="16"/>
          <w:lang w:val="cs-CZ"/>
        </w:rPr>
        <w:t xml:space="preserve"> </w:t>
      </w:r>
      <w:r>
        <w:rPr>
          <w:sz w:val="16"/>
          <w:lang w:val="cs-CZ"/>
        </w:rPr>
        <w:t>nevztahuje.</w:t>
      </w:r>
    </w:p>
    <w:p>
      <w:pPr>
        <w:pStyle w:val="Zkladntext"/>
        <w:spacing w:line="235" w:lineRule="auto"/>
        <w:ind w:left="203" w:right="134"/>
        <w:rPr>
          <w:lang w:val="cs-CZ"/>
        </w:rPr>
      </w:pPr>
      <w:r>
        <w:rPr>
          <w:lang w:val="cs-CZ"/>
        </w:rPr>
        <w:t>Nároky odběratele ze záruky za jakost v případě prodejů zboží, na něž se nevztahují zvláštní ustanovení o prodeji zboží v obchodě podle občanského zákoníku, se řídí obsahem smluvní záruky podle těchto Všeobecných podmínek.</w:t>
      </w:r>
    </w:p>
    <w:p>
      <w:pPr>
        <w:pStyle w:val="Odstavecseseznamem"/>
        <w:numPr>
          <w:ilvl w:val="2"/>
          <w:numId w:val="7"/>
        </w:numPr>
        <w:tabs>
          <w:tab w:val="left" w:pos="713"/>
        </w:tabs>
        <w:spacing w:line="235" w:lineRule="auto"/>
        <w:ind w:right="135" w:hanging="508"/>
        <w:jc w:val="both"/>
        <w:rPr>
          <w:sz w:val="16"/>
          <w:lang w:val="cs-CZ"/>
        </w:rPr>
      </w:pPr>
      <w:r>
        <w:rPr>
          <w:sz w:val="16"/>
          <w:lang w:val="cs-CZ"/>
        </w:rPr>
        <w:t xml:space="preserve">Životnost zboží: Nelze zaměňovat životnost výrobku, tj. dobu, po kterou při správném užívání a ošetřování může výrobek vzhledem ke svým vlastnostem, danému účelu a rozdílnosti v intenzitě jeho využívání vydržet, a záruční </w:t>
      </w:r>
      <w:proofErr w:type="gramStart"/>
      <w:r>
        <w:rPr>
          <w:sz w:val="16"/>
          <w:lang w:val="cs-CZ"/>
        </w:rPr>
        <w:t>dobu,  ve</w:t>
      </w:r>
      <w:proofErr w:type="gramEnd"/>
      <w:r>
        <w:rPr>
          <w:sz w:val="16"/>
          <w:lang w:val="cs-CZ"/>
        </w:rPr>
        <w:t xml:space="preserve"> které lze reklamovat vady výrobku, tj. takové vady, které mají svůj původ ve výrobě, v použitém materiálu či způsobu</w:t>
      </w:r>
      <w:r>
        <w:rPr>
          <w:spacing w:val="-7"/>
          <w:sz w:val="16"/>
          <w:lang w:val="cs-CZ"/>
        </w:rPr>
        <w:t xml:space="preserve"> </w:t>
      </w:r>
      <w:r>
        <w:rPr>
          <w:sz w:val="16"/>
          <w:lang w:val="cs-CZ"/>
        </w:rPr>
        <w:t>zpracování.</w:t>
      </w:r>
    </w:p>
    <w:p>
      <w:pPr>
        <w:pStyle w:val="Zkladntext"/>
        <w:spacing w:before="1" w:line="235" w:lineRule="auto"/>
        <w:ind w:left="203" w:right="135"/>
        <w:rPr>
          <w:lang w:val="cs-CZ"/>
        </w:rPr>
      </w:pPr>
      <w:r>
        <w:rPr>
          <w:lang w:val="cs-CZ"/>
        </w:rPr>
        <w:t>Za rozpor s kupní či jinou smlouvou nelze považovat reklamace takových parametrů, které nejsou pro daný výrobek uvedeny v návodu ani jiné obchodně-technické dokumentaci výrobce či v závazných technických normách.</w:t>
      </w:r>
    </w:p>
    <w:p>
      <w:pPr>
        <w:pStyle w:val="Odstavecseseznamem"/>
        <w:numPr>
          <w:ilvl w:val="2"/>
          <w:numId w:val="7"/>
        </w:numPr>
        <w:tabs>
          <w:tab w:val="left" w:pos="713"/>
        </w:tabs>
        <w:spacing w:line="235" w:lineRule="auto"/>
        <w:ind w:right="134" w:hanging="508"/>
        <w:jc w:val="both"/>
        <w:rPr>
          <w:sz w:val="16"/>
          <w:lang w:val="cs-CZ"/>
        </w:rPr>
      </w:pPr>
      <w:r>
        <w:rPr>
          <w:sz w:val="16"/>
          <w:lang w:val="cs-CZ"/>
        </w:rPr>
        <w:t>Smluvní záruka: Smluvní záruka platí v případě prodejů zboží, na něž se nevztahují zvláštní ustanovení o prodeji zboží v obchodě podle občanského zákoníku a dále platí pro dobu dodavatelem poskytnuté záruky, která přesahuje délku zákonné záruční doby v případě prodejů zboží, na něž se vztahují zvláštní ustanovení o prodeji zboží v obchodě podle občanského zákoníku (tj. pro dobu tzv. prodloužení záruky). Ze smluvní záruky i ze zákonné odpovědnosti za vady vzniká odběrateli pouze právo na bezplatné odstranění vad (práce a materiál), na něž se záruka vztahuje, a které se během záruční doby na zboží/díle vyskytnou při dodržení níže uvedených záručních podmínek; v případě vady neodstranitelné vzniká odběrateli pouze právo na výměnu zboží/díla za zboží/dílo stejných parametrů (nebude-li to pro rychlost inovací již možné nebo ekonomické, pak parametrů lepších). V rámci smluvní záruky bude vada zboží/díla odstraněna opravou, nebude-li to možné či ekonomické, pak výměnou zboží/díla za zboží stejného druhu a stejných nebo lepších parametrů; oprava vadného dílu zboží/díla může být provedena nahrazením tohoto dílu stejným dílem a nebude-li mít výrobce či dodavatel takový díl k dispozici, pak dílem s obdobnými nebo lepšími parametry tak, aby byla obnovena funkčnost opravovaného</w:t>
      </w:r>
      <w:r>
        <w:rPr>
          <w:spacing w:val="-1"/>
          <w:sz w:val="16"/>
          <w:lang w:val="cs-CZ"/>
        </w:rPr>
        <w:t xml:space="preserve"> </w:t>
      </w:r>
      <w:r>
        <w:rPr>
          <w:sz w:val="16"/>
          <w:lang w:val="cs-CZ"/>
        </w:rPr>
        <w:t>zboží/díla.</w:t>
      </w:r>
    </w:p>
    <w:p>
      <w:pPr>
        <w:pStyle w:val="Odstavecseseznamem"/>
        <w:numPr>
          <w:ilvl w:val="2"/>
          <w:numId w:val="7"/>
        </w:numPr>
        <w:tabs>
          <w:tab w:val="left" w:pos="713"/>
        </w:tabs>
        <w:spacing w:before="1" w:line="235" w:lineRule="auto"/>
        <w:ind w:right="134" w:hanging="508"/>
        <w:jc w:val="both"/>
        <w:rPr>
          <w:sz w:val="16"/>
          <w:lang w:val="cs-CZ"/>
        </w:rPr>
      </w:pPr>
      <w:proofErr w:type="gramStart"/>
      <w:r>
        <w:rPr>
          <w:sz w:val="16"/>
          <w:lang w:val="cs-CZ"/>
        </w:rPr>
        <w:t xml:space="preserve">Smluvní  </w:t>
      </w:r>
      <w:r>
        <w:rPr>
          <w:sz w:val="16"/>
          <w:u w:val="single"/>
          <w:lang w:val="cs-CZ"/>
        </w:rPr>
        <w:t>záruka</w:t>
      </w:r>
      <w:proofErr w:type="gramEnd"/>
      <w:r>
        <w:rPr>
          <w:sz w:val="16"/>
          <w:u w:val="single"/>
          <w:lang w:val="cs-CZ"/>
        </w:rPr>
        <w:t xml:space="preserve">  se   vztahuje</w:t>
      </w:r>
      <w:r>
        <w:rPr>
          <w:sz w:val="16"/>
          <w:lang w:val="cs-CZ"/>
        </w:rPr>
        <w:t xml:space="preserve">  na   vady,  které   mají  svůj  původ   ve  výrobě, v použitém materiálu či způsobu zpracování, v montáži nebo instalaci zboží/díla provedenými dodavatelem. Dodavatel je povinen plnit své závazky </w:t>
      </w:r>
      <w:proofErr w:type="gramStart"/>
      <w:r>
        <w:rPr>
          <w:sz w:val="16"/>
          <w:lang w:val="cs-CZ"/>
        </w:rPr>
        <w:t>vyplývající  ze</w:t>
      </w:r>
      <w:proofErr w:type="gramEnd"/>
      <w:r>
        <w:rPr>
          <w:sz w:val="16"/>
          <w:lang w:val="cs-CZ"/>
        </w:rPr>
        <w:t xml:space="preserve"> smluvní záruky pouze tehdy, pokud odběratel není v prodlení s úhradou ceny předmětu</w:t>
      </w:r>
      <w:r>
        <w:rPr>
          <w:spacing w:val="-1"/>
          <w:sz w:val="16"/>
          <w:lang w:val="cs-CZ"/>
        </w:rPr>
        <w:t xml:space="preserve"> </w:t>
      </w:r>
      <w:r>
        <w:rPr>
          <w:sz w:val="16"/>
          <w:lang w:val="cs-CZ"/>
        </w:rPr>
        <w:t>plnění.</w:t>
      </w:r>
    </w:p>
    <w:p>
      <w:pPr>
        <w:pStyle w:val="Odstavecseseznamem"/>
        <w:numPr>
          <w:ilvl w:val="2"/>
          <w:numId w:val="7"/>
        </w:numPr>
        <w:tabs>
          <w:tab w:val="left" w:pos="713"/>
        </w:tabs>
        <w:spacing w:before="1" w:line="235" w:lineRule="auto"/>
        <w:ind w:right="135" w:hanging="509"/>
        <w:jc w:val="both"/>
        <w:rPr>
          <w:sz w:val="16"/>
          <w:lang w:val="cs-CZ"/>
        </w:rPr>
      </w:pPr>
      <w:r>
        <w:rPr>
          <w:sz w:val="16"/>
          <w:lang w:val="cs-CZ"/>
        </w:rPr>
        <w:t xml:space="preserve">Zákonná ani smluvní </w:t>
      </w:r>
      <w:r>
        <w:rPr>
          <w:sz w:val="16"/>
          <w:u w:val="single"/>
          <w:lang w:val="cs-CZ"/>
        </w:rPr>
        <w:t>záruka se nevztahuje</w:t>
      </w:r>
      <w:r>
        <w:rPr>
          <w:sz w:val="16"/>
          <w:lang w:val="cs-CZ"/>
        </w:rPr>
        <w:t xml:space="preserve"> na opotřebení zboží/díla způsobené jeho obvyklým užíváním a nevztahuje se na vady, pro které byla sjednána nižší cena, dále se nevztahuje na závady způsobené takovým použitím nebo takovou instalací, které jsou v rozporu s návodem k obsluze nebo s podmínkami nakládání se zbožím/dílem uvedenými v těchto Všeobecných podmínkách</w:t>
      </w:r>
      <w:r>
        <w:rPr>
          <w:spacing w:val="-7"/>
          <w:sz w:val="16"/>
          <w:lang w:val="cs-CZ"/>
        </w:rPr>
        <w:t xml:space="preserve"> </w:t>
      </w:r>
      <w:r>
        <w:rPr>
          <w:sz w:val="16"/>
          <w:lang w:val="cs-CZ"/>
        </w:rPr>
        <w:t>(viz</w:t>
      </w:r>
    </w:p>
    <w:p>
      <w:pPr>
        <w:spacing w:line="235" w:lineRule="auto"/>
        <w:jc w:val="both"/>
        <w:rPr>
          <w:sz w:val="16"/>
          <w:lang w:val="cs-CZ"/>
        </w:rPr>
        <w:sectPr>
          <w:pgSz w:w="11900" w:h="16840"/>
          <w:pgMar w:top="600" w:right="420" w:bottom="840" w:left="420" w:header="0" w:footer="583" w:gutter="0"/>
          <w:cols w:num="2" w:space="708" w:equalWidth="0">
            <w:col w:w="5434" w:space="95"/>
            <w:col w:w="5531"/>
          </w:cols>
        </w:sectPr>
      </w:pPr>
    </w:p>
    <w:p>
      <w:pPr>
        <w:pStyle w:val="Zkladntext"/>
        <w:spacing w:before="76" w:line="235" w:lineRule="auto"/>
        <w:ind w:left="712"/>
        <w:rPr>
          <w:lang w:val="cs-CZ"/>
        </w:rPr>
      </w:pPr>
      <w:r>
        <w:rPr>
          <w:lang w:val="cs-CZ"/>
        </w:rPr>
        <w:lastRenderedPageBreak/>
        <w:t>níže) nebo všeobecnými zásadami, na závady vzniklé nedodržením pokynů pro údržbu, provoz nebo obsluhu výrobku/díla, na závady vzniklé nesprávnou přepravou a nesprávným skladováním, neodborným nebo nepřiměřeným zacházením; vystavením nepříznivým vnějším vlivům, provozem za jiných než výrobcem či dodavatelem stanovených podmínek, resp. za neobvyklých podmínek; fyzickým poškozením, na závady vzniklé neodvratnou událostí (oheň, voda apod.), povětrnostními vlivy, poškozením bleskem nebo elektrostatickým výbojem, nadměrným mechanickým opotřebením, na vady vzniklé použitím nesprávného nebo vadného programového vybavení, použitím jiného než výrobcem zboží/díla výslovně doporučeného spotřebního materiálu (např. jiné než originální pásky do tiskáren) či příslušenství. Záruka se nevztahuje na závady vzniklé uživatelem zanesenými počítačovými viry, instalací softwaru nedodaného dodavatelem, neodbornou instalací softwaru nebo přídavných zařízení. Předmětem záručního plnění není rovněž běžná údržba, čištění a podobné úkony předepsané výrobcem v návodu k obsluze. Zákonná ani smluvní záruka se též nevztahuje na opotřebení součástí zboží, u nichž výrobce limitoval životnost takové součásti, jestliže tato byla překročena, a na přirozené opotřebení součástí při výrobcem doporučeném užívání zboží (např. válce, rolny, lampy, gumové součásti, filtry, přirozený pokles kapacity akumulátorů, lampy projektoru apod. Např. uváděná životnost lampy projektoru je maximální a může se lišit podle podmínek, za kterých je projektor používán). U LCD displejů může v průběhu užívání dojít k výpadku zobrazovacích bodů (pixelů), který do rozsahu kvalitativní tolerance uvedené výrobcem je obvyklou vlastností daného výrobku.</w:t>
      </w:r>
    </w:p>
    <w:p>
      <w:pPr>
        <w:pStyle w:val="Odstavecseseznamem"/>
        <w:numPr>
          <w:ilvl w:val="2"/>
          <w:numId w:val="7"/>
        </w:numPr>
        <w:tabs>
          <w:tab w:val="left" w:pos="713"/>
        </w:tabs>
        <w:spacing w:before="2" w:line="235" w:lineRule="auto"/>
        <w:ind w:hanging="508"/>
        <w:jc w:val="both"/>
        <w:rPr>
          <w:sz w:val="16"/>
          <w:lang w:val="cs-CZ"/>
        </w:rPr>
      </w:pPr>
      <w:r>
        <w:rPr>
          <w:sz w:val="16"/>
          <w:lang w:val="cs-CZ"/>
        </w:rPr>
        <w:t xml:space="preserve">Smluvní </w:t>
      </w:r>
      <w:r>
        <w:rPr>
          <w:sz w:val="16"/>
          <w:u w:val="single"/>
          <w:lang w:val="cs-CZ"/>
        </w:rPr>
        <w:t>záruční doba začíná běže</w:t>
      </w:r>
      <w:r>
        <w:rPr>
          <w:sz w:val="16"/>
          <w:lang w:val="cs-CZ"/>
        </w:rPr>
        <w:t>t ode dne převzetí zboží/díla odběratelem. Bude-li zboží v rámci smluvní záruky vyměněno, pak vyměněné zboží/dílo bude mít záruční dobu do zbytku původní smluvní záruční doby reklamovaného zboží/díla, nebude-li výslovně ujednáno</w:t>
      </w:r>
      <w:r>
        <w:rPr>
          <w:spacing w:val="-4"/>
          <w:sz w:val="16"/>
          <w:lang w:val="cs-CZ"/>
        </w:rPr>
        <w:t xml:space="preserve"> </w:t>
      </w:r>
      <w:r>
        <w:rPr>
          <w:sz w:val="16"/>
          <w:lang w:val="cs-CZ"/>
        </w:rPr>
        <w:t>jinak.</w:t>
      </w:r>
    </w:p>
    <w:p>
      <w:pPr>
        <w:pStyle w:val="Odstavecseseznamem"/>
        <w:numPr>
          <w:ilvl w:val="2"/>
          <w:numId w:val="7"/>
        </w:numPr>
        <w:tabs>
          <w:tab w:val="left" w:pos="713"/>
        </w:tabs>
        <w:spacing w:line="235" w:lineRule="auto"/>
        <w:ind w:hanging="508"/>
        <w:jc w:val="both"/>
        <w:rPr>
          <w:sz w:val="16"/>
          <w:lang w:val="cs-CZ"/>
        </w:rPr>
      </w:pPr>
      <w:r>
        <w:rPr>
          <w:sz w:val="16"/>
          <w:u w:val="single"/>
          <w:lang w:val="cs-CZ"/>
        </w:rPr>
        <w:t>Do záruční doby se nepočítá doba</w:t>
      </w:r>
      <w:r>
        <w:rPr>
          <w:sz w:val="16"/>
          <w:lang w:val="cs-CZ"/>
        </w:rPr>
        <w:t xml:space="preserve"> od uplatnění oprávněné reklamace až do doby, kdy odběratel po skončení opravy byl povinen zboží/dílo</w:t>
      </w:r>
      <w:r>
        <w:rPr>
          <w:spacing w:val="-16"/>
          <w:sz w:val="16"/>
          <w:lang w:val="cs-CZ"/>
        </w:rPr>
        <w:t xml:space="preserve"> </w:t>
      </w:r>
      <w:r>
        <w:rPr>
          <w:sz w:val="16"/>
          <w:lang w:val="cs-CZ"/>
        </w:rPr>
        <w:t>převzít.</w:t>
      </w:r>
    </w:p>
    <w:p>
      <w:pPr>
        <w:pStyle w:val="Odstavecseseznamem"/>
        <w:numPr>
          <w:ilvl w:val="2"/>
          <w:numId w:val="7"/>
        </w:numPr>
        <w:tabs>
          <w:tab w:val="left" w:pos="713"/>
        </w:tabs>
        <w:spacing w:line="235" w:lineRule="auto"/>
        <w:ind w:right="1" w:hanging="508"/>
        <w:jc w:val="both"/>
        <w:rPr>
          <w:sz w:val="16"/>
          <w:lang w:val="cs-CZ"/>
        </w:rPr>
      </w:pPr>
      <w:r>
        <w:rPr>
          <w:sz w:val="16"/>
          <w:lang w:val="cs-CZ"/>
        </w:rPr>
        <w:t xml:space="preserve">Smluvní </w:t>
      </w:r>
      <w:r>
        <w:rPr>
          <w:sz w:val="16"/>
          <w:u w:val="single"/>
          <w:lang w:val="cs-CZ"/>
        </w:rPr>
        <w:t>záruka zaniká</w:t>
      </w:r>
      <w:r>
        <w:rPr>
          <w:sz w:val="16"/>
          <w:lang w:val="cs-CZ"/>
        </w:rPr>
        <w:t xml:space="preserve"> nedodržením podmínek provozu nebo neprováděním pravidelné běžné uživatelské údržby v souladu s návodem k obsluze, provedením změny na dodaném zboží/díle nebo porušením záruční nálepky, neoprávněným zásahem do zboží/díla osobou, která k provedení zásahu nebyla výslovně dodavatelem zmocněna. </w:t>
      </w:r>
      <w:r>
        <w:rPr>
          <w:sz w:val="16"/>
          <w:u w:val="single"/>
          <w:lang w:val="cs-CZ"/>
        </w:rPr>
        <w:t>Nedodržením záručních podmínek zanikaj</w:t>
      </w:r>
      <w:r>
        <w:rPr>
          <w:sz w:val="16"/>
          <w:lang w:val="cs-CZ"/>
        </w:rPr>
        <w:t>í</w:t>
      </w:r>
      <w:r>
        <w:rPr>
          <w:sz w:val="16"/>
          <w:u w:val="single"/>
          <w:lang w:val="cs-CZ"/>
        </w:rPr>
        <w:t xml:space="preserve"> všechna práva odběratele, vyplývající ze smluvní</w:t>
      </w:r>
      <w:r>
        <w:rPr>
          <w:spacing w:val="-10"/>
          <w:sz w:val="16"/>
          <w:u w:val="single"/>
          <w:lang w:val="cs-CZ"/>
        </w:rPr>
        <w:t xml:space="preserve"> </w:t>
      </w:r>
      <w:r>
        <w:rPr>
          <w:sz w:val="16"/>
          <w:u w:val="single"/>
          <w:lang w:val="cs-CZ"/>
        </w:rPr>
        <w:t>záruky</w:t>
      </w:r>
      <w:r>
        <w:rPr>
          <w:sz w:val="16"/>
          <w:lang w:val="cs-CZ"/>
        </w:rPr>
        <w:t>.</w:t>
      </w:r>
    </w:p>
    <w:p>
      <w:pPr>
        <w:pStyle w:val="Odstavecseseznamem"/>
        <w:numPr>
          <w:ilvl w:val="2"/>
          <w:numId w:val="7"/>
        </w:numPr>
        <w:tabs>
          <w:tab w:val="left" w:pos="713"/>
        </w:tabs>
        <w:spacing w:before="1" w:line="235" w:lineRule="auto"/>
        <w:ind w:hanging="508"/>
        <w:jc w:val="both"/>
        <w:rPr>
          <w:sz w:val="16"/>
          <w:lang w:val="cs-CZ"/>
        </w:rPr>
      </w:pPr>
      <w:r>
        <w:rPr>
          <w:sz w:val="16"/>
          <w:u w:val="single"/>
          <w:lang w:val="cs-CZ"/>
        </w:rPr>
        <w:t>Software (programové vybavení)</w:t>
      </w:r>
      <w:r>
        <w:rPr>
          <w:sz w:val="16"/>
          <w:lang w:val="cs-CZ"/>
        </w:rPr>
        <w:t>: je-li předmětem plnění software, záruka dodavatele se vztahuje výhradně na fyzickou čitelnost médií. Okamžikem odstranění ochranných prvků (fólie, pečeti, otevření obálky apod.) se odběratel (resp. uživatel) stává oprávněným licenčním uživatelem softwarového produktu a akceptuje licenční ujednání nositele autorských práv, resp. výrobce software. Tento předmět plnění nelze vrátit dodavateli. Dodavatel neodpovídá za správnou funkci softwarových produktů (dále též SW), ani tzv. DEMO produktů. Obsah záruky poskytované nositelem autorských práv se řídí licenčním ujednáním k software, které je součástí softwarového produktu. Záruka na softwarové produkty Microsoft je poskytovatelem omezena na 90 dnů od data prodeje ve smyslu licenční smlouvy</w:t>
      </w:r>
      <w:r>
        <w:rPr>
          <w:spacing w:val="-6"/>
          <w:sz w:val="16"/>
          <w:lang w:val="cs-CZ"/>
        </w:rPr>
        <w:t xml:space="preserve"> </w:t>
      </w:r>
      <w:r>
        <w:rPr>
          <w:sz w:val="16"/>
          <w:lang w:val="cs-CZ"/>
        </w:rPr>
        <w:t>Microsoft.</w:t>
      </w:r>
    </w:p>
    <w:p>
      <w:pPr>
        <w:pStyle w:val="Odstavecseseznamem"/>
        <w:numPr>
          <w:ilvl w:val="2"/>
          <w:numId w:val="7"/>
        </w:numPr>
        <w:tabs>
          <w:tab w:val="left" w:pos="713"/>
        </w:tabs>
        <w:spacing w:before="1" w:line="235" w:lineRule="auto"/>
        <w:ind w:hanging="508"/>
        <w:jc w:val="both"/>
        <w:rPr>
          <w:sz w:val="16"/>
          <w:lang w:val="cs-CZ"/>
        </w:rPr>
      </w:pPr>
      <w:r>
        <w:rPr>
          <w:sz w:val="16"/>
          <w:lang w:val="cs-CZ"/>
        </w:rPr>
        <w:t>V případě záruční vady počítače AUTOCONT, která má za následek ztrátu instalovaného SW, zajistí dodavatel zdarma uvedení do stavu, ve kterém byl odběrateli předán, tj. s instalovaným SW, který byl instalován dodavatelem, resp.</w:t>
      </w:r>
      <w:r>
        <w:rPr>
          <w:spacing w:val="-2"/>
          <w:sz w:val="16"/>
          <w:lang w:val="cs-CZ"/>
        </w:rPr>
        <w:t xml:space="preserve"> </w:t>
      </w:r>
      <w:r>
        <w:rPr>
          <w:sz w:val="16"/>
          <w:lang w:val="cs-CZ"/>
        </w:rPr>
        <w:t>výrobcem.</w:t>
      </w:r>
    </w:p>
    <w:p>
      <w:pPr>
        <w:pStyle w:val="Odstavecseseznamem"/>
        <w:numPr>
          <w:ilvl w:val="2"/>
          <w:numId w:val="7"/>
        </w:numPr>
        <w:tabs>
          <w:tab w:val="left" w:pos="713"/>
        </w:tabs>
        <w:spacing w:line="235" w:lineRule="auto"/>
        <w:ind w:hanging="508"/>
        <w:jc w:val="both"/>
        <w:rPr>
          <w:sz w:val="16"/>
          <w:lang w:val="cs-CZ"/>
        </w:rPr>
      </w:pPr>
      <w:r>
        <w:rPr>
          <w:sz w:val="16"/>
          <w:lang w:val="cs-CZ"/>
        </w:rPr>
        <w:t>Záruka se nevztahuje na případy nefunkčnosti původního výrobcem nebo dodavatelem instalovaného softwarového produktu, způsobené zásahem jiné osoby, resp. jí způsobenými změnami nastavení. Změnou nastavení se rozumí jakákoliv změna systémových nastavení výrobcem či dodavatelem instalovaných softwarových produktů (tzv. OEM software), instalace jiného nebo dodatečného softwarového produktu, případně instalace ovladačů provedené odběratelem nebo třetí</w:t>
      </w:r>
      <w:r>
        <w:rPr>
          <w:spacing w:val="-3"/>
          <w:sz w:val="16"/>
          <w:lang w:val="cs-CZ"/>
        </w:rPr>
        <w:t xml:space="preserve"> </w:t>
      </w:r>
      <w:r>
        <w:rPr>
          <w:sz w:val="16"/>
          <w:lang w:val="cs-CZ"/>
        </w:rPr>
        <w:t>stranou.</w:t>
      </w:r>
    </w:p>
    <w:p>
      <w:pPr>
        <w:pStyle w:val="Odstavecseseznamem"/>
        <w:numPr>
          <w:ilvl w:val="2"/>
          <w:numId w:val="7"/>
        </w:numPr>
        <w:tabs>
          <w:tab w:val="left" w:pos="713"/>
        </w:tabs>
        <w:spacing w:before="1" w:line="235" w:lineRule="auto"/>
        <w:ind w:hanging="508"/>
        <w:jc w:val="both"/>
        <w:rPr>
          <w:sz w:val="16"/>
          <w:lang w:val="cs-CZ"/>
        </w:rPr>
      </w:pPr>
      <w:r>
        <w:rPr>
          <w:sz w:val="16"/>
          <w:lang w:val="cs-CZ"/>
        </w:rPr>
        <w:t xml:space="preserve">V případě oprav hardwarových závad nebo úprav předmětu plnění, provedených jako </w:t>
      </w:r>
      <w:r>
        <w:rPr>
          <w:sz w:val="16"/>
          <w:u w:val="single"/>
          <w:lang w:val="cs-CZ"/>
        </w:rPr>
        <w:t>pozáruční nebo jako placené v záruční době</w:t>
      </w:r>
      <w:r>
        <w:rPr>
          <w:sz w:val="16"/>
          <w:lang w:val="cs-CZ"/>
        </w:rPr>
        <w:t xml:space="preserve"> (tj. nespadajících do rozsahu záruky), činí smluvní záruka na poskytnutý materiál 3 měsíce a na provedenou práci 3 měsíce, nebude-li dohodnuto jinak. Služby nespadající do rozsahu záruky poskytuje dodavatel na základě smluvního ujednání a za</w:t>
      </w:r>
      <w:r>
        <w:rPr>
          <w:spacing w:val="-14"/>
          <w:sz w:val="16"/>
          <w:lang w:val="cs-CZ"/>
        </w:rPr>
        <w:t xml:space="preserve"> </w:t>
      </w:r>
      <w:r>
        <w:rPr>
          <w:sz w:val="16"/>
          <w:lang w:val="cs-CZ"/>
        </w:rPr>
        <w:t>úplatu.</w:t>
      </w:r>
    </w:p>
    <w:p>
      <w:pPr>
        <w:pStyle w:val="Odstavecseseznamem"/>
        <w:numPr>
          <w:ilvl w:val="2"/>
          <w:numId w:val="7"/>
        </w:numPr>
        <w:tabs>
          <w:tab w:val="left" w:pos="713"/>
        </w:tabs>
        <w:spacing w:line="235" w:lineRule="auto"/>
        <w:ind w:hanging="508"/>
        <w:jc w:val="both"/>
        <w:rPr>
          <w:sz w:val="16"/>
          <w:lang w:val="cs-CZ"/>
        </w:rPr>
      </w:pPr>
      <w:r>
        <w:rPr>
          <w:sz w:val="16"/>
          <w:lang w:val="cs-CZ"/>
        </w:rPr>
        <w:t>Na použitý předmět plnění poskytuje dodavatel smluvní záruku v rozsahu specifikovaném v dodacím listu, resp.</w:t>
      </w:r>
      <w:r>
        <w:rPr>
          <w:spacing w:val="-7"/>
          <w:sz w:val="16"/>
          <w:lang w:val="cs-CZ"/>
        </w:rPr>
        <w:t xml:space="preserve"> </w:t>
      </w:r>
      <w:r>
        <w:rPr>
          <w:sz w:val="16"/>
          <w:lang w:val="cs-CZ"/>
        </w:rPr>
        <w:t>výdejce.</w:t>
      </w:r>
    </w:p>
    <w:p>
      <w:pPr>
        <w:pStyle w:val="Odstavecseseznamem"/>
        <w:numPr>
          <w:ilvl w:val="2"/>
          <w:numId w:val="7"/>
        </w:numPr>
        <w:tabs>
          <w:tab w:val="left" w:pos="713"/>
        </w:tabs>
        <w:spacing w:line="179" w:lineRule="exact"/>
        <w:ind w:hanging="508"/>
        <w:rPr>
          <w:sz w:val="16"/>
          <w:lang w:val="cs-CZ"/>
        </w:rPr>
      </w:pPr>
      <w:r>
        <w:rPr>
          <w:sz w:val="16"/>
          <w:lang w:val="cs-CZ"/>
        </w:rPr>
        <w:t>Spotřebitelské</w:t>
      </w:r>
      <w:r>
        <w:rPr>
          <w:spacing w:val="-1"/>
          <w:sz w:val="16"/>
          <w:lang w:val="cs-CZ"/>
        </w:rPr>
        <w:t xml:space="preserve"> </w:t>
      </w:r>
      <w:r>
        <w:rPr>
          <w:sz w:val="16"/>
          <w:lang w:val="cs-CZ"/>
        </w:rPr>
        <w:t>smlouvy:</w:t>
      </w:r>
    </w:p>
    <w:p>
      <w:pPr>
        <w:pStyle w:val="Zkladntext"/>
        <w:spacing w:before="1" w:line="235" w:lineRule="auto"/>
        <w:ind w:left="203"/>
        <w:rPr>
          <w:lang w:val="cs-CZ"/>
        </w:rPr>
      </w:pPr>
      <w:r>
        <w:rPr>
          <w:lang w:val="cs-CZ"/>
        </w:rPr>
        <w:t xml:space="preserve">V případě, kdy prodej zboží (resp. realizace předmětu plnění) je uskutečněn vůči spotřebiteli na základě </w:t>
      </w:r>
      <w:r>
        <w:rPr>
          <w:b/>
          <w:u w:val="single"/>
          <w:lang w:val="cs-CZ"/>
        </w:rPr>
        <w:t>smlouvy uzavřené prostřednictvím prostředků komunikace na dálku</w:t>
      </w:r>
      <w:r>
        <w:rPr>
          <w:b/>
          <w:lang w:val="cs-CZ"/>
        </w:rPr>
        <w:t xml:space="preserve"> </w:t>
      </w:r>
      <w:r>
        <w:rPr>
          <w:lang w:val="cs-CZ"/>
        </w:rPr>
        <w:t>(zejména elektronický obchod na Internetu), má spotřebitel právo odstoupit od smlouvy ve lhůtě čtrnácti dnů od uzavření smlouvy; pokud mu však byly údaje podle § 1843 až 1845 občanského zákoníku sděleny až po uzavření smlouvy, pak ve lhůtě čtrnácti dnů ode dne, kdy mu byly sděleny. Spotřebitel však nemůže odstoupit od smluv vyjmenovaných v § 1837 občanského zákoníku, kterými jsou zejména smlouvy na dodávku počítačových programů, porušil-li spotřebitel jejich původní obal, smlouvy na dodávku zboží upraveného podle přání spotřebitele nebo pro jeho osobu, smlouvy na dodávku zboží nebo služeb, jejichž cena závisí na výchylkách finančního trhu nezávisle na vůli dodavatele a další smlouvy vyjmenované</w:t>
      </w:r>
      <w:r>
        <w:rPr>
          <w:spacing w:val="-9"/>
          <w:lang w:val="cs-CZ"/>
        </w:rPr>
        <w:t xml:space="preserve"> </w:t>
      </w:r>
      <w:r>
        <w:rPr>
          <w:lang w:val="cs-CZ"/>
        </w:rPr>
        <w:t>zákonem.</w:t>
      </w:r>
    </w:p>
    <w:p>
      <w:pPr>
        <w:pStyle w:val="Zkladntext"/>
        <w:spacing w:before="1" w:line="235" w:lineRule="auto"/>
        <w:ind w:left="203"/>
        <w:rPr>
          <w:lang w:val="cs-CZ"/>
        </w:rPr>
      </w:pPr>
      <w:r>
        <w:rPr>
          <w:lang w:val="cs-CZ"/>
        </w:rPr>
        <w:t>Oznámení spotřebitele o odstoupení od smlouvy uzavřené na dálku musí být dodavateli doručeno do skončení lhůty pro odstoupení a dodavateli musí být řádně vráceno kompletní zboží (plnění) v původním stavu se všemi doklady a dokumentací, které byly spotřebiteli dodány. Pro rychlé vyřízení věci je nutné vrátit zboží na stejnou adresu dodavatele, která je v dokladech ke zboží uvedena jako místo, z něhož bylo zboží kupujícímu odesláno. Důsledkem odstoupení je povinnost stran vrátit si vše, co podle smlouvy dostaly. Přímé náklady na vrácení zboží nese spotřebitel. Po odstoupení a řádném vrácení zboží spotřebitelem je dodavatel povinen bez zbytečného odkladu vrátit</w:t>
      </w:r>
    </w:p>
    <w:p>
      <w:pPr>
        <w:pStyle w:val="Zkladntext"/>
        <w:spacing w:before="76" w:line="235" w:lineRule="auto"/>
        <w:ind w:left="261" w:right="136"/>
        <w:rPr>
          <w:lang w:val="cs-CZ"/>
        </w:rPr>
      </w:pPr>
      <w:r>
        <w:rPr>
          <w:lang w:val="cs-CZ"/>
        </w:rPr>
        <w:br w:type="column"/>
      </w:r>
      <w:r>
        <w:rPr>
          <w:lang w:val="cs-CZ"/>
        </w:rPr>
        <w:lastRenderedPageBreak/>
        <w:t>spotřebiteli částku za zboží (plnění) zaplacenou. Smlouvu uzavřenou na dálku se spotřebitelem lze zrušit jen za podmínek stanovených zákonem.</w:t>
      </w:r>
    </w:p>
    <w:p>
      <w:pPr>
        <w:pStyle w:val="Nadpis5"/>
        <w:numPr>
          <w:ilvl w:val="1"/>
          <w:numId w:val="5"/>
        </w:numPr>
        <w:tabs>
          <w:tab w:val="left" w:pos="600"/>
        </w:tabs>
        <w:rPr>
          <w:lang w:val="cs-CZ"/>
        </w:rPr>
      </w:pPr>
      <w:r>
        <w:rPr>
          <w:lang w:val="cs-CZ"/>
        </w:rPr>
        <w:t>Záruční</w:t>
      </w:r>
      <w:r>
        <w:rPr>
          <w:spacing w:val="-2"/>
          <w:lang w:val="cs-CZ"/>
        </w:rPr>
        <w:t xml:space="preserve"> </w:t>
      </w:r>
      <w:r>
        <w:rPr>
          <w:lang w:val="cs-CZ"/>
        </w:rPr>
        <w:t>podmínky:</w:t>
      </w:r>
    </w:p>
    <w:p>
      <w:pPr>
        <w:pStyle w:val="Odstavecseseznamem"/>
        <w:numPr>
          <w:ilvl w:val="2"/>
          <w:numId w:val="5"/>
        </w:numPr>
        <w:tabs>
          <w:tab w:val="left" w:pos="771"/>
        </w:tabs>
        <w:spacing w:line="180" w:lineRule="exact"/>
        <w:jc w:val="both"/>
        <w:rPr>
          <w:sz w:val="16"/>
          <w:lang w:val="cs-CZ"/>
        </w:rPr>
      </w:pPr>
      <w:r>
        <w:rPr>
          <w:sz w:val="16"/>
          <w:u w:val="single"/>
          <w:lang w:val="cs-CZ"/>
        </w:rPr>
        <w:t>MÍSTO A ZPŮSOB UPLATNĚNÍ</w:t>
      </w:r>
      <w:r>
        <w:rPr>
          <w:spacing w:val="-9"/>
          <w:sz w:val="16"/>
          <w:u w:val="single"/>
          <w:lang w:val="cs-CZ"/>
        </w:rPr>
        <w:t xml:space="preserve"> </w:t>
      </w:r>
      <w:r>
        <w:rPr>
          <w:sz w:val="16"/>
          <w:u w:val="single"/>
          <w:lang w:val="cs-CZ"/>
        </w:rPr>
        <w:t>REKLAMACE</w:t>
      </w:r>
      <w:r>
        <w:rPr>
          <w:sz w:val="16"/>
          <w:lang w:val="cs-CZ"/>
        </w:rPr>
        <w:t>:</w:t>
      </w:r>
    </w:p>
    <w:p>
      <w:pPr>
        <w:pStyle w:val="Zkladntext"/>
        <w:spacing w:before="1" w:line="235" w:lineRule="auto"/>
        <w:ind w:left="261" w:right="136"/>
        <w:rPr>
          <w:lang w:val="cs-CZ"/>
        </w:rPr>
      </w:pPr>
      <w:r>
        <w:rPr>
          <w:lang w:val="cs-CZ"/>
        </w:rPr>
        <w:t xml:space="preserve">Místo   a   způsob   uplatnění   reklamace   se   řídí   částí    10 Reklamační    řád    a částí </w:t>
      </w:r>
      <w:proofErr w:type="gramStart"/>
      <w:r>
        <w:rPr>
          <w:lang w:val="cs-CZ"/>
        </w:rPr>
        <w:t>11.Odstranění</w:t>
      </w:r>
      <w:proofErr w:type="gramEnd"/>
      <w:r>
        <w:rPr>
          <w:lang w:val="cs-CZ"/>
        </w:rPr>
        <w:t xml:space="preserve"> vad předmětu plnění v záruční době těchto Všeobecných podmínek, není-li smlouvou sjednáno</w:t>
      </w:r>
      <w:r>
        <w:rPr>
          <w:spacing w:val="-2"/>
          <w:lang w:val="cs-CZ"/>
        </w:rPr>
        <w:t xml:space="preserve"> </w:t>
      </w:r>
      <w:r>
        <w:rPr>
          <w:lang w:val="cs-CZ"/>
        </w:rPr>
        <w:t>jinak.</w:t>
      </w:r>
    </w:p>
    <w:p>
      <w:pPr>
        <w:pStyle w:val="Zkladntext"/>
        <w:spacing w:line="179" w:lineRule="exact"/>
        <w:ind w:left="261"/>
        <w:rPr>
          <w:lang w:val="cs-CZ"/>
        </w:rPr>
      </w:pPr>
      <w:r>
        <w:rPr>
          <w:lang w:val="cs-CZ"/>
        </w:rPr>
        <w:t>Při uplatnění reklamace je vždy nutno předložit (dále viz část. 10 Reklamační řád):</w:t>
      </w:r>
    </w:p>
    <w:p>
      <w:pPr>
        <w:pStyle w:val="Odstavecseseznamem"/>
        <w:numPr>
          <w:ilvl w:val="0"/>
          <w:numId w:val="4"/>
        </w:numPr>
        <w:tabs>
          <w:tab w:val="left" w:pos="545"/>
        </w:tabs>
        <w:spacing w:before="1" w:line="235" w:lineRule="auto"/>
        <w:ind w:right="134" w:hanging="360"/>
        <w:jc w:val="both"/>
        <w:rPr>
          <w:sz w:val="16"/>
          <w:lang w:val="cs-CZ"/>
        </w:rPr>
      </w:pPr>
      <w:r>
        <w:rPr>
          <w:sz w:val="16"/>
          <w:lang w:val="cs-CZ"/>
        </w:rPr>
        <w:t xml:space="preserve">Doklady o zakoupení zboží (či dodání díla), kterými jsou </w:t>
      </w:r>
      <w:r>
        <w:rPr>
          <w:b/>
          <w:sz w:val="16"/>
          <w:lang w:val="cs-CZ"/>
        </w:rPr>
        <w:t xml:space="preserve">faktura </w:t>
      </w:r>
      <w:r>
        <w:rPr>
          <w:sz w:val="16"/>
          <w:lang w:val="cs-CZ"/>
        </w:rPr>
        <w:t xml:space="preserve">nebo jiný účetní doklad a současně dodací doklad se sériovým číslem dodaného zboží/díla, tj. </w:t>
      </w:r>
      <w:r>
        <w:rPr>
          <w:b/>
          <w:sz w:val="16"/>
          <w:lang w:val="cs-CZ"/>
        </w:rPr>
        <w:t xml:space="preserve">dodací list </w:t>
      </w:r>
      <w:r>
        <w:rPr>
          <w:sz w:val="16"/>
          <w:lang w:val="cs-CZ"/>
        </w:rPr>
        <w:t>nebo výdejka nebo výrobní list PC sestavy nebo servisní</w:t>
      </w:r>
      <w:r>
        <w:rPr>
          <w:spacing w:val="-23"/>
          <w:sz w:val="16"/>
          <w:lang w:val="cs-CZ"/>
        </w:rPr>
        <w:t xml:space="preserve"> </w:t>
      </w:r>
      <w:r>
        <w:rPr>
          <w:sz w:val="16"/>
          <w:lang w:val="cs-CZ"/>
        </w:rPr>
        <w:t>protokol.</w:t>
      </w:r>
    </w:p>
    <w:p>
      <w:pPr>
        <w:pStyle w:val="Odstavecseseznamem"/>
        <w:numPr>
          <w:ilvl w:val="0"/>
          <w:numId w:val="4"/>
        </w:numPr>
        <w:tabs>
          <w:tab w:val="left" w:pos="545"/>
        </w:tabs>
        <w:spacing w:before="1" w:line="235" w:lineRule="auto"/>
        <w:ind w:right="134" w:hanging="360"/>
        <w:jc w:val="both"/>
        <w:rPr>
          <w:sz w:val="16"/>
          <w:lang w:val="cs-CZ"/>
        </w:rPr>
      </w:pPr>
      <w:r>
        <w:rPr>
          <w:sz w:val="16"/>
          <w:lang w:val="cs-CZ"/>
        </w:rPr>
        <w:t>V případě zásilkového prodeje dále předložit přepravní (poštovní) doklad o převzetí zboží/díla.</w:t>
      </w:r>
    </w:p>
    <w:p>
      <w:pPr>
        <w:pStyle w:val="Odstavecseseznamem"/>
        <w:numPr>
          <w:ilvl w:val="0"/>
          <w:numId w:val="4"/>
        </w:numPr>
        <w:tabs>
          <w:tab w:val="left" w:pos="545"/>
        </w:tabs>
        <w:spacing w:line="235" w:lineRule="auto"/>
        <w:ind w:right="136" w:hanging="360"/>
        <w:jc w:val="both"/>
        <w:rPr>
          <w:sz w:val="16"/>
          <w:lang w:val="cs-CZ"/>
        </w:rPr>
      </w:pPr>
      <w:r>
        <w:rPr>
          <w:b/>
          <w:sz w:val="16"/>
          <w:lang w:val="cs-CZ"/>
        </w:rPr>
        <w:t>Reklamované zboží/dílo</w:t>
      </w:r>
      <w:r>
        <w:rPr>
          <w:sz w:val="16"/>
          <w:lang w:val="cs-CZ"/>
        </w:rPr>
        <w:t>, které je kompletní včetně dokumentace, s neporušenými záručními nálepkami a dále při prodeji zboží, na něž se nevztahují zvláštní ustanovení o prodeji zboží v obchodě podle občanského zákoníku, musí být reklamované zboží/dílo předloženo také v obalu, který je</w:t>
      </w:r>
      <w:r>
        <w:rPr>
          <w:spacing w:val="-11"/>
          <w:sz w:val="16"/>
          <w:lang w:val="cs-CZ"/>
        </w:rPr>
        <w:t xml:space="preserve"> </w:t>
      </w:r>
      <w:r>
        <w:rPr>
          <w:sz w:val="16"/>
          <w:lang w:val="cs-CZ"/>
        </w:rPr>
        <w:t>původní.</w:t>
      </w:r>
    </w:p>
    <w:p>
      <w:pPr>
        <w:pStyle w:val="Odstavecseseznamem"/>
        <w:numPr>
          <w:ilvl w:val="0"/>
          <w:numId w:val="4"/>
        </w:numPr>
        <w:tabs>
          <w:tab w:val="left" w:pos="545"/>
        </w:tabs>
        <w:spacing w:line="179" w:lineRule="exact"/>
        <w:ind w:left="544" w:hanging="283"/>
        <w:jc w:val="both"/>
        <w:rPr>
          <w:sz w:val="16"/>
          <w:lang w:val="cs-CZ"/>
        </w:rPr>
      </w:pPr>
      <w:r>
        <w:rPr>
          <w:sz w:val="16"/>
          <w:lang w:val="cs-CZ"/>
        </w:rPr>
        <w:t xml:space="preserve">Zároveň je třeba </w:t>
      </w:r>
      <w:proofErr w:type="gramStart"/>
      <w:r>
        <w:rPr>
          <w:sz w:val="16"/>
          <w:lang w:val="cs-CZ"/>
        </w:rPr>
        <w:t xml:space="preserve">uvést </w:t>
      </w:r>
      <w:r>
        <w:rPr>
          <w:b/>
          <w:sz w:val="16"/>
          <w:lang w:val="cs-CZ"/>
        </w:rPr>
        <w:t>o jakou</w:t>
      </w:r>
      <w:proofErr w:type="gramEnd"/>
      <w:r>
        <w:rPr>
          <w:b/>
          <w:sz w:val="16"/>
          <w:lang w:val="cs-CZ"/>
        </w:rPr>
        <w:t xml:space="preserve"> vadu jde, a jak se</w:t>
      </w:r>
      <w:r>
        <w:rPr>
          <w:b/>
          <w:spacing w:val="-13"/>
          <w:sz w:val="16"/>
          <w:lang w:val="cs-CZ"/>
        </w:rPr>
        <w:t xml:space="preserve"> </w:t>
      </w:r>
      <w:r>
        <w:rPr>
          <w:b/>
          <w:sz w:val="16"/>
          <w:lang w:val="cs-CZ"/>
        </w:rPr>
        <w:t>projevuje</w:t>
      </w:r>
      <w:r>
        <w:rPr>
          <w:sz w:val="16"/>
          <w:lang w:val="cs-CZ"/>
        </w:rPr>
        <w:t>.</w:t>
      </w:r>
    </w:p>
    <w:p>
      <w:pPr>
        <w:pStyle w:val="Odstavecseseznamem"/>
        <w:numPr>
          <w:ilvl w:val="0"/>
          <w:numId w:val="4"/>
        </w:numPr>
        <w:tabs>
          <w:tab w:val="left" w:pos="545"/>
        </w:tabs>
        <w:spacing w:before="1" w:line="235" w:lineRule="auto"/>
        <w:ind w:right="136" w:hanging="360"/>
        <w:jc w:val="both"/>
        <w:rPr>
          <w:sz w:val="16"/>
          <w:lang w:val="cs-CZ"/>
        </w:rPr>
      </w:pPr>
      <w:r>
        <w:rPr>
          <w:sz w:val="16"/>
          <w:lang w:val="cs-CZ"/>
        </w:rPr>
        <w:t>V případě zboží/díla se zakoupenou rozšířenou zárukou předložit příslušnou registrační kartu (např. u služeb AC</w:t>
      </w:r>
      <w:r>
        <w:rPr>
          <w:spacing w:val="-6"/>
          <w:sz w:val="16"/>
          <w:lang w:val="cs-CZ"/>
        </w:rPr>
        <w:t xml:space="preserve"> </w:t>
      </w:r>
      <w:r>
        <w:rPr>
          <w:sz w:val="16"/>
          <w:lang w:val="cs-CZ"/>
        </w:rPr>
        <w:t>asistent).</w:t>
      </w:r>
    </w:p>
    <w:p>
      <w:pPr>
        <w:pStyle w:val="Odstavecseseznamem"/>
        <w:numPr>
          <w:ilvl w:val="2"/>
          <w:numId w:val="5"/>
        </w:numPr>
        <w:tabs>
          <w:tab w:val="left" w:pos="771"/>
        </w:tabs>
        <w:spacing w:line="179" w:lineRule="exact"/>
        <w:jc w:val="both"/>
        <w:rPr>
          <w:sz w:val="16"/>
          <w:lang w:val="cs-CZ"/>
        </w:rPr>
      </w:pPr>
      <w:r>
        <w:rPr>
          <w:sz w:val="16"/>
          <w:lang w:val="cs-CZ"/>
        </w:rPr>
        <w:t>PODMÍNKY NAKLÁDÁNÍ SE ZBOŽÍM ČI</w:t>
      </w:r>
      <w:r>
        <w:rPr>
          <w:spacing w:val="-12"/>
          <w:sz w:val="16"/>
          <w:lang w:val="cs-CZ"/>
        </w:rPr>
        <w:t xml:space="preserve"> </w:t>
      </w:r>
      <w:r>
        <w:rPr>
          <w:sz w:val="16"/>
          <w:lang w:val="cs-CZ"/>
        </w:rPr>
        <w:t>DÍLEM:</w:t>
      </w:r>
    </w:p>
    <w:p>
      <w:pPr>
        <w:pStyle w:val="Odstavecseseznamem"/>
        <w:numPr>
          <w:ilvl w:val="0"/>
          <w:numId w:val="3"/>
        </w:numPr>
        <w:tabs>
          <w:tab w:val="left" w:pos="382"/>
        </w:tabs>
        <w:spacing w:before="1" w:line="235" w:lineRule="auto"/>
        <w:ind w:right="136" w:hanging="84"/>
        <w:rPr>
          <w:sz w:val="16"/>
          <w:lang w:val="cs-CZ"/>
        </w:rPr>
      </w:pPr>
      <w:r>
        <w:rPr>
          <w:sz w:val="16"/>
          <w:lang w:val="cs-CZ"/>
        </w:rPr>
        <w:t>Zboží/dílo je určeno pro provoz při napájecí síti odpovídající technické normě, v prostředí bez výkyvů teplot a vlhkosti. Je třeba ho řádně udržovat a provozně zatěžovat podle předpisu výrobce či dodavatele (viz návod k obsluze, resp. uživatelská příručka apod.).</w:t>
      </w:r>
    </w:p>
    <w:p>
      <w:pPr>
        <w:pStyle w:val="Odstavecseseznamem"/>
        <w:numPr>
          <w:ilvl w:val="0"/>
          <w:numId w:val="3"/>
        </w:numPr>
        <w:tabs>
          <w:tab w:val="left" w:pos="358"/>
        </w:tabs>
        <w:spacing w:line="235" w:lineRule="auto"/>
        <w:ind w:right="136" w:hanging="84"/>
        <w:rPr>
          <w:sz w:val="16"/>
          <w:lang w:val="cs-CZ"/>
        </w:rPr>
      </w:pPr>
      <w:r>
        <w:rPr>
          <w:sz w:val="16"/>
          <w:lang w:val="cs-CZ"/>
        </w:rPr>
        <w:t xml:space="preserve">Se zbožím/dílem je nutné nakládat v souladu s návodem k jeho obsluze a dodržovat podmínky provozu a údržby zboží/díla. Se zbožím/dílem je nutné </w:t>
      </w:r>
      <w:proofErr w:type="gramStart"/>
      <w:r>
        <w:rPr>
          <w:sz w:val="16"/>
          <w:lang w:val="cs-CZ"/>
        </w:rPr>
        <w:t>používat  pouze</w:t>
      </w:r>
      <w:proofErr w:type="gramEnd"/>
      <w:r>
        <w:rPr>
          <w:sz w:val="16"/>
          <w:lang w:val="cs-CZ"/>
        </w:rPr>
        <w:t xml:space="preserve"> takový spotřební materiál a příslušenství, které jsou doporučeny výrobcem zboží/díla (např. tonery, válce, tiskové hlavy, inkoustové </w:t>
      </w:r>
      <w:proofErr w:type="spellStart"/>
      <w:r>
        <w:rPr>
          <w:sz w:val="16"/>
          <w:lang w:val="cs-CZ"/>
        </w:rPr>
        <w:t>cartridge</w:t>
      </w:r>
      <w:proofErr w:type="spellEnd"/>
      <w:r>
        <w:rPr>
          <w:spacing w:val="-11"/>
          <w:sz w:val="16"/>
          <w:lang w:val="cs-CZ"/>
        </w:rPr>
        <w:t xml:space="preserve"> </w:t>
      </w:r>
      <w:r>
        <w:rPr>
          <w:sz w:val="16"/>
          <w:lang w:val="cs-CZ"/>
        </w:rPr>
        <w:t>atd.)</w:t>
      </w:r>
    </w:p>
    <w:p>
      <w:pPr>
        <w:pStyle w:val="Odstavecseseznamem"/>
        <w:numPr>
          <w:ilvl w:val="0"/>
          <w:numId w:val="3"/>
        </w:numPr>
        <w:tabs>
          <w:tab w:val="left" w:pos="377"/>
        </w:tabs>
        <w:spacing w:before="1" w:line="235" w:lineRule="auto"/>
        <w:ind w:right="136" w:hanging="84"/>
        <w:rPr>
          <w:sz w:val="16"/>
          <w:lang w:val="cs-CZ"/>
        </w:rPr>
      </w:pPr>
      <w:r>
        <w:rPr>
          <w:sz w:val="16"/>
          <w:lang w:val="cs-CZ"/>
        </w:rPr>
        <w:t>Jakékoli zásahy do zboží/díla mohou být provedeny pouze dodavatelem nebo jím výslovně zmocněným</w:t>
      </w:r>
      <w:r>
        <w:rPr>
          <w:spacing w:val="-1"/>
          <w:sz w:val="16"/>
          <w:lang w:val="cs-CZ"/>
        </w:rPr>
        <w:t xml:space="preserve"> </w:t>
      </w:r>
      <w:r>
        <w:rPr>
          <w:sz w:val="16"/>
          <w:lang w:val="cs-CZ"/>
        </w:rPr>
        <w:t>subjektem.</w:t>
      </w:r>
    </w:p>
    <w:p>
      <w:pPr>
        <w:pStyle w:val="Odstavecseseznamem"/>
        <w:numPr>
          <w:ilvl w:val="0"/>
          <w:numId w:val="3"/>
        </w:numPr>
        <w:tabs>
          <w:tab w:val="left" w:pos="363"/>
        </w:tabs>
        <w:spacing w:line="235" w:lineRule="auto"/>
        <w:ind w:right="136" w:hanging="84"/>
        <w:rPr>
          <w:sz w:val="16"/>
          <w:lang w:val="cs-CZ"/>
        </w:rPr>
      </w:pPr>
      <w:r>
        <w:rPr>
          <w:sz w:val="16"/>
          <w:lang w:val="cs-CZ"/>
        </w:rPr>
        <w:t>V případě paměťových médií je nutné, aby odběratel (uživatel) v rámci jeho obecné povinnosti prevence škod zajišťoval přiměřenou a obvyklou ochranu dat. Zařízení pro ukládání dat jsou technická zařízení, jejichž poruchovost je objektivním jevem a má stochastický charakter. Dodavatel nepřejímá odpovědnost za data na těchto médiích uložená. Dodavatel doporučuje uživateli preventivně zálohovat uložená data na vhodném</w:t>
      </w:r>
      <w:r>
        <w:rPr>
          <w:spacing w:val="-1"/>
          <w:sz w:val="16"/>
          <w:lang w:val="cs-CZ"/>
        </w:rPr>
        <w:t xml:space="preserve"> </w:t>
      </w:r>
      <w:r>
        <w:rPr>
          <w:sz w:val="16"/>
          <w:lang w:val="cs-CZ"/>
        </w:rPr>
        <w:t>zařízení.</w:t>
      </w:r>
    </w:p>
    <w:p>
      <w:pPr>
        <w:pStyle w:val="Odstavecseseznamem"/>
        <w:numPr>
          <w:ilvl w:val="0"/>
          <w:numId w:val="3"/>
        </w:numPr>
        <w:tabs>
          <w:tab w:val="left" w:pos="384"/>
        </w:tabs>
        <w:spacing w:line="235" w:lineRule="auto"/>
        <w:ind w:right="135" w:hanging="84"/>
        <w:rPr>
          <w:sz w:val="16"/>
          <w:lang w:val="cs-CZ"/>
        </w:rPr>
      </w:pPr>
      <w:r>
        <w:rPr>
          <w:sz w:val="16"/>
          <w:lang w:val="cs-CZ"/>
        </w:rPr>
        <w:t>Při předání zboží/díla k opravě se předpokládá, že uživatel zabezpečil vytvoření odpovídající zálohy uložených dat i programů a zabránil jejich možnému zneužití. Dodavatel neodpovídá za případnou ztrátu či poškození dat a programů, které jsou uloženy na zařízeních pro jejich</w:t>
      </w:r>
      <w:r>
        <w:rPr>
          <w:spacing w:val="-3"/>
          <w:sz w:val="16"/>
          <w:lang w:val="cs-CZ"/>
        </w:rPr>
        <w:t xml:space="preserve"> </w:t>
      </w:r>
      <w:r>
        <w:rPr>
          <w:sz w:val="16"/>
          <w:lang w:val="cs-CZ"/>
        </w:rPr>
        <w:t>ukládání.</w:t>
      </w:r>
    </w:p>
    <w:p>
      <w:pPr>
        <w:pStyle w:val="Odstavecseseznamem"/>
        <w:numPr>
          <w:ilvl w:val="0"/>
          <w:numId w:val="3"/>
        </w:numPr>
        <w:tabs>
          <w:tab w:val="left" w:pos="344"/>
        </w:tabs>
        <w:spacing w:before="1" w:line="235" w:lineRule="auto"/>
        <w:ind w:right="136" w:hanging="84"/>
        <w:rPr>
          <w:sz w:val="16"/>
          <w:lang w:val="cs-CZ"/>
        </w:rPr>
      </w:pPr>
      <w:r>
        <w:rPr>
          <w:sz w:val="16"/>
          <w:lang w:val="cs-CZ"/>
        </w:rPr>
        <w:t>Dodavatel negarantuje plnou slučitelnost prodaných počítačů a počítačových součástí s jinými díly, které pracovníci dodavatele nebo jím pověřené osoby neschválí, ani se SW aplikacemi, jejichž funkčnost nebyla odběratelem výslovně požadována v</w:t>
      </w:r>
      <w:r>
        <w:rPr>
          <w:spacing w:val="-25"/>
          <w:sz w:val="16"/>
          <w:lang w:val="cs-CZ"/>
        </w:rPr>
        <w:t xml:space="preserve"> </w:t>
      </w:r>
      <w:r>
        <w:rPr>
          <w:sz w:val="16"/>
          <w:lang w:val="cs-CZ"/>
        </w:rPr>
        <w:t>objednávce.</w:t>
      </w:r>
    </w:p>
    <w:p>
      <w:pPr>
        <w:pStyle w:val="Odstavecseseznamem"/>
        <w:numPr>
          <w:ilvl w:val="0"/>
          <w:numId w:val="3"/>
        </w:numPr>
        <w:tabs>
          <w:tab w:val="left" w:pos="387"/>
        </w:tabs>
        <w:spacing w:line="235" w:lineRule="auto"/>
        <w:ind w:right="134" w:hanging="84"/>
        <w:rPr>
          <w:sz w:val="16"/>
          <w:lang w:val="cs-CZ"/>
        </w:rPr>
      </w:pPr>
      <w:r>
        <w:rPr>
          <w:lang w:val="cs-CZ"/>
        </w:rPr>
        <w:tab/>
      </w:r>
      <w:r>
        <w:rPr>
          <w:sz w:val="16"/>
          <w:lang w:val="cs-CZ"/>
        </w:rPr>
        <w:t>Dodavatel negarantuje plnou funkčnost aplikačního SW ve verzích, které nejsou vhodné (nejsou vytvořeny) pro odběratelem objednaný, resp. používaný operační systém. Za případné závady způsobené omezenou funkčností SW aplikací, které nesplňují podmínku specifikovanou v předchozí větě, dodavatel</w:t>
      </w:r>
      <w:r>
        <w:rPr>
          <w:spacing w:val="-18"/>
          <w:sz w:val="16"/>
          <w:lang w:val="cs-CZ"/>
        </w:rPr>
        <w:t xml:space="preserve"> </w:t>
      </w:r>
      <w:r>
        <w:rPr>
          <w:sz w:val="16"/>
          <w:lang w:val="cs-CZ"/>
        </w:rPr>
        <w:t>neodpovídá.</w:t>
      </w:r>
    </w:p>
    <w:p>
      <w:pPr>
        <w:pStyle w:val="Odstavecseseznamem"/>
        <w:numPr>
          <w:ilvl w:val="0"/>
          <w:numId w:val="3"/>
        </w:numPr>
        <w:tabs>
          <w:tab w:val="left" w:pos="344"/>
        </w:tabs>
        <w:spacing w:line="235" w:lineRule="auto"/>
        <w:ind w:right="136" w:hanging="84"/>
        <w:rPr>
          <w:sz w:val="16"/>
          <w:lang w:val="cs-CZ"/>
        </w:rPr>
      </w:pPr>
      <w:r>
        <w:rPr>
          <w:sz w:val="16"/>
          <w:lang w:val="cs-CZ"/>
        </w:rPr>
        <w:t>Pokud bude odběratel (uživatel) žádat, aby dodavatel nainstaloval do počítače přídavné zařízení nebo díly, které nejsou předmětem dodávky dodavatele, může být přání odběratele vyhověno, dodavatel však nenese žádnou odpovědnost za změnu povahy zboží, která tímto bude způsobena, ani za závady či škody tímto vzniklé, pokud dodavatel neschválí jejich slučitelnost s daným</w:t>
      </w:r>
      <w:r>
        <w:rPr>
          <w:spacing w:val="-12"/>
          <w:sz w:val="16"/>
          <w:lang w:val="cs-CZ"/>
        </w:rPr>
        <w:t xml:space="preserve"> </w:t>
      </w:r>
      <w:r>
        <w:rPr>
          <w:sz w:val="16"/>
          <w:lang w:val="cs-CZ"/>
        </w:rPr>
        <w:t>počítačem.</w:t>
      </w:r>
    </w:p>
    <w:p>
      <w:pPr>
        <w:pStyle w:val="Zkladntext"/>
        <w:spacing w:before="8"/>
        <w:ind w:left="0"/>
        <w:jc w:val="left"/>
        <w:rPr>
          <w:sz w:val="15"/>
          <w:lang w:val="cs-CZ"/>
        </w:rPr>
      </w:pPr>
    </w:p>
    <w:p>
      <w:pPr>
        <w:pStyle w:val="Odstavecseseznamem"/>
        <w:numPr>
          <w:ilvl w:val="2"/>
          <w:numId w:val="5"/>
        </w:numPr>
        <w:tabs>
          <w:tab w:val="left" w:pos="771"/>
        </w:tabs>
        <w:spacing w:before="1" w:line="235" w:lineRule="auto"/>
        <w:ind w:right="134"/>
        <w:jc w:val="both"/>
        <w:rPr>
          <w:sz w:val="16"/>
          <w:lang w:val="cs-CZ"/>
        </w:rPr>
      </w:pPr>
      <w:r>
        <w:rPr>
          <w:sz w:val="16"/>
          <w:lang w:val="cs-CZ"/>
        </w:rPr>
        <w:t>PŘI NEOPRÁVNĚNÉ REKLAMACI (nebude-li zjištěna oznámená závada nebo půjde-li o závadu nespadající do záruky) je odběratel povinen před převzetím zařízení uhradit vzniklé náklady na přepravu a náklady na testování podle aktuálního platného ceníku servisního střediska, které provádí záruční opravy daného</w:t>
      </w:r>
      <w:r>
        <w:rPr>
          <w:spacing w:val="-1"/>
          <w:sz w:val="16"/>
          <w:lang w:val="cs-CZ"/>
        </w:rPr>
        <w:t xml:space="preserve"> </w:t>
      </w:r>
      <w:r>
        <w:rPr>
          <w:sz w:val="16"/>
          <w:lang w:val="cs-CZ"/>
        </w:rPr>
        <w:t>zařízení.</w:t>
      </w:r>
    </w:p>
    <w:p>
      <w:pPr>
        <w:pStyle w:val="Nadpis4"/>
        <w:numPr>
          <w:ilvl w:val="0"/>
          <w:numId w:val="7"/>
        </w:numPr>
        <w:tabs>
          <w:tab w:val="left" w:pos="601"/>
        </w:tabs>
        <w:spacing w:before="38"/>
        <w:ind w:left="600" w:hanging="396"/>
        <w:rPr>
          <w:lang w:val="cs-CZ"/>
        </w:rPr>
      </w:pPr>
      <w:r>
        <w:rPr>
          <w:lang w:val="cs-CZ"/>
        </w:rPr>
        <w:t>Reklamační řád</w:t>
      </w:r>
    </w:p>
    <w:p>
      <w:pPr>
        <w:pStyle w:val="Odstavecseseznamem"/>
        <w:numPr>
          <w:ilvl w:val="1"/>
          <w:numId w:val="7"/>
        </w:numPr>
        <w:tabs>
          <w:tab w:val="left" w:pos="600"/>
        </w:tabs>
        <w:spacing w:before="3" w:line="235" w:lineRule="auto"/>
        <w:ind w:left="600" w:right="136"/>
        <w:jc w:val="both"/>
        <w:rPr>
          <w:sz w:val="16"/>
          <w:lang w:val="cs-CZ"/>
        </w:rPr>
      </w:pPr>
      <w:r>
        <w:rPr>
          <w:sz w:val="16"/>
          <w:lang w:val="cs-CZ"/>
        </w:rPr>
        <w:t>Odběratel je povinen zajistit prohlídku předmětu plnění co nejdříve po okamžiku přechodu nebezpečí škody na předmětu plnění (dále „okamžik přechodu nebezpečí“). Jestliže odběratel předmět plnění neprohlédne anebo nezařídí, aby byl prohlédnut v okamžiku přechodu nebezpečí, může uplatnit nároky z vad zjistitelných při této prohlídce, jen když prokáže, že tyto vady měl předmět plnění již v okamžiku přechodu</w:t>
      </w:r>
      <w:r>
        <w:rPr>
          <w:spacing w:val="-5"/>
          <w:sz w:val="16"/>
          <w:lang w:val="cs-CZ"/>
        </w:rPr>
        <w:t xml:space="preserve"> </w:t>
      </w:r>
      <w:r>
        <w:rPr>
          <w:sz w:val="16"/>
          <w:lang w:val="cs-CZ"/>
        </w:rPr>
        <w:t>nebezpečí.</w:t>
      </w:r>
    </w:p>
    <w:p>
      <w:pPr>
        <w:pStyle w:val="Odstavecseseznamem"/>
        <w:numPr>
          <w:ilvl w:val="1"/>
          <w:numId w:val="7"/>
        </w:numPr>
        <w:tabs>
          <w:tab w:val="left" w:pos="600"/>
        </w:tabs>
        <w:spacing w:before="1" w:line="235" w:lineRule="auto"/>
        <w:ind w:left="600" w:right="137"/>
        <w:jc w:val="both"/>
        <w:rPr>
          <w:sz w:val="16"/>
          <w:lang w:val="cs-CZ"/>
        </w:rPr>
      </w:pPr>
      <w:r>
        <w:rPr>
          <w:sz w:val="16"/>
          <w:lang w:val="cs-CZ"/>
        </w:rPr>
        <w:t>Odběratel je povinen všechny takto zjištěné vady oznámit ihned dodavateli. Vady, které mohly být zjištěny později při vynaložení odborné péče, je odběratel povinen oznámit dodavateli nejpozději do konce záruční</w:t>
      </w:r>
      <w:r>
        <w:rPr>
          <w:spacing w:val="-8"/>
          <w:sz w:val="16"/>
          <w:lang w:val="cs-CZ"/>
        </w:rPr>
        <w:t xml:space="preserve"> </w:t>
      </w:r>
      <w:r>
        <w:rPr>
          <w:sz w:val="16"/>
          <w:lang w:val="cs-CZ"/>
        </w:rPr>
        <w:t>doby.</w:t>
      </w:r>
    </w:p>
    <w:p>
      <w:pPr>
        <w:pStyle w:val="Odstavecseseznamem"/>
        <w:numPr>
          <w:ilvl w:val="1"/>
          <w:numId w:val="7"/>
        </w:numPr>
        <w:tabs>
          <w:tab w:val="left" w:pos="600"/>
        </w:tabs>
        <w:spacing w:line="235" w:lineRule="auto"/>
        <w:ind w:left="600" w:right="134"/>
        <w:jc w:val="both"/>
        <w:rPr>
          <w:sz w:val="16"/>
          <w:lang w:val="cs-CZ"/>
        </w:rPr>
      </w:pPr>
      <w:r>
        <w:rPr>
          <w:sz w:val="16"/>
          <w:lang w:val="cs-CZ"/>
        </w:rPr>
        <w:t>Odběratel je povinen uplatňovat reklamaci (vyjma PC systémů, serverů AUTOCONT) předložením předmětu plnění a písemným oznámením (popř. faxem nebo e-mailem) obsahujícím co nejpodrobnější specifikaci zjištěné vady předmětu plnění nebo může takovou reklamaci uplatnit osobně. Místem reklamace je provozovna dodavatelem k tomu určená, resp. místo, kde byl odběratelem zakoupen předmět plnění (výhradně u předmětů plnění zakoupených pro vlastní potřebu odběratele). Předmět plnění, zakoupený za účelem dalšího prodeje, je možné reklamovat jen v provozovně dodavatelem k tomu určené. Na některá zařízení, která mohou být součástí předmětu plnění, může odběratel uplatnit reklamaci přímo u autorizovaného zástupce výrobce. Pokyny autorizovaného zástupce výrobce jsou přiloženy k předmětu plnění. Místo uplatnění reklamace je pak určeno autorizovaným zástupcem</w:t>
      </w:r>
      <w:r>
        <w:rPr>
          <w:spacing w:val="-5"/>
          <w:sz w:val="16"/>
          <w:lang w:val="cs-CZ"/>
        </w:rPr>
        <w:t xml:space="preserve"> </w:t>
      </w:r>
      <w:r>
        <w:rPr>
          <w:sz w:val="16"/>
          <w:lang w:val="cs-CZ"/>
        </w:rPr>
        <w:t>výrobce.</w:t>
      </w:r>
    </w:p>
    <w:p>
      <w:pPr>
        <w:pStyle w:val="Odstavecseseznamem"/>
        <w:numPr>
          <w:ilvl w:val="1"/>
          <w:numId w:val="7"/>
        </w:numPr>
        <w:tabs>
          <w:tab w:val="left" w:pos="601"/>
        </w:tabs>
        <w:spacing w:before="1" w:line="235" w:lineRule="auto"/>
        <w:ind w:left="600" w:right="136"/>
        <w:jc w:val="both"/>
        <w:rPr>
          <w:sz w:val="16"/>
          <w:lang w:val="cs-CZ"/>
        </w:rPr>
      </w:pPr>
      <w:r>
        <w:rPr>
          <w:sz w:val="16"/>
          <w:lang w:val="cs-CZ"/>
        </w:rPr>
        <w:t>Při reklamaci předmětu plnění je odběratel povinen prokázat zakoupení předmětu plnění u dodavatele fakturou a současně dodacím listem nebo servisním protokolem</w:t>
      </w:r>
      <w:r>
        <w:rPr>
          <w:spacing w:val="11"/>
          <w:sz w:val="16"/>
          <w:lang w:val="cs-CZ"/>
        </w:rPr>
        <w:t xml:space="preserve"> </w:t>
      </w:r>
      <w:r>
        <w:rPr>
          <w:sz w:val="16"/>
          <w:lang w:val="cs-CZ"/>
        </w:rPr>
        <w:t>nebo</w:t>
      </w:r>
      <w:r>
        <w:rPr>
          <w:spacing w:val="13"/>
          <w:sz w:val="16"/>
          <w:lang w:val="cs-CZ"/>
        </w:rPr>
        <w:t xml:space="preserve"> </w:t>
      </w:r>
      <w:r>
        <w:rPr>
          <w:sz w:val="16"/>
          <w:lang w:val="cs-CZ"/>
        </w:rPr>
        <w:t>výdejkou</w:t>
      </w:r>
      <w:r>
        <w:rPr>
          <w:spacing w:val="13"/>
          <w:sz w:val="16"/>
          <w:lang w:val="cs-CZ"/>
        </w:rPr>
        <w:t xml:space="preserve"> </w:t>
      </w:r>
      <w:r>
        <w:rPr>
          <w:sz w:val="16"/>
          <w:lang w:val="cs-CZ"/>
        </w:rPr>
        <w:t>(s</w:t>
      </w:r>
      <w:r>
        <w:rPr>
          <w:spacing w:val="10"/>
          <w:sz w:val="16"/>
          <w:lang w:val="cs-CZ"/>
        </w:rPr>
        <w:t xml:space="preserve"> </w:t>
      </w:r>
      <w:r>
        <w:rPr>
          <w:sz w:val="16"/>
          <w:lang w:val="cs-CZ"/>
        </w:rPr>
        <w:t>uvedením</w:t>
      </w:r>
      <w:r>
        <w:rPr>
          <w:spacing w:val="12"/>
          <w:sz w:val="16"/>
          <w:lang w:val="cs-CZ"/>
        </w:rPr>
        <w:t xml:space="preserve"> </w:t>
      </w:r>
      <w:r>
        <w:rPr>
          <w:sz w:val="16"/>
          <w:lang w:val="cs-CZ"/>
        </w:rPr>
        <w:t>sériového</w:t>
      </w:r>
      <w:r>
        <w:rPr>
          <w:spacing w:val="13"/>
          <w:sz w:val="16"/>
          <w:lang w:val="cs-CZ"/>
        </w:rPr>
        <w:t xml:space="preserve"> </w:t>
      </w:r>
      <w:r>
        <w:rPr>
          <w:sz w:val="16"/>
          <w:lang w:val="cs-CZ"/>
        </w:rPr>
        <w:t>čísla</w:t>
      </w:r>
      <w:r>
        <w:rPr>
          <w:spacing w:val="13"/>
          <w:sz w:val="16"/>
          <w:lang w:val="cs-CZ"/>
        </w:rPr>
        <w:t xml:space="preserve"> </w:t>
      </w:r>
      <w:r>
        <w:rPr>
          <w:sz w:val="16"/>
          <w:lang w:val="cs-CZ"/>
        </w:rPr>
        <w:t>reklamovaného</w:t>
      </w:r>
      <w:r>
        <w:rPr>
          <w:spacing w:val="12"/>
          <w:sz w:val="16"/>
          <w:lang w:val="cs-CZ"/>
        </w:rPr>
        <w:t xml:space="preserve"> </w:t>
      </w:r>
      <w:r>
        <w:rPr>
          <w:sz w:val="16"/>
          <w:lang w:val="cs-CZ"/>
        </w:rPr>
        <w:t>předmětu</w:t>
      </w:r>
    </w:p>
    <w:p>
      <w:pPr>
        <w:spacing w:line="235" w:lineRule="auto"/>
        <w:jc w:val="both"/>
        <w:rPr>
          <w:sz w:val="16"/>
          <w:lang w:val="cs-CZ"/>
        </w:rPr>
        <w:sectPr>
          <w:pgSz w:w="11900" w:h="16840"/>
          <w:pgMar w:top="600" w:right="420" w:bottom="780" w:left="420" w:header="0" w:footer="583" w:gutter="0"/>
          <w:cols w:num="2" w:space="708" w:equalWidth="0">
            <w:col w:w="5394" w:space="78"/>
            <w:col w:w="5588"/>
          </w:cols>
        </w:sectPr>
      </w:pPr>
    </w:p>
    <w:p>
      <w:pPr>
        <w:pStyle w:val="Zkladntext"/>
        <w:spacing w:before="76" w:line="235" w:lineRule="auto"/>
        <w:jc w:val="left"/>
        <w:rPr>
          <w:lang w:val="cs-CZ"/>
        </w:rPr>
      </w:pPr>
      <w:r>
        <w:rPr>
          <w:lang w:val="cs-CZ"/>
        </w:rPr>
        <w:lastRenderedPageBreak/>
        <w:t>plnění), u PC systému a serveru AUTOCONT je nutno s fakturou předložit výrobní list PC sestavy.</w:t>
      </w:r>
    </w:p>
    <w:p>
      <w:pPr>
        <w:pStyle w:val="Odstavecseseznamem"/>
        <w:numPr>
          <w:ilvl w:val="1"/>
          <w:numId w:val="7"/>
        </w:numPr>
        <w:tabs>
          <w:tab w:val="left" w:pos="543"/>
        </w:tabs>
        <w:spacing w:line="235" w:lineRule="auto"/>
        <w:ind w:right="40"/>
        <w:jc w:val="both"/>
        <w:rPr>
          <w:sz w:val="16"/>
          <w:lang w:val="cs-CZ"/>
        </w:rPr>
      </w:pPr>
      <w:r>
        <w:rPr>
          <w:sz w:val="16"/>
          <w:lang w:val="cs-CZ"/>
        </w:rPr>
        <w:t>V případech reklamace funkce PC systému a serverů AUTOCONT lze uplatňovat reklamaci u dodavatele telefonicky na telefonních číslech k tomu určených nebo osobně v provozovně dodavatele. Při reklamaci je třeba nahlásit sériové číslo PC systému, resp. serveru (viz výrobní list PC sestavy nebo typový štítek na PC, serveru), a dále co nejpodrobněji popsat charakter závady a uvést kontaktní osobu odběratele (jméno, tel., fax). Dodavatel poté zajistí posouzení reklamace a po dohodě s odběratelem podnikne kroky k odstranění případné vady v souladu s ustanoveními odstavce 11. těchto</w:t>
      </w:r>
      <w:r>
        <w:rPr>
          <w:spacing w:val="-6"/>
          <w:sz w:val="16"/>
          <w:lang w:val="cs-CZ"/>
        </w:rPr>
        <w:t xml:space="preserve"> </w:t>
      </w:r>
      <w:r>
        <w:rPr>
          <w:sz w:val="16"/>
          <w:lang w:val="cs-CZ"/>
        </w:rPr>
        <w:t>podmínek.</w:t>
      </w:r>
    </w:p>
    <w:p>
      <w:pPr>
        <w:pStyle w:val="Odstavecseseznamem"/>
        <w:numPr>
          <w:ilvl w:val="1"/>
          <w:numId w:val="7"/>
        </w:numPr>
        <w:tabs>
          <w:tab w:val="left" w:pos="543"/>
        </w:tabs>
        <w:spacing w:before="1" w:line="235" w:lineRule="auto"/>
        <w:ind w:right="38"/>
        <w:jc w:val="both"/>
        <w:rPr>
          <w:sz w:val="16"/>
          <w:lang w:val="cs-CZ"/>
        </w:rPr>
      </w:pPr>
      <w:r>
        <w:rPr>
          <w:sz w:val="16"/>
          <w:lang w:val="cs-CZ"/>
        </w:rPr>
        <w:t xml:space="preserve">Z důvodu nebezpečí možného poškození předmětu plnění při přepravě, dodavatel přijímá k reklamaci pouze předmět plnění zabalený nejlépe v originálním obalu (za originální obal lze považovat původní obal od identického kusu předmětu plnění, kde sériové číslo uvedené na obalu /případně odběratelem opravené sériové číslo/ je totožné se sériovým číslem reklamovaného předmětu plnění). Pokud odběratel nedodá předmět plnění v originálním obalu, doporučuje se použití jiného vhodného obalu, který vyhovuje nárokům přepravy daného zboží. V těch právních vztazích, na něž se nevztahují zvláštní ustanovení o prodeji zboží v obchodě podle </w:t>
      </w:r>
      <w:proofErr w:type="gramStart"/>
      <w:r>
        <w:rPr>
          <w:sz w:val="16"/>
          <w:lang w:val="cs-CZ"/>
        </w:rPr>
        <w:t>občanského   zákoníku</w:t>
      </w:r>
      <w:proofErr w:type="gramEnd"/>
      <w:r>
        <w:rPr>
          <w:sz w:val="16"/>
          <w:lang w:val="cs-CZ"/>
        </w:rPr>
        <w:t>,   musí   být   reklamované   zboží   předáno   k reklamaci   v originálním obalu. Dodavatel není povinen přijmout k vyřízení reklamace předmět plnění, nepředá-li jej odběratel se všemi součástmi a</w:t>
      </w:r>
      <w:r>
        <w:rPr>
          <w:spacing w:val="-15"/>
          <w:sz w:val="16"/>
          <w:lang w:val="cs-CZ"/>
        </w:rPr>
        <w:t xml:space="preserve"> </w:t>
      </w:r>
      <w:r>
        <w:rPr>
          <w:sz w:val="16"/>
          <w:lang w:val="cs-CZ"/>
        </w:rPr>
        <w:t>příslušenstvím.</w:t>
      </w:r>
    </w:p>
    <w:p>
      <w:pPr>
        <w:pStyle w:val="Odstavecseseznamem"/>
        <w:numPr>
          <w:ilvl w:val="1"/>
          <w:numId w:val="7"/>
        </w:numPr>
        <w:tabs>
          <w:tab w:val="left" w:pos="543"/>
        </w:tabs>
        <w:spacing w:before="1" w:line="235" w:lineRule="auto"/>
        <w:ind w:right="38"/>
        <w:jc w:val="both"/>
        <w:rPr>
          <w:sz w:val="16"/>
          <w:lang w:val="cs-CZ"/>
        </w:rPr>
      </w:pPr>
      <w:r>
        <w:rPr>
          <w:sz w:val="16"/>
          <w:lang w:val="cs-CZ"/>
        </w:rPr>
        <w:t>V případě dodržení ustanovení článků 10.4.-</w:t>
      </w:r>
      <w:proofErr w:type="gramStart"/>
      <w:r>
        <w:rPr>
          <w:sz w:val="16"/>
          <w:lang w:val="cs-CZ"/>
        </w:rPr>
        <w:t>10.6. odběratelem</w:t>
      </w:r>
      <w:proofErr w:type="gramEnd"/>
      <w:r>
        <w:rPr>
          <w:sz w:val="16"/>
          <w:lang w:val="cs-CZ"/>
        </w:rPr>
        <w:t>, převezme pověřená osoba dodavatele předmět plnění k vyřízení reklamace. Pokud není možné, aby dodavatelem pověřená osoba rozhodla o uznání reklamace na místě, předá reklamovaný předmět plnění reklamačnímu oddělení dodavatele. O výsledku reklamace je odběratel informován způsobem sjednaným s dodavatelem (telefonicky, faxem, písemně), a to zpravidla nejpozději do 1 týdne od převzetí předmětu plnění k vyřízení reklamace. V případě nutnosti posouzení vad zboží autorizovaným zástupcem výrobce zajistí dodavatel posouzení oprávněnosti reklamace zpravidla do 2 týdnů od převzetí předmětu</w:t>
      </w:r>
      <w:r>
        <w:rPr>
          <w:spacing w:val="-10"/>
          <w:sz w:val="16"/>
          <w:lang w:val="cs-CZ"/>
        </w:rPr>
        <w:t xml:space="preserve"> </w:t>
      </w:r>
      <w:r>
        <w:rPr>
          <w:sz w:val="16"/>
          <w:lang w:val="cs-CZ"/>
        </w:rPr>
        <w:t>plnění.</w:t>
      </w:r>
    </w:p>
    <w:p>
      <w:pPr>
        <w:pStyle w:val="Nadpis4"/>
        <w:numPr>
          <w:ilvl w:val="0"/>
          <w:numId w:val="7"/>
        </w:numPr>
        <w:tabs>
          <w:tab w:val="left" w:pos="543"/>
        </w:tabs>
        <w:ind w:hanging="396"/>
        <w:rPr>
          <w:lang w:val="cs-CZ"/>
        </w:rPr>
      </w:pPr>
      <w:r>
        <w:rPr>
          <w:lang w:val="cs-CZ"/>
        </w:rPr>
        <w:t>Odstranění vad předmětu plnění v záruční</w:t>
      </w:r>
      <w:r>
        <w:rPr>
          <w:spacing w:val="-13"/>
          <w:lang w:val="cs-CZ"/>
        </w:rPr>
        <w:t xml:space="preserve"> </w:t>
      </w:r>
      <w:r>
        <w:rPr>
          <w:lang w:val="cs-CZ"/>
        </w:rPr>
        <w:t>době</w:t>
      </w:r>
    </w:p>
    <w:p>
      <w:pPr>
        <w:pStyle w:val="Odstavecseseznamem"/>
        <w:numPr>
          <w:ilvl w:val="1"/>
          <w:numId w:val="7"/>
        </w:numPr>
        <w:tabs>
          <w:tab w:val="left" w:pos="543"/>
        </w:tabs>
        <w:spacing w:line="182" w:lineRule="exact"/>
        <w:rPr>
          <w:sz w:val="16"/>
          <w:lang w:val="cs-CZ"/>
        </w:rPr>
      </w:pPr>
      <w:r>
        <w:rPr>
          <w:sz w:val="16"/>
          <w:lang w:val="cs-CZ"/>
        </w:rPr>
        <w:t>Dodavatel je oprávněn k zajištění záručního servisu použít třetích</w:t>
      </w:r>
      <w:r>
        <w:rPr>
          <w:spacing w:val="-14"/>
          <w:sz w:val="16"/>
          <w:lang w:val="cs-CZ"/>
        </w:rPr>
        <w:t xml:space="preserve"> </w:t>
      </w:r>
      <w:r>
        <w:rPr>
          <w:sz w:val="16"/>
          <w:lang w:val="cs-CZ"/>
        </w:rPr>
        <w:t>osob.</w:t>
      </w:r>
    </w:p>
    <w:p>
      <w:pPr>
        <w:pStyle w:val="Odstavecseseznamem"/>
        <w:numPr>
          <w:ilvl w:val="1"/>
          <w:numId w:val="7"/>
        </w:numPr>
        <w:tabs>
          <w:tab w:val="left" w:pos="543"/>
        </w:tabs>
        <w:spacing w:before="1" w:line="235" w:lineRule="auto"/>
        <w:ind w:right="40"/>
        <w:jc w:val="both"/>
        <w:rPr>
          <w:sz w:val="16"/>
          <w:lang w:val="cs-CZ"/>
        </w:rPr>
      </w:pPr>
      <w:r>
        <w:rPr>
          <w:sz w:val="16"/>
          <w:lang w:val="cs-CZ"/>
        </w:rPr>
        <w:t>Záruční servis na dodavatelem dodané kompletní PC systémy AUTOCONT (základní jednotka, klávesnice, myš) poskytuje dodavatel standardně dle typu zařízení. Podmínky nadstandardního servisu je nutné sjednat písemně při uzavírání zvláštní servisní smlouvy. Jednotlivé typy záručního servisu jsou poskytovány (zahrnuty v kupní ceně) v závislosti na modelu počítače. Typ servisu je uveden v dokladech k zakoupenému předmětu plnění. Dodavatel zajišťuje následující typy záručního servisu HW (vyjma závad zmíněných v odstavci</w:t>
      </w:r>
      <w:r>
        <w:rPr>
          <w:spacing w:val="-26"/>
          <w:sz w:val="16"/>
          <w:lang w:val="cs-CZ"/>
        </w:rPr>
        <w:t xml:space="preserve"> </w:t>
      </w:r>
      <w:r>
        <w:rPr>
          <w:sz w:val="16"/>
          <w:lang w:val="cs-CZ"/>
        </w:rPr>
        <w:t>11.6.):</w:t>
      </w:r>
    </w:p>
    <w:p>
      <w:pPr>
        <w:pStyle w:val="Odstavecseseznamem"/>
        <w:numPr>
          <w:ilvl w:val="0"/>
          <w:numId w:val="6"/>
        </w:numPr>
        <w:tabs>
          <w:tab w:val="left" w:pos="250"/>
        </w:tabs>
        <w:spacing w:before="1" w:line="235" w:lineRule="auto"/>
        <w:ind w:right="40" w:hanging="84"/>
        <w:rPr>
          <w:sz w:val="16"/>
          <w:lang w:val="cs-CZ"/>
        </w:rPr>
      </w:pPr>
      <w:r>
        <w:rPr>
          <w:sz w:val="16"/>
          <w:lang w:val="cs-CZ"/>
        </w:rPr>
        <w:t>Ekonomický servis (EKONOM): záruční oprava HW závad se provádí po celou dobu záruky v nejbližším servisním středisku</w:t>
      </w:r>
      <w:r>
        <w:rPr>
          <w:spacing w:val="-5"/>
          <w:sz w:val="16"/>
          <w:lang w:val="cs-CZ"/>
        </w:rPr>
        <w:t xml:space="preserve"> </w:t>
      </w:r>
      <w:r>
        <w:rPr>
          <w:sz w:val="16"/>
          <w:lang w:val="cs-CZ"/>
        </w:rPr>
        <w:t>dodavatele.</w:t>
      </w:r>
    </w:p>
    <w:p>
      <w:pPr>
        <w:pStyle w:val="Odstavecseseznamem"/>
        <w:numPr>
          <w:ilvl w:val="0"/>
          <w:numId w:val="6"/>
        </w:numPr>
        <w:tabs>
          <w:tab w:val="left" w:pos="231"/>
        </w:tabs>
        <w:spacing w:line="235" w:lineRule="auto"/>
        <w:ind w:right="38" w:hanging="84"/>
        <w:rPr>
          <w:sz w:val="16"/>
          <w:lang w:val="cs-CZ"/>
        </w:rPr>
      </w:pPr>
      <w:r>
        <w:rPr>
          <w:sz w:val="16"/>
          <w:lang w:val="cs-CZ"/>
        </w:rPr>
        <w:t xml:space="preserve">Standardní servis (STANDARD): záruční oprava HW závad se provádí v 1. roce v místě instalace a vedle nákladů na práci a náhradní díly jsou dodavatelem hrazeny i náklady na cestovné. Po zbytek záruční doby je záruční oprava prováděna v </w:t>
      </w:r>
      <w:proofErr w:type="gramStart"/>
      <w:r>
        <w:rPr>
          <w:sz w:val="16"/>
          <w:lang w:val="cs-CZ"/>
        </w:rPr>
        <w:t>nejbližším  servisním</w:t>
      </w:r>
      <w:proofErr w:type="gramEnd"/>
      <w:r>
        <w:rPr>
          <w:sz w:val="16"/>
          <w:lang w:val="cs-CZ"/>
        </w:rPr>
        <w:t xml:space="preserve"> středisku</w:t>
      </w:r>
      <w:r>
        <w:rPr>
          <w:spacing w:val="-1"/>
          <w:sz w:val="16"/>
          <w:lang w:val="cs-CZ"/>
        </w:rPr>
        <w:t xml:space="preserve"> </w:t>
      </w:r>
      <w:r>
        <w:rPr>
          <w:sz w:val="16"/>
          <w:lang w:val="cs-CZ"/>
        </w:rPr>
        <w:t>dodavatele.</w:t>
      </w:r>
    </w:p>
    <w:p>
      <w:pPr>
        <w:pStyle w:val="Odstavecseseznamem"/>
        <w:numPr>
          <w:ilvl w:val="0"/>
          <w:numId w:val="6"/>
        </w:numPr>
        <w:tabs>
          <w:tab w:val="left" w:pos="226"/>
        </w:tabs>
        <w:spacing w:line="235" w:lineRule="auto"/>
        <w:ind w:right="40" w:hanging="84"/>
        <w:rPr>
          <w:sz w:val="16"/>
          <w:lang w:val="cs-CZ"/>
        </w:rPr>
      </w:pPr>
      <w:r>
        <w:rPr>
          <w:sz w:val="16"/>
          <w:lang w:val="cs-CZ"/>
        </w:rPr>
        <w:t>Speciální servis (SPECIÁL): záruční oprava HW závad se provádí po celou záruční dobu v místě</w:t>
      </w:r>
      <w:r>
        <w:rPr>
          <w:spacing w:val="-3"/>
          <w:sz w:val="16"/>
          <w:lang w:val="cs-CZ"/>
        </w:rPr>
        <w:t xml:space="preserve"> </w:t>
      </w:r>
      <w:r>
        <w:rPr>
          <w:sz w:val="16"/>
          <w:lang w:val="cs-CZ"/>
        </w:rPr>
        <w:t>instalace.</w:t>
      </w:r>
    </w:p>
    <w:p>
      <w:pPr>
        <w:pStyle w:val="Odstavecseseznamem"/>
        <w:numPr>
          <w:ilvl w:val="0"/>
          <w:numId w:val="6"/>
        </w:numPr>
        <w:tabs>
          <w:tab w:val="left" w:pos="257"/>
        </w:tabs>
        <w:spacing w:line="235" w:lineRule="auto"/>
        <w:ind w:right="40" w:hanging="84"/>
        <w:rPr>
          <w:sz w:val="16"/>
          <w:lang w:val="cs-CZ"/>
        </w:rPr>
      </w:pPr>
      <w:r>
        <w:rPr>
          <w:sz w:val="16"/>
          <w:lang w:val="cs-CZ"/>
        </w:rPr>
        <w:t>Jiné servisní podmínky poskytuje dodavatel odběrateli na základě zvláštní smlouvy. Dodavatel provede na základě objednávky odběratele záruční servis v místě instalace předmětu plnění u odběratele i mimo výše vyjmenované případy. V tomto případě se odběratel zavazuje uhradit v hotovosti dodavateli vícenáklady servisního zásahu formou servisního poplatku za výjezd technika ve výši dané platným ceníkem služeb dodavatele.</w:t>
      </w:r>
    </w:p>
    <w:p>
      <w:pPr>
        <w:pStyle w:val="Odstavecseseznamem"/>
        <w:numPr>
          <w:ilvl w:val="1"/>
          <w:numId w:val="7"/>
        </w:numPr>
        <w:tabs>
          <w:tab w:val="left" w:pos="543"/>
        </w:tabs>
        <w:spacing w:before="1" w:line="235" w:lineRule="auto"/>
        <w:ind w:right="40"/>
        <w:jc w:val="both"/>
        <w:rPr>
          <w:sz w:val="16"/>
          <w:lang w:val="cs-CZ"/>
        </w:rPr>
      </w:pPr>
      <w:r>
        <w:rPr>
          <w:sz w:val="16"/>
          <w:lang w:val="cs-CZ"/>
        </w:rPr>
        <w:t>Provádění záručního servisu v místě instalace u zákazníka je omezeno teritoriálně na území České</w:t>
      </w:r>
      <w:r>
        <w:rPr>
          <w:spacing w:val="-5"/>
          <w:sz w:val="16"/>
          <w:lang w:val="cs-CZ"/>
        </w:rPr>
        <w:t xml:space="preserve"> </w:t>
      </w:r>
      <w:r>
        <w:rPr>
          <w:sz w:val="16"/>
          <w:lang w:val="cs-CZ"/>
        </w:rPr>
        <w:t>republiky.</w:t>
      </w:r>
    </w:p>
    <w:p>
      <w:pPr>
        <w:pStyle w:val="Odstavecseseznamem"/>
        <w:numPr>
          <w:ilvl w:val="1"/>
          <w:numId w:val="7"/>
        </w:numPr>
        <w:tabs>
          <w:tab w:val="left" w:pos="543"/>
        </w:tabs>
        <w:spacing w:line="235" w:lineRule="auto"/>
        <w:ind w:right="40"/>
        <w:jc w:val="both"/>
        <w:rPr>
          <w:sz w:val="16"/>
          <w:lang w:val="cs-CZ"/>
        </w:rPr>
      </w:pPr>
      <w:r>
        <w:rPr>
          <w:sz w:val="16"/>
          <w:lang w:val="cs-CZ"/>
        </w:rPr>
        <w:t>Základní jednotka konkrétního PC systému je definována výčtem dílů vyjmenovaných v odstavci základní jednotka ve výrobním listu dané PC sestavy. Základní jednotka PC systému se zpravidla skládá z těchto dílů: systémová deska (MB), procesor (CPU), chladič CPU, paměť (RAM), CD-ROM, řadič FDD a HDD, grafická karta (VGA), audio (zvuková karta), síťová karta, pevný disk (HDD), floppy mechanika (FDD), napájecí zdroj, skříň</w:t>
      </w:r>
      <w:r>
        <w:rPr>
          <w:spacing w:val="-7"/>
          <w:sz w:val="16"/>
          <w:lang w:val="cs-CZ"/>
        </w:rPr>
        <w:t xml:space="preserve"> </w:t>
      </w:r>
      <w:r>
        <w:rPr>
          <w:sz w:val="16"/>
          <w:lang w:val="cs-CZ"/>
        </w:rPr>
        <w:t>PC.</w:t>
      </w:r>
    </w:p>
    <w:p>
      <w:pPr>
        <w:pStyle w:val="Odstavecseseznamem"/>
        <w:numPr>
          <w:ilvl w:val="1"/>
          <w:numId w:val="7"/>
        </w:numPr>
        <w:tabs>
          <w:tab w:val="left" w:pos="543"/>
        </w:tabs>
        <w:spacing w:line="235" w:lineRule="auto"/>
        <w:ind w:right="38"/>
        <w:jc w:val="both"/>
        <w:rPr>
          <w:sz w:val="16"/>
          <w:lang w:val="cs-CZ"/>
        </w:rPr>
      </w:pPr>
      <w:r>
        <w:rPr>
          <w:sz w:val="16"/>
          <w:lang w:val="cs-CZ"/>
        </w:rPr>
        <w:t>Výše uvedené podmínky provádění záručního servisu v místě instalace u zákazníka se vztahují na základní jednotku včetně dodavatelem do základní jednotky vestavěných periferií, klávesnici a myš, které společně tvořily předmět plnění dodaný dodavatelem. Podmínky provádění záručního servisu v místě instalace u odběratele se nevztahují např. na SW, monitor, periferie, multimediální balíky (</w:t>
      </w:r>
      <w:proofErr w:type="spellStart"/>
      <w:r>
        <w:rPr>
          <w:sz w:val="16"/>
          <w:lang w:val="cs-CZ"/>
        </w:rPr>
        <w:t>kity</w:t>
      </w:r>
      <w:proofErr w:type="spellEnd"/>
      <w:r>
        <w:rPr>
          <w:sz w:val="16"/>
          <w:lang w:val="cs-CZ"/>
        </w:rPr>
        <w:t>), zapisovací mechaniky CD-R/RW, zálohovací zařízení (např. DAT mechanika, magnetooptická záznamová zařízení apod.) a odběratelem přidaná zařízení.</w:t>
      </w:r>
    </w:p>
    <w:p>
      <w:pPr>
        <w:pStyle w:val="Odstavecseseznamem"/>
        <w:numPr>
          <w:ilvl w:val="1"/>
          <w:numId w:val="7"/>
        </w:numPr>
        <w:tabs>
          <w:tab w:val="left" w:pos="543"/>
        </w:tabs>
        <w:spacing w:before="1" w:line="235" w:lineRule="auto"/>
        <w:ind w:right="38"/>
        <w:jc w:val="both"/>
        <w:rPr>
          <w:sz w:val="16"/>
          <w:lang w:val="cs-CZ"/>
        </w:rPr>
      </w:pPr>
      <w:r>
        <w:rPr>
          <w:sz w:val="16"/>
          <w:lang w:val="cs-CZ"/>
        </w:rPr>
        <w:t>U závad, jejichž projevy nelze reprodukovat (závady náhodně se vyskytující), je doba diagnostiky a opravy vady dána dohodou mezi pověřenými osobami dodavatele a odběratele. Není-li možné provést odstranění takové závady u odběratele, odstraní dodavatel takovou závadu po provedení příslušných testů v servisním</w:t>
      </w:r>
      <w:r>
        <w:rPr>
          <w:spacing w:val="-1"/>
          <w:sz w:val="16"/>
          <w:lang w:val="cs-CZ"/>
        </w:rPr>
        <w:t xml:space="preserve"> </w:t>
      </w:r>
      <w:r>
        <w:rPr>
          <w:sz w:val="16"/>
          <w:lang w:val="cs-CZ"/>
        </w:rPr>
        <w:t>středisku.</w:t>
      </w:r>
    </w:p>
    <w:p>
      <w:pPr>
        <w:pStyle w:val="Odstavecseseznamem"/>
        <w:numPr>
          <w:ilvl w:val="1"/>
          <w:numId w:val="7"/>
        </w:numPr>
        <w:tabs>
          <w:tab w:val="left" w:pos="543"/>
        </w:tabs>
        <w:spacing w:line="235" w:lineRule="auto"/>
        <w:ind w:right="38"/>
        <w:jc w:val="both"/>
        <w:rPr>
          <w:sz w:val="16"/>
          <w:lang w:val="cs-CZ"/>
        </w:rPr>
      </w:pPr>
      <w:r>
        <w:rPr>
          <w:sz w:val="16"/>
          <w:lang w:val="cs-CZ"/>
        </w:rPr>
        <w:t>Odběratel se zavazuje vytvořit dodavateli nebo jím pověřenému subjektu podmínky pro zdárné provedení servisního zákroku (umožnit vstup do objektu, přístup k zařízení, přístup do systému, přítomnost svého zástupce, apod.), jakož i podmínky pro vyřízení formalit pro provedení opravy reklamované vady</w:t>
      </w:r>
      <w:r>
        <w:rPr>
          <w:spacing w:val="-16"/>
          <w:sz w:val="16"/>
          <w:lang w:val="cs-CZ"/>
        </w:rPr>
        <w:t xml:space="preserve"> </w:t>
      </w:r>
      <w:r>
        <w:rPr>
          <w:sz w:val="16"/>
          <w:lang w:val="cs-CZ"/>
        </w:rPr>
        <w:t>nezbytných.</w:t>
      </w:r>
    </w:p>
    <w:p>
      <w:pPr>
        <w:pStyle w:val="Odstavecseseznamem"/>
        <w:numPr>
          <w:ilvl w:val="1"/>
          <w:numId w:val="7"/>
        </w:numPr>
        <w:tabs>
          <w:tab w:val="left" w:pos="543"/>
        </w:tabs>
        <w:spacing w:before="1" w:line="235" w:lineRule="auto"/>
        <w:ind w:right="40"/>
        <w:jc w:val="both"/>
        <w:rPr>
          <w:sz w:val="16"/>
          <w:lang w:val="cs-CZ"/>
        </w:rPr>
      </w:pPr>
      <w:r>
        <w:rPr>
          <w:sz w:val="16"/>
          <w:lang w:val="cs-CZ"/>
        </w:rPr>
        <w:t>Dodavatel je oprávněn odstoupit od poskytnuté záruky u předmětu plnění, resp. u jeho jednotlivých částí, zjistí-li, že vyskytnuvší se vada byla způsobena příčinou nespadající do záruky, nebo zjistí-li, že na předmětu plnění, resp. jeho části byl proveden zásah osobou neoprávněnou, tj. jinou osobou než dodavatelem nebo osobou jím pověřenou. Odstoupí-li dodavatel od poskytnuté záruky, resp. zjistí-li, že reklamovaná vada byla nahlášena neoprávněně, je</w:t>
      </w:r>
      <w:r>
        <w:rPr>
          <w:spacing w:val="17"/>
          <w:sz w:val="16"/>
          <w:lang w:val="cs-CZ"/>
        </w:rPr>
        <w:t xml:space="preserve"> </w:t>
      </w:r>
      <w:r>
        <w:rPr>
          <w:sz w:val="16"/>
          <w:lang w:val="cs-CZ"/>
        </w:rPr>
        <w:t>dodavatel oprávněn</w:t>
      </w:r>
    </w:p>
    <w:p>
      <w:pPr>
        <w:pStyle w:val="Zkladntext"/>
        <w:spacing w:before="76" w:line="235" w:lineRule="auto"/>
        <w:ind w:right="139"/>
        <w:rPr>
          <w:lang w:val="cs-CZ"/>
        </w:rPr>
      </w:pPr>
      <w:r>
        <w:rPr>
          <w:lang w:val="cs-CZ"/>
        </w:rPr>
        <w:br w:type="column"/>
      </w:r>
      <w:r>
        <w:rPr>
          <w:lang w:val="cs-CZ"/>
        </w:rPr>
        <w:lastRenderedPageBreak/>
        <w:t>požadovat na odběrateli uhrazení nákladů, které dodavateli v souvislosti s tím vznikly, a to ve výši dle aktuálního platného ceníku dodavatele, resp. servisního střediska, které provádí záruční opravy daného zařízení.</w:t>
      </w:r>
    </w:p>
    <w:p>
      <w:pPr>
        <w:pStyle w:val="Nadpis4"/>
        <w:numPr>
          <w:ilvl w:val="0"/>
          <w:numId w:val="7"/>
        </w:numPr>
        <w:tabs>
          <w:tab w:val="left" w:pos="543"/>
        </w:tabs>
        <w:ind w:hanging="396"/>
        <w:rPr>
          <w:lang w:val="cs-CZ"/>
        </w:rPr>
      </w:pPr>
      <w:r>
        <w:rPr>
          <w:lang w:val="cs-CZ"/>
        </w:rPr>
        <w:t>Licence</w:t>
      </w:r>
    </w:p>
    <w:p>
      <w:pPr>
        <w:pStyle w:val="Odstavecseseznamem"/>
        <w:numPr>
          <w:ilvl w:val="1"/>
          <w:numId w:val="7"/>
        </w:numPr>
        <w:tabs>
          <w:tab w:val="left" w:pos="543"/>
        </w:tabs>
        <w:spacing w:before="3" w:line="235" w:lineRule="auto"/>
        <w:ind w:right="136"/>
        <w:jc w:val="both"/>
        <w:rPr>
          <w:sz w:val="16"/>
          <w:lang w:val="cs-CZ"/>
        </w:rPr>
      </w:pPr>
      <w:r>
        <w:rPr>
          <w:sz w:val="16"/>
          <w:lang w:val="cs-CZ"/>
        </w:rPr>
        <w:t>Autorská práva, jakož i ostatní jiná práva duševního vlastnictví, vztahující se k softwarovým produktům, včetně příruček, manuálů a dalších dokumentů distribuovaných spolu se softwarovými produkty, nadále náleží příslušným subjektům jako jejich nositelům a nejsou tímto závazkovým vztahem dotčena. Odběrateli vzniká pouze nevýhradní právo softwarové produkty</w:t>
      </w:r>
      <w:r>
        <w:rPr>
          <w:spacing w:val="-12"/>
          <w:sz w:val="16"/>
          <w:lang w:val="cs-CZ"/>
        </w:rPr>
        <w:t xml:space="preserve"> </w:t>
      </w:r>
      <w:r>
        <w:rPr>
          <w:sz w:val="16"/>
          <w:lang w:val="cs-CZ"/>
        </w:rPr>
        <w:t>užívat.</w:t>
      </w:r>
    </w:p>
    <w:p>
      <w:pPr>
        <w:pStyle w:val="Odstavecseseznamem"/>
        <w:numPr>
          <w:ilvl w:val="1"/>
          <w:numId w:val="7"/>
        </w:numPr>
        <w:tabs>
          <w:tab w:val="left" w:pos="543"/>
        </w:tabs>
        <w:spacing w:line="235" w:lineRule="auto"/>
        <w:ind w:right="135"/>
        <w:jc w:val="both"/>
        <w:rPr>
          <w:sz w:val="16"/>
          <w:lang w:val="cs-CZ"/>
        </w:rPr>
      </w:pPr>
      <w:r>
        <w:rPr>
          <w:sz w:val="16"/>
          <w:lang w:val="cs-CZ"/>
        </w:rPr>
        <w:t>Odběratel není oprávněn odstraňovat, měnit, zakrývat nebo jakýmkoli jiným způsobem zasahovat do jakýchkoli autorskoprávních, či jiných označení příslušných subjektů umístěných nebo uložených na softwarových produktech, nebo jakékoliv jejich části, či dokumentaci distribuované spolu se softwarovými produkty.</w:t>
      </w:r>
    </w:p>
    <w:p>
      <w:pPr>
        <w:pStyle w:val="Nadpis4"/>
        <w:numPr>
          <w:ilvl w:val="0"/>
          <w:numId w:val="7"/>
        </w:numPr>
        <w:tabs>
          <w:tab w:val="left" w:pos="543"/>
        </w:tabs>
        <w:spacing w:line="229" w:lineRule="exact"/>
        <w:ind w:hanging="396"/>
        <w:rPr>
          <w:lang w:val="cs-CZ"/>
        </w:rPr>
      </w:pPr>
      <w:r>
        <w:rPr>
          <w:lang w:val="cs-CZ"/>
        </w:rPr>
        <w:t>Odpovědnost</w:t>
      </w:r>
    </w:p>
    <w:p>
      <w:pPr>
        <w:pStyle w:val="Odstavecseseznamem"/>
        <w:numPr>
          <w:ilvl w:val="1"/>
          <w:numId w:val="7"/>
        </w:numPr>
        <w:tabs>
          <w:tab w:val="left" w:pos="543"/>
        </w:tabs>
        <w:spacing w:before="2" w:line="235" w:lineRule="auto"/>
        <w:ind w:right="307"/>
        <w:jc w:val="both"/>
        <w:rPr>
          <w:sz w:val="16"/>
          <w:lang w:val="cs-CZ"/>
        </w:rPr>
      </w:pPr>
      <w:r>
        <w:rPr>
          <w:sz w:val="16"/>
          <w:lang w:val="cs-CZ"/>
        </w:rPr>
        <w:t>Dodavatel odpovídá odběrateli za škodu způsobenou mu zaviněným porušením povinností vyplývajících pro dodavatele z tohoto závazkového vztahu. Dodavatel zejména neodpovídá odběrateli za škodu, která mu vznikne v</w:t>
      </w:r>
      <w:r>
        <w:rPr>
          <w:spacing w:val="-17"/>
          <w:sz w:val="16"/>
          <w:lang w:val="cs-CZ"/>
        </w:rPr>
        <w:t xml:space="preserve"> </w:t>
      </w:r>
      <w:r>
        <w:rPr>
          <w:sz w:val="16"/>
          <w:lang w:val="cs-CZ"/>
        </w:rPr>
        <w:t>důsledku:</w:t>
      </w:r>
    </w:p>
    <w:p>
      <w:pPr>
        <w:pStyle w:val="Odstavecseseznamem"/>
        <w:numPr>
          <w:ilvl w:val="0"/>
          <w:numId w:val="2"/>
        </w:numPr>
        <w:tabs>
          <w:tab w:val="left" w:pos="622"/>
        </w:tabs>
        <w:spacing w:line="235" w:lineRule="auto"/>
        <w:ind w:right="753" w:firstLine="0"/>
        <w:jc w:val="left"/>
        <w:rPr>
          <w:sz w:val="16"/>
          <w:lang w:val="cs-CZ"/>
        </w:rPr>
      </w:pPr>
      <w:r>
        <w:rPr>
          <w:sz w:val="16"/>
          <w:lang w:val="cs-CZ"/>
        </w:rPr>
        <w:t>údržby předmětu plnění jinou osobou než dodavatelem, či jí pověřeným subjektem;</w:t>
      </w:r>
    </w:p>
    <w:p>
      <w:pPr>
        <w:pStyle w:val="Odstavecseseznamem"/>
        <w:numPr>
          <w:ilvl w:val="0"/>
          <w:numId w:val="2"/>
        </w:numPr>
        <w:tabs>
          <w:tab w:val="left" w:pos="622"/>
        </w:tabs>
        <w:spacing w:line="179" w:lineRule="exact"/>
        <w:ind w:left="621" w:hanging="79"/>
        <w:jc w:val="left"/>
        <w:rPr>
          <w:sz w:val="16"/>
          <w:lang w:val="cs-CZ"/>
        </w:rPr>
      </w:pPr>
      <w:r>
        <w:rPr>
          <w:sz w:val="16"/>
          <w:lang w:val="cs-CZ"/>
        </w:rPr>
        <w:t>nesprávného nebo neadekvátního používání předmětu</w:t>
      </w:r>
      <w:r>
        <w:rPr>
          <w:spacing w:val="-8"/>
          <w:sz w:val="16"/>
          <w:lang w:val="cs-CZ"/>
        </w:rPr>
        <w:t xml:space="preserve"> </w:t>
      </w:r>
      <w:r>
        <w:rPr>
          <w:sz w:val="16"/>
          <w:lang w:val="cs-CZ"/>
        </w:rPr>
        <w:t>plnění;</w:t>
      </w:r>
    </w:p>
    <w:p>
      <w:pPr>
        <w:pStyle w:val="Odstavecseseznamem"/>
        <w:numPr>
          <w:ilvl w:val="0"/>
          <w:numId w:val="2"/>
        </w:numPr>
        <w:tabs>
          <w:tab w:val="left" w:pos="622"/>
        </w:tabs>
        <w:spacing w:line="180" w:lineRule="exact"/>
        <w:ind w:left="621" w:hanging="79"/>
        <w:jc w:val="left"/>
        <w:rPr>
          <w:sz w:val="16"/>
          <w:lang w:val="cs-CZ"/>
        </w:rPr>
      </w:pPr>
      <w:r>
        <w:rPr>
          <w:sz w:val="16"/>
          <w:lang w:val="cs-CZ"/>
        </w:rPr>
        <w:t>užití předmětu plnění v jiném než doporučeném</w:t>
      </w:r>
      <w:r>
        <w:rPr>
          <w:spacing w:val="-11"/>
          <w:sz w:val="16"/>
          <w:lang w:val="cs-CZ"/>
        </w:rPr>
        <w:t xml:space="preserve"> </w:t>
      </w:r>
      <w:r>
        <w:rPr>
          <w:sz w:val="16"/>
          <w:lang w:val="cs-CZ"/>
        </w:rPr>
        <w:t>prostředí.</w:t>
      </w:r>
    </w:p>
    <w:p>
      <w:pPr>
        <w:pStyle w:val="Odstavecseseznamem"/>
        <w:numPr>
          <w:ilvl w:val="1"/>
          <w:numId w:val="7"/>
        </w:numPr>
        <w:tabs>
          <w:tab w:val="left" w:pos="543"/>
        </w:tabs>
        <w:spacing w:before="1" w:line="235" w:lineRule="auto"/>
        <w:ind w:right="136"/>
        <w:jc w:val="both"/>
        <w:rPr>
          <w:sz w:val="16"/>
          <w:lang w:val="cs-CZ"/>
        </w:rPr>
      </w:pPr>
      <w:r>
        <w:rPr>
          <w:sz w:val="16"/>
          <w:lang w:val="cs-CZ"/>
        </w:rPr>
        <w:t>Účastníci tohoto závazkového vztahu stanovují, že výše předvídatelné škody, která případně může vzniknout porušením povinností dodavatele a také celková výše náhrady škody, představuje částku maximálně do výše ceny předmětu plnění, ohledně něhož došlo ke škodné události, není-li sjednána jiná výše. Dodavatel nenese odpovědnost za ztrátu nebo poškození dat odběratele, případná rekonstrukce ztracených nebo znehodnocených dat jde na vrub</w:t>
      </w:r>
      <w:r>
        <w:rPr>
          <w:spacing w:val="-14"/>
          <w:sz w:val="16"/>
          <w:lang w:val="cs-CZ"/>
        </w:rPr>
        <w:t xml:space="preserve"> </w:t>
      </w:r>
      <w:r>
        <w:rPr>
          <w:sz w:val="16"/>
          <w:lang w:val="cs-CZ"/>
        </w:rPr>
        <w:t>odběratele.</w:t>
      </w:r>
    </w:p>
    <w:p>
      <w:pPr>
        <w:pStyle w:val="Odstavecseseznamem"/>
        <w:numPr>
          <w:ilvl w:val="1"/>
          <w:numId w:val="7"/>
        </w:numPr>
        <w:tabs>
          <w:tab w:val="left" w:pos="543"/>
        </w:tabs>
        <w:spacing w:line="235" w:lineRule="auto"/>
        <w:ind w:right="136"/>
        <w:jc w:val="both"/>
        <w:rPr>
          <w:sz w:val="16"/>
          <w:lang w:val="cs-CZ"/>
        </w:rPr>
      </w:pPr>
      <w:r>
        <w:rPr>
          <w:sz w:val="16"/>
          <w:lang w:val="cs-CZ"/>
        </w:rPr>
        <w:t xml:space="preserve">Jakékoli nároky na náhradu škody je odběratel oprávněn u dodavatele relevantně uplatnit jen tehdy, pokud po vzniku škodné události učinil veškeré kroky směřující k minimalizaci výše škody a pokud o vzniku škodné události dodavatele bezodkladně vyrozuměl a poskytl mu veškeré vyžádané dokumenty ke vzniku škodné </w:t>
      </w:r>
      <w:proofErr w:type="gramStart"/>
      <w:r>
        <w:rPr>
          <w:sz w:val="16"/>
          <w:lang w:val="cs-CZ"/>
        </w:rPr>
        <w:t>události  se</w:t>
      </w:r>
      <w:proofErr w:type="gramEnd"/>
      <w:r>
        <w:rPr>
          <w:spacing w:val="-1"/>
          <w:sz w:val="16"/>
          <w:lang w:val="cs-CZ"/>
        </w:rPr>
        <w:t xml:space="preserve"> </w:t>
      </w:r>
      <w:r>
        <w:rPr>
          <w:sz w:val="16"/>
          <w:lang w:val="cs-CZ"/>
        </w:rPr>
        <w:t>vztahující.</w:t>
      </w:r>
    </w:p>
    <w:p>
      <w:pPr>
        <w:pStyle w:val="Odstavecseseznamem"/>
        <w:numPr>
          <w:ilvl w:val="1"/>
          <w:numId w:val="7"/>
        </w:numPr>
        <w:tabs>
          <w:tab w:val="left" w:pos="543"/>
        </w:tabs>
        <w:spacing w:before="1" w:line="235" w:lineRule="auto"/>
        <w:ind w:right="137"/>
        <w:jc w:val="both"/>
        <w:rPr>
          <w:sz w:val="16"/>
          <w:lang w:val="cs-CZ"/>
        </w:rPr>
      </w:pPr>
      <w:r>
        <w:rPr>
          <w:sz w:val="16"/>
          <w:lang w:val="cs-CZ"/>
        </w:rPr>
        <w:t>Účastníci tohoto závazkového vztahu neodpovídají, vedle případů stanovených příslušným zákonem, za porušení závazků způsobené vyšší mocí, tj. okolnostmi nastalými nezávisle na vůli účastníků, které nebylo možno ani s vynaložením veškerého možného úsilí odvrátit, resp. jsou objektivně neodvratitelnou</w:t>
      </w:r>
      <w:r>
        <w:rPr>
          <w:spacing w:val="-22"/>
          <w:sz w:val="16"/>
          <w:lang w:val="cs-CZ"/>
        </w:rPr>
        <w:t xml:space="preserve"> </w:t>
      </w:r>
      <w:r>
        <w:rPr>
          <w:sz w:val="16"/>
          <w:lang w:val="cs-CZ"/>
        </w:rPr>
        <w:t>náhodou.</w:t>
      </w:r>
    </w:p>
    <w:p>
      <w:pPr>
        <w:pStyle w:val="Nadpis4"/>
        <w:numPr>
          <w:ilvl w:val="0"/>
          <w:numId w:val="7"/>
        </w:numPr>
        <w:tabs>
          <w:tab w:val="left" w:pos="543"/>
        </w:tabs>
        <w:ind w:hanging="396"/>
        <w:rPr>
          <w:lang w:val="cs-CZ"/>
        </w:rPr>
      </w:pPr>
      <w:r>
        <w:rPr>
          <w:lang w:val="cs-CZ"/>
        </w:rPr>
        <w:t>Technická a systémová</w:t>
      </w:r>
      <w:r>
        <w:rPr>
          <w:spacing w:val="-3"/>
          <w:lang w:val="cs-CZ"/>
        </w:rPr>
        <w:t xml:space="preserve"> </w:t>
      </w:r>
      <w:r>
        <w:rPr>
          <w:lang w:val="cs-CZ"/>
        </w:rPr>
        <w:t>podpora</w:t>
      </w:r>
    </w:p>
    <w:p>
      <w:pPr>
        <w:pStyle w:val="Odstavecseseznamem"/>
        <w:numPr>
          <w:ilvl w:val="1"/>
          <w:numId w:val="7"/>
        </w:numPr>
        <w:tabs>
          <w:tab w:val="left" w:pos="543"/>
        </w:tabs>
        <w:spacing w:before="3" w:line="235" w:lineRule="auto"/>
        <w:ind w:right="134"/>
        <w:jc w:val="both"/>
        <w:rPr>
          <w:sz w:val="16"/>
          <w:lang w:val="cs-CZ"/>
        </w:rPr>
      </w:pPr>
      <w:r>
        <w:rPr>
          <w:sz w:val="16"/>
          <w:lang w:val="cs-CZ"/>
        </w:rPr>
        <w:t xml:space="preserve">Dodavatel poskytuje odběrateli </w:t>
      </w:r>
      <w:proofErr w:type="spellStart"/>
      <w:r>
        <w:rPr>
          <w:sz w:val="16"/>
          <w:lang w:val="cs-CZ"/>
        </w:rPr>
        <w:t>technicko-systémovou</w:t>
      </w:r>
      <w:proofErr w:type="spellEnd"/>
      <w:r>
        <w:rPr>
          <w:sz w:val="16"/>
          <w:lang w:val="cs-CZ"/>
        </w:rPr>
        <w:t xml:space="preserve"> podporu předmětu plnění. Tato podpora má dvě</w:t>
      </w:r>
      <w:r>
        <w:rPr>
          <w:spacing w:val="-3"/>
          <w:sz w:val="16"/>
          <w:lang w:val="cs-CZ"/>
        </w:rPr>
        <w:t xml:space="preserve"> </w:t>
      </w:r>
      <w:r>
        <w:rPr>
          <w:sz w:val="16"/>
          <w:lang w:val="cs-CZ"/>
        </w:rPr>
        <w:t>úrovně:</w:t>
      </w:r>
    </w:p>
    <w:p>
      <w:pPr>
        <w:pStyle w:val="Zkladntext"/>
        <w:spacing w:line="235" w:lineRule="auto"/>
        <w:ind w:left="316" w:right="134" w:hanging="113"/>
        <w:rPr>
          <w:lang w:val="cs-CZ"/>
        </w:rPr>
      </w:pPr>
      <w:r>
        <w:rPr>
          <w:u w:val="single"/>
          <w:lang w:val="cs-CZ"/>
        </w:rPr>
        <w:t>Základní podpora</w:t>
      </w:r>
      <w:r>
        <w:rPr>
          <w:lang w:val="cs-CZ"/>
        </w:rPr>
        <w:t xml:space="preserve"> - zajišťující provozuschopnost předmětu plnění v rozsahu, který odpovídá užití, pro které byl předmět plnění dodán, resp. dodavatelem instalován. Jedná se např. o odstranění chybových stavů, opravy (nové verze) systémových ovladačů a doplňující informace, které nejsou v dodané dokumentaci a jsou nezbytné k užívání předmětu plnění. Za základní podporu se nepovažuje zejména odstraňování chybových stavů, způsobených nesprávnou obsluhou anebo vzniklých v souvislosti se změnou konfigurace zařízení a použitého operačního systému/prostředí včetně upgradů, pokud tyto neprovádí a nedodává dodavatel. Za základní podporu se dále nepovažuje podpora nasazení systému se softwarovými aplikacemi, které nebyly dodány a instalovány dodavatelem, pokud není výslovně uvedeno jinak.</w:t>
      </w:r>
    </w:p>
    <w:p>
      <w:pPr>
        <w:pStyle w:val="Zkladntext"/>
        <w:spacing w:line="235" w:lineRule="auto"/>
        <w:ind w:left="316" w:right="134" w:hanging="113"/>
        <w:rPr>
          <w:lang w:val="cs-CZ"/>
        </w:rPr>
      </w:pPr>
      <w:r>
        <w:rPr>
          <w:u w:val="single"/>
          <w:lang w:val="cs-CZ"/>
        </w:rPr>
        <w:t>Nadstandardní podpora</w:t>
      </w:r>
      <w:r>
        <w:rPr>
          <w:lang w:val="cs-CZ"/>
        </w:rPr>
        <w:t xml:space="preserve"> - řeší stavy předmětu plnění, související se změnami konfigurace, anebo způsobu užití odlišně od stavu, pro který byl předmět plnění dodán. Jedná se např. o změny (rozšiřování) konfigurací/reinstalaci předmětu plnění na jiném místě, ve spojení s jiným zařízením anebo jiným operačním systémem, než který byl původně instalován; dále pak o dodávky systémových ovladačů, konzultace související s obsluhou, školení obsluhy a řešení chybových stavů vzniklých v důsledku změn konfigurace, pokud tyto změny neprovádí a nedodává dodavatel. Nadstandardní podporu poskytuje dodavatel odběrateli na základě</w:t>
      </w:r>
      <w:r>
        <w:rPr>
          <w:spacing w:val="-9"/>
          <w:lang w:val="cs-CZ"/>
        </w:rPr>
        <w:t xml:space="preserve"> </w:t>
      </w:r>
      <w:r>
        <w:rPr>
          <w:lang w:val="cs-CZ"/>
        </w:rPr>
        <w:t>objednávky.</w:t>
      </w:r>
    </w:p>
    <w:p>
      <w:pPr>
        <w:pStyle w:val="Odstavecseseznamem"/>
        <w:numPr>
          <w:ilvl w:val="1"/>
          <w:numId w:val="7"/>
        </w:numPr>
        <w:tabs>
          <w:tab w:val="left" w:pos="543"/>
        </w:tabs>
        <w:spacing w:before="1" w:line="235" w:lineRule="auto"/>
        <w:ind w:right="136"/>
        <w:jc w:val="both"/>
        <w:rPr>
          <w:sz w:val="16"/>
          <w:lang w:val="cs-CZ"/>
        </w:rPr>
      </w:pPr>
      <w:r>
        <w:rPr>
          <w:sz w:val="16"/>
          <w:lang w:val="cs-CZ"/>
        </w:rPr>
        <w:t>Základní podpora poskytovaná v místě dodavatele je po dobu záruky bezplatná, náklady na nadstandardní podporu je dodavatel oprávněn účtovat dle aktuálního ceníku služeb včetně souvisejících</w:t>
      </w:r>
      <w:r>
        <w:rPr>
          <w:spacing w:val="-2"/>
          <w:sz w:val="16"/>
          <w:lang w:val="cs-CZ"/>
        </w:rPr>
        <w:t xml:space="preserve"> </w:t>
      </w:r>
      <w:r>
        <w:rPr>
          <w:sz w:val="16"/>
          <w:lang w:val="cs-CZ"/>
        </w:rPr>
        <w:t>nákladů.</w:t>
      </w:r>
    </w:p>
    <w:p>
      <w:pPr>
        <w:pStyle w:val="Odstavecseseznamem"/>
        <w:numPr>
          <w:ilvl w:val="1"/>
          <w:numId w:val="7"/>
        </w:numPr>
        <w:tabs>
          <w:tab w:val="left" w:pos="543"/>
        </w:tabs>
        <w:spacing w:line="235" w:lineRule="auto"/>
        <w:ind w:right="134"/>
        <w:jc w:val="both"/>
        <w:rPr>
          <w:sz w:val="16"/>
          <w:lang w:val="cs-CZ"/>
        </w:rPr>
      </w:pPr>
      <w:r>
        <w:rPr>
          <w:sz w:val="16"/>
          <w:lang w:val="cs-CZ"/>
        </w:rPr>
        <w:t>Na základě požadavku odběratele mohou být sjednány podmínky poskytování nadstandardní podpory v rámci dodávky předmětu</w:t>
      </w:r>
      <w:r>
        <w:rPr>
          <w:spacing w:val="-12"/>
          <w:sz w:val="16"/>
          <w:lang w:val="cs-CZ"/>
        </w:rPr>
        <w:t xml:space="preserve"> </w:t>
      </w:r>
      <w:r>
        <w:rPr>
          <w:sz w:val="16"/>
          <w:lang w:val="cs-CZ"/>
        </w:rPr>
        <w:t>plnění.</w:t>
      </w:r>
    </w:p>
    <w:p>
      <w:pPr>
        <w:pStyle w:val="Odstavecseseznamem"/>
        <w:numPr>
          <w:ilvl w:val="1"/>
          <w:numId w:val="7"/>
        </w:numPr>
        <w:tabs>
          <w:tab w:val="left" w:pos="543"/>
        </w:tabs>
        <w:spacing w:line="235" w:lineRule="auto"/>
        <w:ind w:right="136"/>
        <w:jc w:val="both"/>
        <w:rPr>
          <w:sz w:val="16"/>
          <w:lang w:val="cs-CZ"/>
        </w:rPr>
      </w:pPr>
      <w:r>
        <w:rPr>
          <w:sz w:val="16"/>
          <w:lang w:val="cs-CZ"/>
        </w:rPr>
        <w:t>Po uplynutí záruční doby je veškerá technická a systémová podpora placenou službou. Účastníci tohoto závazkového vztahu mohou uzavřít samostatnou smlouvu na poskytování pozáručního servisu nebo technické a systémové podpory.</w:t>
      </w:r>
    </w:p>
    <w:p>
      <w:pPr>
        <w:pStyle w:val="Odstavecseseznamem"/>
        <w:numPr>
          <w:ilvl w:val="1"/>
          <w:numId w:val="7"/>
        </w:numPr>
        <w:tabs>
          <w:tab w:val="left" w:pos="543"/>
        </w:tabs>
        <w:spacing w:before="1" w:line="235" w:lineRule="auto"/>
        <w:ind w:right="136"/>
        <w:jc w:val="both"/>
        <w:rPr>
          <w:sz w:val="16"/>
          <w:lang w:val="cs-CZ"/>
        </w:rPr>
      </w:pPr>
      <w:r>
        <w:rPr>
          <w:sz w:val="16"/>
          <w:lang w:val="cs-CZ"/>
        </w:rPr>
        <w:t>Technická a systémová podpora je zajišťována prostřednictvím Hot-Line, elektronických služeb AUTOCONT (WWW), telefonických a osobních konzultací, popř. zásahem dodavatelem pověřených osob v místě instalace. Dodavatel je podle svého uvážení oprávněn zvolit postup, dostačující pro zajištění cílového stavu. Dodavatel přitom předpokládá, že odběratelem určená osoba je schopna provádět alespoň základní obsluhu předmětu</w:t>
      </w:r>
      <w:r>
        <w:rPr>
          <w:spacing w:val="-7"/>
          <w:sz w:val="16"/>
          <w:lang w:val="cs-CZ"/>
        </w:rPr>
        <w:t xml:space="preserve"> </w:t>
      </w:r>
      <w:r>
        <w:rPr>
          <w:sz w:val="16"/>
          <w:lang w:val="cs-CZ"/>
        </w:rPr>
        <w:t>plnění.</w:t>
      </w:r>
    </w:p>
    <w:p>
      <w:pPr>
        <w:pStyle w:val="Nadpis4"/>
        <w:numPr>
          <w:ilvl w:val="0"/>
          <w:numId w:val="7"/>
        </w:numPr>
        <w:tabs>
          <w:tab w:val="left" w:pos="543"/>
        </w:tabs>
        <w:spacing w:line="229" w:lineRule="exact"/>
        <w:ind w:hanging="396"/>
        <w:rPr>
          <w:lang w:val="cs-CZ"/>
        </w:rPr>
      </w:pPr>
      <w:proofErr w:type="spellStart"/>
      <w:r>
        <w:rPr>
          <w:lang w:val="cs-CZ"/>
        </w:rPr>
        <w:t>Compliance</w:t>
      </w:r>
      <w:proofErr w:type="spellEnd"/>
      <w:r>
        <w:rPr>
          <w:lang w:val="cs-CZ"/>
        </w:rPr>
        <w:t xml:space="preserve"> smluvní</w:t>
      </w:r>
      <w:r>
        <w:rPr>
          <w:spacing w:val="-1"/>
          <w:lang w:val="cs-CZ"/>
        </w:rPr>
        <w:t xml:space="preserve"> </w:t>
      </w:r>
      <w:r>
        <w:rPr>
          <w:lang w:val="cs-CZ"/>
        </w:rPr>
        <w:t>doložka</w:t>
      </w:r>
    </w:p>
    <w:p>
      <w:pPr>
        <w:pStyle w:val="Zkladntext"/>
        <w:spacing w:line="180" w:lineRule="exact"/>
        <w:ind w:left="146"/>
        <w:jc w:val="left"/>
        <w:rPr>
          <w:lang w:val="cs-CZ"/>
        </w:rPr>
      </w:pPr>
      <w:r>
        <w:rPr>
          <w:lang w:val="cs-CZ"/>
        </w:rPr>
        <w:t>Každá ze smluvních stran prohlašuje:</w:t>
      </w:r>
    </w:p>
    <w:p>
      <w:pPr>
        <w:pStyle w:val="Odstavecseseznamem"/>
        <w:numPr>
          <w:ilvl w:val="1"/>
          <w:numId w:val="7"/>
        </w:numPr>
        <w:tabs>
          <w:tab w:val="left" w:pos="543"/>
        </w:tabs>
        <w:spacing w:before="1" w:line="235" w:lineRule="auto"/>
        <w:ind w:left="146" w:right="134" w:firstLine="0"/>
        <w:jc w:val="both"/>
        <w:rPr>
          <w:sz w:val="16"/>
          <w:lang w:val="cs-CZ"/>
        </w:rPr>
      </w:pPr>
      <w:r>
        <w:rPr>
          <w:sz w:val="16"/>
          <w:lang w:val="cs-CZ"/>
        </w:rPr>
        <w:t>že se nepodílela, nepodílí a nebude podílet na páchání trestné činnosti ve smyslu zákona č. 418/2011 Sb., o trestní odpovědnosti právnických osob a řízení proti nim, v platném znění,</w:t>
      </w:r>
      <w:r>
        <w:rPr>
          <w:spacing w:val="-3"/>
          <w:sz w:val="16"/>
          <w:lang w:val="cs-CZ"/>
        </w:rPr>
        <w:t xml:space="preserve"> </w:t>
      </w:r>
      <w:r>
        <w:rPr>
          <w:sz w:val="16"/>
          <w:lang w:val="cs-CZ"/>
        </w:rPr>
        <w:t>zejména:</w:t>
      </w:r>
    </w:p>
    <w:p>
      <w:pPr>
        <w:pStyle w:val="Odstavecseseznamem"/>
        <w:numPr>
          <w:ilvl w:val="2"/>
          <w:numId w:val="7"/>
        </w:numPr>
        <w:tabs>
          <w:tab w:val="left" w:pos="713"/>
        </w:tabs>
        <w:spacing w:line="183" w:lineRule="exact"/>
        <w:ind w:hanging="509"/>
        <w:rPr>
          <w:sz w:val="16"/>
          <w:lang w:val="cs-CZ"/>
        </w:rPr>
      </w:pPr>
      <w:r>
        <w:rPr>
          <w:sz w:val="16"/>
          <w:lang w:val="cs-CZ"/>
        </w:rPr>
        <w:t>nebude poskytovat žádné osobě</w:t>
      </w:r>
      <w:r>
        <w:rPr>
          <w:spacing w:val="-18"/>
          <w:sz w:val="16"/>
          <w:lang w:val="cs-CZ"/>
        </w:rPr>
        <w:t xml:space="preserve"> </w:t>
      </w:r>
      <w:r>
        <w:rPr>
          <w:sz w:val="16"/>
          <w:lang w:val="cs-CZ"/>
        </w:rPr>
        <w:t>úplatky,</w:t>
      </w:r>
    </w:p>
    <w:p>
      <w:pPr>
        <w:pStyle w:val="Odstavecseseznamem"/>
        <w:numPr>
          <w:ilvl w:val="2"/>
          <w:numId w:val="7"/>
        </w:numPr>
        <w:tabs>
          <w:tab w:val="left" w:pos="713"/>
        </w:tabs>
        <w:spacing w:before="1" w:line="183" w:lineRule="exact"/>
        <w:ind w:hanging="509"/>
        <w:rPr>
          <w:sz w:val="16"/>
          <w:lang w:val="cs-CZ"/>
        </w:rPr>
      </w:pPr>
      <w:r>
        <w:rPr>
          <w:sz w:val="16"/>
          <w:lang w:val="cs-CZ"/>
        </w:rPr>
        <w:t>nebude od žádné osoby úplatky</w:t>
      </w:r>
      <w:r>
        <w:rPr>
          <w:spacing w:val="-13"/>
          <w:sz w:val="16"/>
          <w:lang w:val="cs-CZ"/>
        </w:rPr>
        <w:t xml:space="preserve"> </w:t>
      </w:r>
      <w:r>
        <w:rPr>
          <w:sz w:val="16"/>
          <w:lang w:val="cs-CZ"/>
        </w:rPr>
        <w:t>přijímat,</w:t>
      </w:r>
    </w:p>
    <w:p>
      <w:pPr>
        <w:pStyle w:val="Odstavecseseznamem"/>
        <w:numPr>
          <w:ilvl w:val="2"/>
          <w:numId w:val="7"/>
        </w:numPr>
        <w:tabs>
          <w:tab w:val="left" w:pos="713"/>
        </w:tabs>
        <w:ind w:right="137" w:hanging="509"/>
        <w:rPr>
          <w:sz w:val="16"/>
          <w:lang w:val="cs-CZ"/>
        </w:rPr>
      </w:pPr>
      <w:r>
        <w:rPr>
          <w:sz w:val="16"/>
          <w:lang w:val="cs-CZ"/>
        </w:rPr>
        <w:t>nebude navrhovat ani žádat o žádné úplatky, nebude je nabízet, zprostředkovávat ani s nimi jinak</w:t>
      </w:r>
      <w:r>
        <w:rPr>
          <w:spacing w:val="-10"/>
          <w:sz w:val="16"/>
          <w:lang w:val="cs-CZ"/>
        </w:rPr>
        <w:t xml:space="preserve"> </w:t>
      </w:r>
      <w:r>
        <w:rPr>
          <w:sz w:val="16"/>
          <w:lang w:val="cs-CZ"/>
        </w:rPr>
        <w:t>nakládat,</w:t>
      </w:r>
    </w:p>
    <w:p>
      <w:pPr>
        <w:rPr>
          <w:sz w:val="16"/>
          <w:lang w:val="cs-CZ"/>
        </w:rPr>
        <w:sectPr>
          <w:pgSz w:w="11900" w:h="16840"/>
          <w:pgMar w:top="600" w:right="420" w:bottom="840" w:left="420" w:header="0" w:footer="583" w:gutter="0"/>
          <w:cols w:num="2" w:space="708" w:equalWidth="0">
            <w:col w:w="5434" w:space="95"/>
            <w:col w:w="5531"/>
          </w:cols>
        </w:sectPr>
      </w:pPr>
    </w:p>
    <w:p>
      <w:pPr>
        <w:pStyle w:val="Odstavecseseznamem"/>
        <w:numPr>
          <w:ilvl w:val="2"/>
          <w:numId w:val="7"/>
        </w:numPr>
        <w:tabs>
          <w:tab w:val="left" w:pos="713"/>
        </w:tabs>
        <w:spacing w:before="75"/>
        <w:ind w:hanging="509"/>
        <w:rPr>
          <w:sz w:val="16"/>
          <w:lang w:val="cs-CZ"/>
        </w:rPr>
      </w:pPr>
      <w:r>
        <w:rPr>
          <w:sz w:val="16"/>
          <w:lang w:val="cs-CZ"/>
        </w:rPr>
        <w:lastRenderedPageBreak/>
        <w:t>nebude zajišťovat ani využívat k jakémukoli jednání uvedenému</w:t>
      </w:r>
      <w:r>
        <w:rPr>
          <w:spacing w:val="6"/>
          <w:sz w:val="16"/>
          <w:lang w:val="cs-CZ"/>
        </w:rPr>
        <w:t xml:space="preserve"> </w:t>
      </w:r>
      <w:r>
        <w:rPr>
          <w:sz w:val="16"/>
          <w:lang w:val="cs-CZ"/>
        </w:rPr>
        <w:t>v bodech</w:t>
      </w:r>
    </w:p>
    <w:p>
      <w:pPr>
        <w:pStyle w:val="Zkladntext"/>
        <w:spacing w:before="2"/>
        <w:ind w:left="712"/>
        <w:jc w:val="left"/>
        <w:rPr>
          <w:lang w:val="cs-CZ"/>
        </w:rPr>
      </w:pPr>
      <w:r>
        <w:rPr>
          <w:lang w:val="cs-CZ"/>
        </w:rPr>
        <w:t>15.1.1 až 15.1.3. tohoto článku žádné jiné osoby,</w:t>
      </w:r>
    </w:p>
    <w:p>
      <w:pPr>
        <w:pStyle w:val="Odstavecseseznamem"/>
        <w:numPr>
          <w:ilvl w:val="1"/>
          <w:numId w:val="1"/>
        </w:numPr>
        <w:tabs>
          <w:tab w:val="left" w:pos="543"/>
        </w:tabs>
        <w:spacing w:before="18"/>
        <w:ind w:right="40"/>
        <w:jc w:val="both"/>
        <w:rPr>
          <w:sz w:val="16"/>
          <w:lang w:val="cs-CZ"/>
        </w:rPr>
      </w:pPr>
      <w:r>
        <w:rPr>
          <w:sz w:val="16"/>
          <w:lang w:val="cs-CZ"/>
        </w:rPr>
        <w:t>že zavedla a bude řádně činit náležitá kontrolní a jiná obdobná opatření nad činností svých zaměstnanců a obchodních zástupců a zajistí, aby v souladu se zásadami uvedenými v tomto článku postupovali i všichni její vedoucí</w:t>
      </w:r>
      <w:r>
        <w:rPr>
          <w:spacing w:val="-24"/>
          <w:sz w:val="16"/>
          <w:lang w:val="cs-CZ"/>
        </w:rPr>
        <w:t xml:space="preserve"> </w:t>
      </w:r>
      <w:r>
        <w:rPr>
          <w:sz w:val="16"/>
          <w:lang w:val="cs-CZ"/>
        </w:rPr>
        <w:t>pracovníci,</w:t>
      </w:r>
    </w:p>
    <w:p>
      <w:pPr>
        <w:pStyle w:val="Odstavecseseznamem"/>
        <w:numPr>
          <w:ilvl w:val="1"/>
          <w:numId w:val="1"/>
        </w:numPr>
        <w:tabs>
          <w:tab w:val="left" w:pos="543"/>
        </w:tabs>
        <w:spacing w:before="20"/>
        <w:ind w:right="38"/>
        <w:jc w:val="both"/>
        <w:rPr>
          <w:sz w:val="16"/>
          <w:lang w:val="cs-CZ"/>
        </w:rPr>
      </w:pPr>
      <w:r>
        <w:rPr>
          <w:sz w:val="16"/>
          <w:lang w:val="cs-CZ"/>
        </w:rPr>
        <w:t xml:space="preserve">že učinila a bude řádně činit nezbytná opatření k zamezení nebo odvrácení případných následků spáchaného trestného činu a v případě, že bude mít podezření, že v </w:t>
      </w:r>
      <w:proofErr w:type="gramStart"/>
      <w:r>
        <w:rPr>
          <w:sz w:val="16"/>
          <w:lang w:val="cs-CZ"/>
        </w:rPr>
        <w:t>plněním</w:t>
      </w:r>
      <w:proofErr w:type="gramEnd"/>
      <w:r>
        <w:rPr>
          <w:sz w:val="16"/>
          <w:lang w:val="cs-CZ"/>
        </w:rPr>
        <w:t xml:space="preserve"> smlouvy došlo nebo dochází k trestné činnosti, nebo se o jakémkoli takovém jednání dozví, neprodleně vyrozumí druhou smluvní</w:t>
      </w:r>
      <w:r>
        <w:rPr>
          <w:spacing w:val="-18"/>
          <w:sz w:val="16"/>
          <w:lang w:val="cs-CZ"/>
        </w:rPr>
        <w:t xml:space="preserve"> </w:t>
      </w:r>
      <w:r>
        <w:rPr>
          <w:sz w:val="16"/>
          <w:lang w:val="cs-CZ"/>
        </w:rPr>
        <w:t>stranu,</w:t>
      </w:r>
    </w:p>
    <w:p>
      <w:pPr>
        <w:pStyle w:val="Odstavecseseznamem"/>
        <w:numPr>
          <w:ilvl w:val="1"/>
          <w:numId w:val="1"/>
        </w:numPr>
        <w:tabs>
          <w:tab w:val="left" w:pos="543"/>
        </w:tabs>
        <w:spacing w:before="1" w:line="235" w:lineRule="auto"/>
        <w:ind w:left="146" w:right="40" w:firstLine="0"/>
        <w:jc w:val="both"/>
        <w:rPr>
          <w:sz w:val="16"/>
          <w:lang w:val="cs-CZ"/>
        </w:rPr>
      </w:pPr>
      <w:r>
        <w:rPr>
          <w:sz w:val="16"/>
          <w:lang w:val="cs-CZ"/>
        </w:rPr>
        <w:t>že provedla a bude provádět taková opatření, která měla či má provést podle právních, jakožto i svých vnitřních</w:t>
      </w:r>
      <w:r>
        <w:rPr>
          <w:spacing w:val="-4"/>
          <w:sz w:val="16"/>
          <w:lang w:val="cs-CZ"/>
        </w:rPr>
        <w:t xml:space="preserve"> </w:t>
      </w:r>
      <w:r>
        <w:rPr>
          <w:sz w:val="16"/>
          <w:lang w:val="cs-CZ"/>
        </w:rPr>
        <w:t>předpisů,</w:t>
      </w:r>
    </w:p>
    <w:p>
      <w:pPr>
        <w:pStyle w:val="Odstavecseseznamem"/>
        <w:numPr>
          <w:ilvl w:val="1"/>
          <w:numId w:val="1"/>
        </w:numPr>
        <w:tabs>
          <w:tab w:val="left" w:pos="543"/>
        </w:tabs>
        <w:spacing w:line="235" w:lineRule="auto"/>
        <w:ind w:left="146" w:right="40" w:firstLine="0"/>
        <w:jc w:val="both"/>
        <w:rPr>
          <w:sz w:val="16"/>
          <w:lang w:val="cs-CZ"/>
        </w:rPr>
      </w:pPr>
      <w:r>
        <w:rPr>
          <w:sz w:val="16"/>
          <w:lang w:val="cs-CZ"/>
        </w:rPr>
        <w:t xml:space="preserve">že z hlediska prevence trestní odpovědnosti právnických osob učinila a bude činit vše, co po ní lze spravedlivě požadovat, zejm. přijala Etický kodex a zásady </w:t>
      </w:r>
      <w:proofErr w:type="spellStart"/>
      <w:r>
        <w:rPr>
          <w:sz w:val="16"/>
          <w:lang w:val="cs-CZ"/>
        </w:rPr>
        <w:t>Compliance</w:t>
      </w:r>
      <w:proofErr w:type="spellEnd"/>
      <w:r>
        <w:rPr>
          <w:sz w:val="16"/>
          <w:lang w:val="cs-CZ"/>
        </w:rPr>
        <w:t xml:space="preserve"> programu.</w:t>
      </w:r>
    </w:p>
    <w:p>
      <w:pPr>
        <w:pStyle w:val="Zkladntext"/>
        <w:spacing w:line="235" w:lineRule="auto"/>
        <w:ind w:left="146" w:right="38"/>
        <w:rPr>
          <w:lang w:val="cs-CZ"/>
        </w:rPr>
      </w:pPr>
      <w:r>
        <w:rPr>
          <w:lang w:val="cs-CZ"/>
        </w:rPr>
        <w:t>Porušení tohoto článku 15. bude považováno za podstatné porušení Smlouvy. Porušení tohoto ustanovení zakládá právo druhé smluvní strany Smlouvy ukončit Smlouvu bez výpovědní lhůty či na základě 30denní výpovědní lhůty (dle jejího výhradního uvážení).</w:t>
      </w:r>
    </w:p>
    <w:p>
      <w:pPr>
        <w:pStyle w:val="Nadpis4"/>
        <w:numPr>
          <w:ilvl w:val="0"/>
          <w:numId w:val="7"/>
        </w:numPr>
        <w:tabs>
          <w:tab w:val="left" w:pos="543"/>
        </w:tabs>
        <w:ind w:hanging="396"/>
        <w:rPr>
          <w:lang w:val="cs-CZ"/>
        </w:rPr>
      </w:pPr>
      <w:r>
        <w:rPr>
          <w:lang w:val="cs-CZ"/>
        </w:rPr>
        <w:t>Obecná</w:t>
      </w:r>
      <w:r>
        <w:rPr>
          <w:spacing w:val="-2"/>
          <w:lang w:val="cs-CZ"/>
        </w:rPr>
        <w:t xml:space="preserve"> </w:t>
      </w:r>
      <w:r>
        <w:rPr>
          <w:lang w:val="cs-CZ"/>
        </w:rPr>
        <w:t>ustanovení</w:t>
      </w:r>
    </w:p>
    <w:p>
      <w:pPr>
        <w:pStyle w:val="Odstavecseseznamem"/>
        <w:numPr>
          <w:ilvl w:val="1"/>
          <w:numId w:val="7"/>
        </w:numPr>
        <w:tabs>
          <w:tab w:val="left" w:pos="543"/>
        </w:tabs>
        <w:spacing w:before="3" w:line="235" w:lineRule="auto"/>
        <w:ind w:right="40"/>
        <w:jc w:val="both"/>
        <w:rPr>
          <w:sz w:val="16"/>
          <w:lang w:val="cs-CZ"/>
        </w:rPr>
      </w:pPr>
      <w:r>
        <w:rPr>
          <w:sz w:val="16"/>
          <w:lang w:val="cs-CZ"/>
        </w:rPr>
        <w:t>Dodavatel je oprávněn odstoupit od tohoto závazkového vztahu v případě, že odběratel je v prodlení s úhradou finančních částek dle těchto Všeobecných podmínek po dobu delší než 14 dní. Dodavatel je dále oprávněn realizovat výhradu vlastnictví dle těchto Všeobecných</w:t>
      </w:r>
      <w:r>
        <w:rPr>
          <w:spacing w:val="-4"/>
          <w:sz w:val="16"/>
          <w:lang w:val="cs-CZ"/>
        </w:rPr>
        <w:t xml:space="preserve"> </w:t>
      </w:r>
      <w:r>
        <w:rPr>
          <w:sz w:val="16"/>
          <w:lang w:val="cs-CZ"/>
        </w:rPr>
        <w:t>podmínek.</w:t>
      </w:r>
    </w:p>
    <w:p>
      <w:pPr>
        <w:pStyle w:val="Odstavecseseznamem"/>
        <w:numPr>
          <w:ilvl w:val="1"/>
          <w:numId w:val="7"/>
        </w:numPr>
        <w:tabs>
          <w:tab w:val="left" w:pos="543"/>
        </w:tabs>
        <w:spacing w:before="76" w:line="235" w:lineRule="auto"/>
        <w:ind w:right="136"/>
        <w:jc w:val="both"/>
        <w:rPr>
          <w:sz w:val="16"/>
          <w:lang w:val="cs-CZ"/>
        </w:rPr>
      </w:pPr>
      <w:r>
        <w:rPr>
          <w:sz w:val="16"/>
          <w:lang w:val="cs-CZ"/>
        </w:rPr>
        <w:br w:type="column"/>
      </w:r>
      <w:r>
        <w:rPr>
          <w:sz w:val="16"/>
          <w:lang w:val="cs-CZ"/>
        </w:rPr>
        <w:lastRenderedPageBreak/>
        <w:t>Nastane-li situace předpokládaná v předchozím článku, jsou účastníci tohoto závazkového vztahu povinni vrátit si vše, co si na jeho základě poskytli, a to nejpozději ve lhůtě do 10 dnů ode dne doručení písemného rozhodnutí o odstoupení, resp. rozhodnutí o realizaci výhrady vlastnického</w:t>
      </w:r>
      <w:r>
        <w:rPr>
          <w:spacing w:val="-13"/>
          <w:sz w:val="16"/>
          <w:lang w:val="cs-CZ"/>
        </w:rPr>
        <w:t xml:space="preserve"> </w:t>
      </w:r>
      <w:r>
        <w:rPr>
          <w:sz w:val="16"/>
          <w:lang w:val="cs-CZ"/>
        </w:rPr>
        <w:t>práva.</w:t>
      </w:r>
    </w:p>
    <w:p>
      <w:pPr>
        <w:pStyle w:val="Odstavecseseznamem"/>
        <w:numPr>
          <w:ilvl w:val="1"/>
          <w:numId w:val="7"/>
        </w:numPr>
        <w:tabs>
          <w:tab w:val="left" w:pos="543"/>
        </w:tabs>
        <w:spacing w:line="235" w:lineRule="auto"/>
        <w:ind w:right="136"/>
        <w:jc w:val="both"/>
        <w:rPr>
          <w:sz w:val="16"/>
          <w:lang w:val="cs-CZ"/>
        </w:rPr>
      </w:pPr>
      <w:r>
        <w:rPr>
          <w:sz w:val="16"/>
          <w:lang w:val="cs-CZ"/>
        </w:rPr>
        <w:t>Práva a povinnosti vyplývající z tohoto závazkového vztahu se řídí českým právním řádem. K řešení případných sporů určují účastníci jako příslušný věcně příslušný soud v</w:t>
      </w:r>
      <w:r>
        <w:rPr>
          <w:spacing w:val="-3"/>
          <w:sz w:val="16"/>
          <w:lang w:val="cs-CZ"/>
        </w:rPr>
        <w:t xml:space="preserve"> </w:t>
      </w:r>
      <w:r>
        <w:rPr>
          <w:sz w:val="16"/>
          <w:lang w:val="cs-CZ"/>
        </w:rPr>
        <w:t>Praze.</w:t>
      </w:r>
    </w:p>
    <w:p>
      <w:pPr>
        <w:pStyle w:val="Odstavecseseznamem"/>
        <w:numPr>
          <w:ilvl w:val="1"/>
          <w:numId w:val="7"/>
        </w:numPr>
        <w:tabs>
          <w:tab w:val="left" w:pos="543"/>
        </w:tabs>
        <w:spacing w:before="1" w:line="235" w:lineRule="auto"/>
        <w:ind w:right="136"/>
        <w:jc w:val="both"/>
        <w:rPr>
          <w:sz w:val="16"/>
          <w:lang w:val="cs-CZ"/>
        </w:rPr>
      </w:pPr>
      <w:r>
        <w:rPr>
          <w:sz w:val="16"/>
          <w:lang w:val="cs-CZ"/>
        </w:rPr>
        <w:t>Text těchto Všeobecných podmínek je odběrateli zpřístupněn nejpozději s dodávkou odběratelem objednaného předmětu plnění. Za zpřístupnění Všeobecných podmínek se považuje i jejich uveřejnění na webových stránkách dodavatele. Odběratel je srozuměn s tím, že závazkový vztah vznikající při poskytování výše uvedených plnění a založený okamžikem akceptace odběratelem vystavené objednávky dodavatelem se řídí těmito Všeobecnými</w:t>
      </w:r>
      <w:r>
        <w:rPr>
          <w:spacing w:val="-17"/>
          <w:sz w:val="16"/>
          <w:lang w:val="cs-CZ"/>
        </w:rPr>
        <w:t xml:space="preserve"> </w:t>
      </w:r>
      <w:r>
        <w:rPr>
          <w:sz w:val="16"/>
          <w:lang w:val="cs-CZ"/>
        </w:rPr>
        <w:t>podmínkami.</w:t>
      </w:r>
    </w:p>
    <w:p>
      <w:pPr>
        <w:pStyle w:val="Odstavecseseznamem"/>
        <w:numPr>
          <w:ilvl w:val="1"/>
          <w:numId w:val="7"/>
        </w:numPr>
        <w:tabs>
          <w:tab w:val="left" w:pos="543"/>
        </w:tabs>
        <w:spacing w:line="235" w:lineRule="auto"/>
        <w:ind w:right="136"/>
        <w:jc w:val="both"/>
        <w:rPr>
          <w:sz w:val="16"/>
          <w:lang w:val="cs-CZ"/>
        </w:rPr>
      </w:pPr>
      <w:r>
        <w:rPr>
          <w:sz w:val="16"/>
          <w:lang w:val="cs-CZ"/>
        </w:rPr>
        <w:t>Účastníci tohoto závazkového vztahu sjednávají, že oznámení a jiné písemnosti budou považovány za doručené též dnem, kdy odesílající strana obdrží řádně adresovanou písemnost vrácenou poštovní službou jako nedoručitelnou nebo adresátem</w:t>
      </w:r>
      <w:r>
        <w:rPr>
          <w:spacing w:val="-1"/>
          <w:sz w:val="16"/>
          <w:lang w:val="cs-CZ"/>
        </w:rPr>
        <w:t xml:space="preserve"> </w:t>
      </w:r>
      <w:r>
        <w:rPr>
          <w:sz w:val="16"/>
          <w:lang w:val="cs-CZ"/>
        </w:rPr>
        <w:t>odmítnutou.</w:t>
      </w:r>
    </w:p>
    <w:p>
      <w:pPr>
        <w:pStyle w:val="Odstavecseseznamem"/>
        <w:numPr>
          <w:ilvl w:val="1"/>
          <w:numId w:val="7"/>
        </w:numPr>
        <w:tabs>
          <w:tab w:val="left" w:pos="543"/>
        </w:tabs>
        <w:spacing w:line="235" w:lineRule="auto"/>
        <w:ind w:right="135"/>
        <w:jc w:val="both"/>
        <w:rPr>
          <w:sz w:val="16"/>
          <w:lang w:val="cs-CZ"/>
        </w:rPr>
      </w:pPr>
      <w:r>
        <w:rPr>
          <w:sz w:val="16"/>
          <w:lang w:val="cs-CZ"/>
        </w:rPr>
        <w:t>Na právní jednání a právní vztahy vzniklé před 1. 4. 2019 se vztahují obchodní podmínky, které platily mezi účastníky v době jejich</w:t>
      </w:r>
      <w:r>
        <w:rPr>
          <w:spacing w:val="-12"/>
          <w:sz w:val="16"/>
          <w:lang w:val="cs-CZ"/>
        </w:rPr>
        <w:t xml:space="preserve"> </w:t>
      </w:r>
      <w:r>
        <w:rPr>
          <w:sz w:val="16"/>
          <w:lang w:val="cs-CZ"/>
        </w:rPr>
        <w:t>vzniku.</w:t>
      </w:r>
    </w:p>
    <w:p>
      <w:pPr>
        <w:pStyle w:val="Odstavecseseznamem"/>
        <w:numPr>
          <w:ilvl w:val="1"/>
          <w:numId w:val="7"/>
        </w:numPr>
        <w:tabs>
          <w:tab w:val="left" w:pos="543"/>
        </w:tabs>
        <w:spacing w:line="235" w:lineRule="auto"/>
        <w:ind w:right="154"/>
        <w:rPr>
          <w:sz w:val="16"/>
          <w:lang w:val="cs-CZ"/>
        </w:rPr>
      </w:pPr>
      <w:r>
        <w:rPr>
          <w:sz w:val="16"/>
          <w:lang w:val="cs-CZ"/>
        </w:rPr>
        <w:t xml:space="preserve">Tyto Všeobecné podmínky nabývají platnosti a účinnosti dne 1. 4. 2019 a nahrazují v plném rozsahu Všeobecné obchodní podmínky společnosti AUTOCONT a.s. ze dne </w:t>
      </w:r>
      <w:proofErr w:type="gramStart"/>
      <w:r>
        <w:rPr>
          <w:sz w:val="16"/>
          <w:lang w:val="cs-CZ"/>
        </w:rPr>
        <w:t>21.11.2018</w:t>
      </w:r>
      <w:proofErr w:type="gramEnd"/>
      <w:r>
        <w:rPr>
          <w:sz w:val="16"/>
          <w:lang w:val="cs-CZ"/>
        </w:rPr>
        <w:t>. Tyto Všeobecné podmínky jsou ode dne jejich vyhlášení uveřejněny na Internetu, v katalozích firmy a jsou zveřejněny též ve všech obchodních provozovnách AUTOCONT</w:t>
      </w:r>
      <w:r>
        <w:rPr>
          <w:spacing w:val="-3"/>
          <w:sz w:val="16"/>
          <w:lang w:val="cs-CZ"/>
        </w:rPr>
        <w:t xml:space="preserve"> </w:t>
      </w:r>
      <w:r>
        <w:rPr>
          <w:sz w:val="16"/>
          <w:lang w:val="cs-CZ"/>
        </w:rPr>
        <w:t>a.s.</w:t>
      </w:r>
    </w:p>
    <w:p>
      <w:pPr>
        <w:spacing w:line="235" w:lineRule="auto"/>
        <w:rPr>
          <w:sz w:val="16"/>
          <w:lang w:val="cs-CZ"/>
        </w:rPr>
        <w:sectPr>
          <w:pgSz w:w="11900" w:h="16840"/>
          <w:pgMar w:top="600" w:right="420" w:bottom="840" w:left="420" w:header="0" w:footer="583" w:gutter="0"/>
          <w:cols w:num="2" w:space="708" w:equalWidth="0">
            <w:col w:w="5434" w:space="95"/>
            <w:col w:w="5531"/>
          </w:cols>
        </w:sectPr>
      </w:pPr>
    </w:p>
    <w:p>
      <w:pPr>
        <w:pStyle w:val="Zkladntext"/>
        <w:ind w:left="4207"/>
        <w:jc w:val="left"/>
        <w:rPr>
          <w:sz w:val="20"/>
          <w:lang w:val="cs-CZ"/>
        </w:rPr>
      </w:pPr>
      <w:r>
        <w:rPr>
          <w:noProof/>
          <w:sz w:val="20"/>
          <w:lang w:val="cs-CZ" w:eastAsia="cs-CZ"/>
        </w:rPr>
        <w:lastRenderedPageBreak/>
        <w:drawing>
          <wp:inline distT="0" distB="0" distL="0" distR="0">
            <wp:extent cx="1715063" cy="682751"/>
            <wp:effectExtent l="0" t="0" r="0" b="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eg"/>
                    <pic:cNvPicPr/>
                  </pic:nvPicPr>
                  <pic:blipFill>
                    <a:blip r:embed="rId8" cstate="print"/>
                    <a:stretch>
                      <a:fillRect/>
                    </a:stretch>
                  </pic:blipFill>
                  <pic:spPr>
                    <a:xfrm>
                      <a:off x="0" y="0"/>
                      <a:ext cx="1715063" cy="682751"/>
                    </a:xfrm>
                    <a:prstGeom prst="rect">
                      <a:avLst/>
                    </a:prstGeom>
                  </pic:spPr>
                </pic:pic>
              </a:graphicData>
            </a:graphic>
          </wp:inline>
        </w:drawing>
      </w:r>
    </w:p>
    <w:p>
      <w:pPr>
        <w:pStyle w:val="Zkladntext"/>
        <w:ind w:left="0"/>
        <w:jc w:val="left"/>
        <w:rPr>
          <w:sz w:val="20"/>
          <w:lang w:val="cs-CZ"/>
        </w:rPr>
      </w:pPr>
    </w:p>
    <w:p>
      <w:pPr>
        <w:pStyle w:val="Zkladntext"/>
        <w:spacing w:before="2"/>
        <w:ind w:left="0"/>
        <w:jc w:val="left"/>
        <w:rPr>
          <w:sz w:val="28"/>
          <w:lang w:val="cs-CZ"/>
        </w:rPr>
      </w:pPr>
    </w:p>
    <w:p>
      <w:pPr>
        <w:rPr>
          <w:sz w:val="28"/>
          <w:lang w:val="cs-CZ"/>
        </w:rPr>
        <w:sectPr>
          <w:footerReference w:type="default" r:id="rId25"/>
          <w:pgSz w:w="11900" w:h="16840"/>
          <w:pgMar w:top="780" w:right="420" w:bottom="280" w:left="420" w:header="0" w:footer="0" w:gutter="0"/>
          <w:cols w:space="708"/>
        </w:sectPr>
      </w:pPr>
    </w:p>
    <w:p>
      <w:pPr>
        <w:pStyle w:val="Zkladntext"/>
        <w:spacing w:before="11"/>
        <w:ind w:left="0"/>
        <w:jc w:val="left"/>
        <w:rPr>
          <w:sz w:val="31"/>
          <w:lang w:val="cs-CZ"/>
        </w:rPr>
      </w:pPr>
    </w:p>
    <w:p>
      <w:pPr>
        <w:ind w:left="3333"/>
        <w:rPr>
          <w:rFonts w:ascii="Arial" w:hAnsi="Arial"/>
          <w:b/>
          <w:lang w:val="cs-CZ"/>
        </w:rPr>
      </w:pPr>
      <w:r>
        <w:rPr>
          <w:rFonts w:ascii="Arial" w:hAnsi="Arial"/>
          <w:b/>
          <w:sz w:val="28"/>
          <w:lang w:val="cs-CZ"/>
        </w:rPr>
        <w:t>S</w:t>
      </w:r>
      <w:r>
        <w:rPr>
          <w:rFonts w:ascii="Arial" w:hAnsi="Arial"/>
          <w:b/>
          <w:lang w:val="cs-CZ"/>
        </w:rPr>
        <w:t>PECIFIKACE POŽADOVANÝCH SLUŽEB</w:t>
      </w:r>
    </w:p>
    <w:p>
      <w:pPr>
        <w:pStyle w:val="Nadpis3"/>
        <w:spacing w:before="94"/>
        <w:ind w:left="1161" w:firstLine="0"/>
        <w:rPr>
          <w:rFonts w:ascii="Arial" w:hAnsi="Arial"/>
          <w:lang w:val="cs-CZ"/>
        </w:rPr>
      </w:pPr>
      <w:r>
        <w:rPr>
          <w:lang w:val="cs-CZ"/>
        </w:rPr>
        <w:br w:type="column"/>
      </w:r>
      <w:r>
        <w:rPr>
          <w:rFonts w:ascii="Arial" w:hAnsi="Arial"/>
          <w:lang w:val="cs-CZ"/>
        </w:rPr>
        <w:lastRenderedPageBreak/>
        <w:t>Příloha č. 2</w:t>
      </w:r>
    </w:p>
    <w:p>
      <w:pPr>
        <w:rPr>
          <w:rFonts w:ascii="Arial" w:hAnsi="Arial"/>
          <w:lang w:val="cs-CZ"/>
        </w:rPr>
        <w:sectPr>
          <w:type w:val="continuous"/>
          <w:pgSz w:w="11900" w:h="16840"/>
          <w:pgMar w:top="560" w:right="420" w:bottom="280" w:left="420" w:header="708" w:footer="708" w:gutter="0"/>
          <w:cols w:num="2" w:space="708" w:equalWidth="0">
            <w:col w:w="7725" w:space="40"/>
            <w:col w:w="3295"/>
          </w:cols>
        </w:sectPr>
      </w:pPr>
    </w:p>
    <w:p>
      <w:pPr>
        <w:pStyle w:val="Zkladntext"/>
        <w:ind w:left="0"/>
        <w:jc w:val="left"/>
        <w:rPr>
          <w:rFonts w:ascii="Arial"/>
          <w:sz w:val="20"/>
          <w:lang w:val="cs-CZ"/>
        </w:rPr>
      </w:pPr>
    </w:p>
    <w:p>
      <w:pPr>
        <w:pStyle w:val="Zkladntext"/>
        <w:ind w:left="0"/>
        <w:jc w:val="left"/>
        <w:rPr>
          <w:rFonts w:ascii="Arial"/>
          <w:sz w:val="20"/>
          <w:lang w:val="cs-CZ"/>
        </w:rPr>
      </w:pPr>
    </w:p>
    <w:p>
      <w:pPr>
        <w:pStyle w:val="Zkladntext"/>
        <w:spacing w:before="7"/>
        <w:ind w:left="0"/>
        <w:jc w:val="left"/>
        <w:rPr>
          <w:rFonts w:ascii="Arial"/>
          <w:sz w:val="21"/>
          <w:lang w:val="cs-CZ"/>
        </w:rPr>
      </w:pPr>
    </w:p>
    <w:p>
      <w:pPr>
        <w:tabs>
          <w:tab w:val="left" w:pos="3899"/>
        </w:tabs>
        <w:spacing w:before="94"/>
        <w:ind w:left="1019"/>
        <w:rPr>
          <w:rFonts w:ascii="Arial" w:hAnsi="Arial"/>
          <w:lang w:val="cs-CZ"/>
        </w:rPr>
      </w:pPr>
      <w:r>
        <w:rPr>
          <w:rFonts w:ascii="Arial" w:hAnsi="Arial"/>
          <w:b/>
          <w:lang w:val="cs-CZ"/>
        </w:rPr>
        <w:t>Veřejná</w:t>
      </w:r>
      <w:r>
        <w:rPr>
          <w:rFonts w:ascii="Arial" w:hAnsi="Arial"/>
          <w:b/>
          <w:spacing w:val="-2"/>
          <w:lang w:val="cs-CZ"/>
        </w:rPr>
        <w:t xml:space="preserve"> </w:t>
      </w:r>
      <w:r>
        <w:rPr>
          <w:rFonts w:ascii="Arial" w:hAnsi="Arial"/>
          <w:b/>
          <w:lang w:val="cs-CZ"/>
        </w:rPr>
        <w:t>zakázka:</w:t>
      </w:r>
      <w:r>
        <w:rPr>
          <w:rFonts w:ascii="Arial" w:hAnsi="Arial"/>
          <w:b/>
          <w:lang w:val="cs-CZ"/>
        </w:rPr>
        <w:tab/>
      </w:r>
      <w:r>
        <w:rPr>
          <w:rFonts w:ascii="Arial" w:hAnsi="Arial"/>
          <w:lang w:val="cs-CZ"/>
        </w:rPr>
        <w:t xml:space="preserve">Microsoft </w:t>
      </w:r>
      <w:proofErr w:type="spellStart"/>
      <w:r>
        <w:rPr>
          <w:rFonts w:ascii="Arial" w:hAnsi="Arial"/>
          <w:lang w:val="cs-CZ"/>
        </w:rPr>
        <w:t>Premier</w:t>
      </w:r>
      <w:proofErr w:type="spellEnd"/>
      <w:r>
        <w:rPr>
          <w:rFonts w:ascii="Arial" w:hAnsi="Arial"/>
          <w:lang w:val="cs-CZ"/>
        </w:rPr>
        <w:t xml:space="preserve"> Support pro</w:t>
      </w:r>
      <w:r>
        <w:rPr>
          <w:rFonts w:ascii="Arial" w:hAnsi="Arial"/>
          <w:spacing w:val="-3"/>
          <w:lang w:val="cs-CZ"/>
        </w:rPr>
        <w:t xml:space="preserve"> </w:t>
      </w:r>
      <w:r>
        <w:rPr>
          <w:rFonts w:ascii="Arial" w:hAnsi="Arial"/>
          <w:lang w:val="cs-CZ"/>
        </w:rPr>
        <w:t>SFDI</w:t>
      </w:r>
    </w:p>
    <w:p>
      <w:pPr>
        <w:pStyle w:val="Nadpis2"/>
        <w:spacing w:before="119"/>
        <w:rPr>
          <w:lang w:val="cs-CZ"/>
        </w:rPr>
      </w:pPr>
      <w:r>
        <w:rPr>
          <w:lang w:val="cs-CZ"/>
        </w:rPr>
        <w:t>Identifikace účastníka:</w:t>
      </w:r>
    </w:p>
    <w:p>
      <w:pPr>
        <w:pStyle w:val="Nadpis3"/>
        <w:tabs>
          <w:tab w:val="left" w:pos="3899"/>
        </w:tabs>
        <w:spacing w:before="121"/>
        <w:ind w:left="1019" w:firstLine="0"/>
        <w:rPr>
          <w:rFonts w:ascii="Arial" w:hAnsi="Arial"/>
          <w:lang w:val="cs-CZ"/>
        </w:rPr>
      </w:pPr>
      <w:r>
        <w:rPr>
          <w:rFonts w:ascii="Arial" w:hAnsi="Arial"/>
          <w:lang w:val="cs-CZ"/>
        </w:rPr>
        <w:t>Obchodní</w:t>
      </w:r>
      <w:r>
        <w:rPr>
          <w:rFonts w:ascii="Arial" w:hAnsi="Arial"/>
          <w:spacing w:val="-6"/>
          <w:lang w:val="cs-CZ"/>
        </w:rPr>
        <w:t xml:space="preserve"> </w:t>
      </w:r>
      <w:r>
        <w:rPr>
          <w:rFonts w:ascii="Arial" w:hAnsi="Arial"/>
          <w:lang w:val="cs-CZ"/>
        </w:rPr>
        <w:t>firma/jméno</w:t>
      </w:r>
      <w:r>
        <w:rPr>
          <w:rFonts w:ascii="Arial" w:hAnsi="Arial"/>
          <w:lang w:val="cs-CZ"/>
        </w:rPr>
        <w:tab/>
        <w:t>AUTOCONT</w:t>
      </w:r>
      <w:r>
        <w:rPr>
          <w:rFonts w:ascii="Arial" w:hAnsi="Arial"/>
          <w:spacing w:val="3"/>
          <w:lang w:val="cs-CZ"/>
        </w:rPr>
        <w:t xml:space="preserve"> </w:t>
      </w:r>
      <w:r>
        <w:rPr>
          <w:rFonts w:ascii="Arial" w:hAnsi="Arial"/>
          <w:lang w:val="cs-CZ"/>
        </w:rPr>
        <w:t>a.s.</w:t>
      </w:r>
    </w:p>
    <w:p>
      <w:pPr>
        <w:tabs>
          <w:tab w:val="left" w:pos="3900"/>
        </w:tabs>
        <w:spacing w:before="2" w:line="252" w:lineRule="exact"/>
        <w:ind w:left="1019"/>
        <w:rPr>
          <w:rFonts w:ascii="Arial" w:hAnsi="Arial"/>
          <w:lang w:val="cs-CZ"/>
        </w:rPr>
      </w:pPr>
      <w:r>
        <w:rPr>
          <w:rFonts w:ascii="Arial" w:hAnsi="Arial"/>
          <w:lang w:val="cs-CZ"/>
        </w:rPr>
        <w:t>Sídlo</w:t>
      </w:r>
      <w:r>
        <w:rPr>
          <w:rFonts w:ascii="Arial" w:hAnsi="Arial"/>
          <w:lang w:val="cs-CZ"/>
        </w:rPr>
        <w:tab/>
        <w:t>Hornopolní 3322/34, 702 00 Ostrava – Moravská</w:t>
      </w:r>
      <w:r>
        <w:rPr>
          <w:rFonts w:ascii="Arial" w:hAnsi="Arial"/>
          <w:spacing w:val="-11"/>
          <w:lang w:val="cs-CZ"/>
        </w:rPr>
        <w:t xml:space="preserve"> </w:t>
      </w:r>
      <w:r>
        <w:rPr>
          <w:rFonts w:ascii="Arial" w:hAnsi="Arial"/>
          <w:lang w:val="cs-CZ"/>
        </w:rPr>
        <w:t>Ostrava</w:t>
      </w:r>
    </w:p>
    <w:p>
      <w:pPr>
        <w:tabs>
          <w:tab w:val="right" w:pos="4879"/>
        </w:tabs>
        <w:spacing w:line="252" w:lineRule="exact"/>
        <w:ind w:left="1019"/>
        <w:rPr>
          <w:rFonts w:ascii="Arial" w:hAnsi="Arial"/>
          <w:lang w:val="cs-CZ"/>
        </w:rPr>
      </w:pPr>
      <w:r>
        <w:rPr>
          <w:rFonts w:ascii="Arial" w:hAnsi="Arial"/>
          <w:lang w:val="cs-CZ"/>
        </w:rPr>
        <w:t>IČO</w:t>
      </w:r>
      <w:r>
        <w:rPr>
          <w:rFonts w:ascii="Arial" w:hAnsi="Arial"/>
          <w:lang w:val="cs-CZ"/>
        </w:rPr>
        <w:tab/>
        <w:t>04308697</w:t>
      </w:r>
    </w:p>
    <w:p>
      <w:pPr>
        <w:tabs>
          <w:tab w:val="left" w:pos="3900"/>
        </w:tabs>
        <w:spacing w:before="1"/>
        <w:ind w:left="1019"/>
        <w:rPr>
          <w:rFonts w:ascii="Arial" w:hAnsi="Arial"/>
          <w:lang w:val="cs-CZ"/>
        </w:rPr>
      </w:pPr>
      <w:r>
        <w:rPr>
          <w:rFonts w:ascii="Arial" w:hAnsi="Arial"/>
          <w:lang w:val="cs-CZ"/>
        </w:rPr>
        <w:t>Jednající</w:t>
      </w:r>
      <w:r>
        <w:rPr>
          <w:rFonts w:ascii="Arial" w:hAnsi="Arial"/>
          <w:lang w:val="cs-CZ"/>
        </w:rPr>
        <w:tab/>
        <w:t>Ing. Vít Ševčík, obchodní ředitel</w:t>
      </w:r>
      <w:r>
        <w:rPr>
          <w:rFonts w:ascii="Arial" w:hAnsi="Arial"/>
          <w:spacing w:val="-1"/>
          <w:lang w:val="cs-CZ"/>
        </w:rPr>
        <w:t xml:space="preserve"> </w:t>
      </w:r>
      <w:r>
        <w:rPr>
          <w:rFonts w:ascii="Arial" w:hAnsi="Arial"/>
          <w:lang w:val="cs-CZ"/>
        </w:rPr>
        <w:t>EBS</w:t>
      </w:r>
    </w:p>
    <w:p>
      <w:pPr>
        <w:pStyle w:val="Zkladntext"/>
        <w:ind w:left="0"/>
        <w:jc w:val="left"/>
        <w:rPr>
          <w:rFonts w:ascii="Arial"/>
          <w:sz w:val="24"/>
          <w:lang w:val="cs-CZ"/>
        </w:rPr>
      </w:pPr>
    </w:p>
    <w:p>
      <w:pPr>
        <w:spacing w:before="165"/>
        <w:ind w:left="1020"/>
        <w:rPr>
          <w:rFonts w:ascii="Arial" w:hAnsi="Arial"/>
          <w:lang w:val="cs-CZ"/>
        </w:rPr>
      </w:pPr>
      <w:r>
        <w:rPr>
          <w:rFonts w:ascii="Arial" w:hAnsi="Arial"/>
          <w:lang w:val="cs-CZ"/>
        </w:rPr>
        <w:t xml:space="preserve">Zadavatel požaduje poskytování služby Microsoft </w:t>
      </w:r>
      <w:proofErr w:type="spellStart"/>
      <w:r>
        <w:rPr>
          <w:rFonts w:ascii="Arial" w:hAnsi="Arial"/>
          <w:lang w:val="cs-CZ"/>
        </w:rPr>
        <w:t>Premier</w:t>
      </w:r>
      <w:proofErr w:type="spellEnd"/>
      <w:r>
        <w:rPr>
          <w:rFonts w:ascii="Arial" w:hAnsi="Arial"/>
          <w:lang w:val="cs-CZ"/>
        </w:rPr>
        <w:t xml:space="preserve"> Support v následující specifikaci:</w:t>
      </w:r>
    </w:p>
    <w:p>
      <w:pPr>
        <w:pStyle w:val="Zkladntext"/>
        <w:spacing w:before="3" w:after="1"/>
        <w:ind w:left="0"/>
        <w:jc w:val="left"/>
        <w:rPr>
          <w:rFonts w:ascii="Arial"/>
          <w:sz w:val="24"/>
          <w:lang w:val="cs-CZ"/>
        </w:rPr>
      </w:pPr>
    </w:p>
    <w:tbl>
      <w:tblPr>
        <w:tblStyle w:val="TableNormal"/>
        <w:tblW w:w="0" w:type="auto"/>
        <w:tblInd w:w="2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14"/>
        <w:gridCol w:w="3314"/>
      </w:tblGrid>
      <w:tr>
        <w:trPr>
          <w:trHeight w:val="251"/>
        </w:trPr>
        <w:tc>
          <w:tcPr>
            <w:tcW w:w="3314" w:type="dxa"/>
          </w:tcPr>
          <w:p>
            <w:pPr>
              <w:pStyle w:val="TableParagraph"/>
              <w:spacing w:line="240" w:lineRule="auto"/>
              <w:ind w:left="0"/>
              <w:rPr>
                <w:rFonts w:ascii="Times New Roman"/>
                <w:sz w:val="18"/>
                <w:lang w:val="cs-CZ"/>
              </w:rPr>
            </w:pPr>
          </w:p>
        </w:tc>
        <w:tc>
          <w:tcPr>
            <w:tcW w:w="3314" w:type="dxa"/>
          </w:tcPr>
          <w:p>
            <w:pPr>
              <w:pStyle w:val="TableParagraph"/>
              <w:spacing w:line="232" w:lineRule="exact"/>
              <w:ind w:left="553" w:right="545"/>
              <w:jc w:val="center"/>
              <w:rPr>
                <w:lang w:val="cs-CZ"/>
              </w:rPr>
            </w:pPr>
            <w:r>
              <w:rPr>
                <w:lang w:val="cs-CZ"/>
              </w:rPr>
              <w:t>Období 1 – 24 měsíců</w:t>
            </w:r>
          </w:p>
        </w:tc>
      </w:tr>
      <w:tr>
        <w:trPr>
          <w:trHeight w:val="254"/>
        </w:trPr>
        <w:tc>
          <w:tcPr>
            <w:tcW w:w="3314" w:type="dxa"/>
            <w:shd w:val="clear" w:color="auto" w:fill="8DB3E2"/>
          </w:tcPr>
          <w:p>
            <w:pPr>
              <w:pStyle w:val="TableParagraph"/>
              <w:rPr>
                <w:lang w:val="cs-CZ"/>
              </w:rPr>
            </w:pPr>
            <w:r>
              <w:rPr>
                <w:lang w:val="cs-CZ"/>
              </w:rPr>
              <w:t>Zhodnocení a plánovaní</w:t>
            </w:r>
          </w:p>
        </w:tc>
        <w:tc>
          <w:tcPr>
            <w:tcW w:w="3314" w:type="dxa"/>
            <w:shd w:val="clear" w:color="auto" w:fill="8DB3E2"/>
          </w:tcPr>
          <w:p>
            <w:pPr>
              <w:pStyle w:val="TableParagraph"/>
              <w:spacing w:line="240" w:lineRule="auto"/>
              <w:ind w:left="0"/>
              <w:rPr>
                <w:rFonts w:ascii="Times New Roman"/>
                <w:sz w:val="18"/>
                <w:lang w:val="cs-CZ"/>
              </w:rPr>
            </w:pPr>
          </w:p>
        </w:tc>
      </w:tr>
      <w:tr>
        <w:trPr>
          <w:trHeight w:val="251"/>
        </w:trPr>
        <w:tc>
          <w:tcPr>
            <w:tcW w:w="3314" w:type="dxa"/>
          </w:tcPr>
          <w:p>
            <w:pPr>
              <w:pStyle w:val="TableParagraph"/>
              <w:spacing w:line="232" w:lineRule="exact"/>
              <w:rPr>
                <w:lang w:val="cs-CZ"/>
              </w:rPr>
            </w:pPr>
            <w:r>
              <w:rPr>
                <w:lang w:val="cs-CZ"/>
              </w:rPr>
              <w:t>Proaktivní služby (předpoklad)</w:t>
            </w:r>
          </w:p>
        </w:tc>
        <w:tc>
          <w:tcPr>
            <w:tcW w:w="3314" w:type="dxa"/>
          </w:tcPr>
          <w:p>
            <w:pPr>
              <w:pStyle w:val="TableParagraph"/>
              <w:spacing w:line="232" w:lineRule="exact"/>
              <w:ind w:left="553" w:right="542"/>
              <w:jc w:val="center"/>
              <w:rPr>
                <w:lang w:val="cs-CZ"/>
              </w:rPr>
            </w:pPr>
            <w:r>
              <w:rPr>
                <w:lang w:val="cs-CZ"/>
              </w:rPr>
              <w:t>250 hodin</w:t>
            </w:r>
          </w:p>
        </w:tc>
      </w:tr>
      <w:tr>
        <w:trPr>
          <w:trHeight w:val="254"/>
        </w:trPr>
        <w:tc>
          <w:tcPr>
            <w:tcW w:w="3314" w:type="dxa"/>
          </w:tcPr>
          <w:p>
            <w:pPr>
              <w:pStyle w:val="TableParagraph"/>
              <w:rPr>
                <w:lang w:val="cs-CZ"/>
              </w:rPr>
            </w:pPr>
            <w:r>
              <w:rPr>
                <w:lang w:val="cs-CZ"/>
              </w:rPr>
              <w:t xml:space="preserve">Risk </w:t>
            </w:r>
            <w:proofErr w:type="spellStart"/>
            <w:r>
              <w:rPr>
                <w:lang w:val="cs-CZ"/>
              </w:rPr>
              <w:t>Assesments</w:t>
            </w:r>
            <w:proofErr w:type="spellEnd"/>
          </w:p>
        </w:tc>
        <w:tc>
          <w:tcPr>
            <w:tcW w:w="3314" w:type="dxa"/>
          </w:tcPr>
          <w:p>
            <w:pPr>
              <w:pStyle w:val="TableParagraph"/>
              <w:ind w:left="553" w:right="542"/>
              <w:jc w:val="center"/>
              <w:rPr>
                <w:lang w:val="cs-CZ"/>
              </w:rPr>
            </w:pPr>
            <w:r>
              <w:rPr>
                <w:lang w:val="cs-CZ"/>
              </w:rPr>
              <w:t>0 hodin</w:t>
            </w:r>
          </w:p>
        </w:tc>
      </w:tr>
      <w:tr>
        <w:trPr>
          <w:trHeight w:val="254"/>
        </w:trPr>
        <w:tc>
          <w:tcPr>
            <w:tcW w:w="3314" w:type="dxa"/>
          </w:tcPr>
          <w:p>
            <w:pPr>
              <w:pStyle w:val="TableParagraph"/>
              <w:rPr>
                <w:lang w:val="cs-CZ"/>
              </w:rPr>
            </w:pPr>
            <w:proofErr w:type="spellStart"/>
            <w:r>
              <w:rPr>
                <w:lang w:val="cs-CZ"/>
              </w:rPr>
              <w:t>Workshops</w:t>
            </w:r>
            <w:proofErr w:type="spellEnd"/>
          </w:p>
        </w:tc>
        <w:tc>
          <w:tcPr>
            <w:tcW w:w="3314" w:type="dxa"/>
          </w:tcPr>
          <w:p>
            <w:pPr>
              <w:pStyle w:val="TableParagraph"/>
              <w:ind w:left="553" w:right="542"/>
              <w:jc w:val="center"/>
              <w:rPr>
                <w:lang w:val="cs-CZ"/>
              </w:rPr>
            </w:pPr>
            <w:r>
              <w:rPr>
                <w:lang w:val="cs-CZ"/>
              </w:rPr>
              <w:t>0 hodin</w:t>
            </w:r>
          </w:p>
        </w:tc>
      </w:tr>
      <w:tr>
        <w:trPr>
          <w:trHeight w:val="251"/>
        </w:trPr>
        <w:tc>
          <w:tcPr>
            <w:tcW w:w="3314" w:type="dxa"/>
            <w:shd w:val="clear" w:color="auto" w:fill="8DB3E2"/>
          </w:tcPr>
          <w:p>
            <w:pPr>
              <w:pStyle w:val="TableParagraph"/>
              <w:spacing w:line="232" w:lineRule="exact"/>
              <w:rPr>
                <w:lang w:val="cs-CZ"/>
              </w:rPr>
            </w:pPr>
            <w:r>
              <w:rPr>
                <w:lang w:val="cs-CZ"/>
              </w:rPr>
              <w:t>Reaktivní služby</w:t>
            </w:r>
          </w:p>
        </w:tc>
        <w:tc>
          <w:tcPr>
            <w:tcW w:w="3314" w:type="dxa"/>
            <w:shd w:val="clear" w:color="auto" w:fill="8DB3E2"/>
          </w:tcPr>
          <w:p>
            <w:pPr>
              <w:pStyle w:val="TableParagraph"/>
              <w:spacing w:line="240" w:lineRule="auto"/>
              <w:ind w:left="0"/>
              <w:rPr>
                <w:rFonts w:ascii="Times New Roman"/>
                <w:sz w:val="18"/>
                <w:lang w:val="cs-CZ"/>
              </w:rPr>
            </w:pPr>
          </w:p>
        </w:tc>
      </w:tr>
      <w:tr>
        <w:trPr>
          <w:trHeight w:val="506"/>
        </w:trPr>
        <w:tc>
          <w:tcPr>
            <w:tcW w:w="3314" w:type="dxa"/>
          </w:tcPr>
          <w:p>
            <w:pPr>
              <w:pStyle w:val="TableParagraph"/>
              <w:spacing w:line="254" w:lineRule="exact"/>
              <w:ind w:right="180"/>
              <w:rPr>
                <w:lang w:val="cs-CZ"/>
              </w:rPr>
            </w:pPr>
            <w:r>
              <w:rPr>
                <w:lang w:val="cs-CZ"/>
              </w:rPr>
              <w:t>24x7 podpora řešení problémů Počet hodin</w:t>
            </w:r>
          </w:p>
        </w:tc>
        <w:tc>
          <w:tcPr>
            <w:tcW w:w="3314" w:type="dxa"/>
          </w:tcPr>
          <w:p>
            <w:pPr>
              <w:pStyle w:val="TableParagraph"/>
              <w:spacing w:line="250" w:lineRule="exact"/>
              <w:ind w:left="11"/>
              <w:jc w:val="center"/>
              <w:rPr>
                <w:lang w:val="cs-CZ"/>
              </w:rPr>
            </w:pPr>
            <w:r>
              <w:rPr>
                <w:lang w:val="cs-CZ"/>
              </w:rPr>
              <w:t>1</w:t>
            </w:r>
          </w:p>
        </w:tc>
      </w:tr>
      <w:tr>
        <w:trPr>
          <w:trHeight w:val="504"/>
        </w:trPr>
        <w:tc>
          <w:tcPr>
            <w:tcW w:w="3314" w:type="dxa"/>
          </w:tcPr>
          <w:p>
            <w:pPr>
              <w:pStyle w:val="TableParagraph"/>
              <w:spacing w:line="248" w:lineRule="exact"/>
              <w:rPr>
                <w:lang w:val="cs-CZ"/>
              </w:rPr>
            </w:pPr>
            <w:r>
              <w:rPr>
                <w:lang w:val="cs-CZ"/>
              </w:rPr>
              <w:t>24x7 SA Benefity</w:t>
            </w:r>
          </w:p>
          <w:p>
            <w:pPr>
              <w:pStyle w:val="TableParagraph"/>
              <w:spacing w:before="1"/>
              <w:rPr>
                <w:lang w:val="cs-CZ"/>
              </w:rPr>
            </w:pPr>
            <w:r>
              <w:rPr>
                <w:lang w:val="cs-CZ"/>
              </w:rPr>
              <w:t>Počet hodin</w:t>
            </w:r>
          </w:p>
        </w:tc>
        <w:tc>
          <w:tcPr>
            <w:tcW w:w="3314" w:type="dxa"/>
          </w:tcPr>
          <w:p>
            <w:pPr>
              <w:pStyle w:val="TableParagraph"/>
              <w:spacing w:line="248" w:lineRule="exact"/>
              <w:ind w:left="11"/>
              <w:jc w:val="center"/>
              <w:rPr>
                <w:lang w:val="cs-CZ"/>
              </w:rPr>
            </w:pPr>
            <w:r>
              <w:rPr>
                <w:lang w:val="cs-CZ"/>
              </w:rPr>
              <w:t>0</w:t>
            </w:r>
          </w:p>
        </w:tc>
      </w:tr>
      <w:tr>
        <w:trPr>
          <w:trHeight w:val="254"/>
        </w:trPr>
        <w:tc>
          <w:tcPr>
            <w:tcW w:w="3314" w:type="dxa"/>
          </w:tcPr>
          <w:p>
            <w:pPr>
              <w:pStyle w:val="TableParagraph"/>
              <w:rPr>
                <w:lang w:val="cs-CZ"/>
              </w:rPr>
            </w:pPr>
            <w:r>
              <w:rPr>
                <w:lang w:val="cs-CZ"/>
              </w:rPr>
              <w:t xml:space="preserve">Možnost eskalace </w:t>
            </w:r>
            <w:proofErr w:type="spellStart"/>
            <w:r>
              <w:rPr>
                <w:lang w:val="cs-CZ"/>
              </w:rPr>
              <w:t>Crit-Sit</w:t>
            </w:r>
            <w:proofErr w:type="spellEnd"/>
          </w:p>
        </w:tc>
        <w:tc>
          <w:tcPr>
            <w:tcW w:w="3314" w:type="dxa"/>
          </w:tcPr>
          <w:p>
            <w:pPr>
              <w:pStyle w:val="TableParagraph"/>
              <w:ind w:left="553" w:right="544"/>
              <w:jc w:val="center"/>
              <w:rPr>
                <w:lang w:val="cs-CZ"/>
              </w:rPr>
            </w:pPr>
            <w:r>
              <w:rPr>
                <w:lang w:val="cs-CZ"/>
              </w:rPr>
              <w:t>ANO</w:t>
            </w:r>
          </w:p>
        </w:tc>
      </w:tr>
      <w:tr>
        <w:trPr>
          <w:trHeight w:val="506"/>
        </w:trPr>
        <w:tc>
          <w:tcPr>
            <w:tcW w:w="3314" w:type="dxa"/>
          </w:tcPr>
          <w:p>
            <w:pPr>
              <w:pStyle w:val="TableParagraph"/>
              <w:spacing w:before="2" w:line="252" w:lineRule="exact"/>
              <w:ind w:right="327"/>
              <w:rPr>
                <w:lang w:val="cs-CZ"/>
              </w:rPr>
            </w:pPr>
            <w:r>
              <w:rPr>
                <w:lang w:val="cs-CZ"/>
              </w:rPr>
              <w:t xml:space="preserve">ROSS: Rapid </w:t>
            </w:r>
            <w:proofErr w:type="spellStart"/>
            <w:r>
              <w:rPr>
                <w:lang w:val="cs-CZ"/>
              </w:rPr>
              <w:t>Onsite</w:t>
            </w:r>
            <w:proofErr w:type="spellEnd"/>
            <w:r>
              <w:rPr>
                <w:lang w:val="cs-CZ"/>
              </w:rPr>
              <w:t xml:space="preserve"> Support </w:t>
            </w:r>
            <w:proofErr w:type="spellStart"/>
            <w:r>
              <w:rPr>
                <w:lang w:val="cs-CZ"/>
              </w:rPr>
              <w:t>Services</w:t>
            </w:r>
            <w:proofErr w:type="spellEnd"/>
          </w:p>
        </w:tc>
        <w:tc>
          <w:tcPr>
            <w:tcW w:w="3314" w:type="dxa"/>
          </w:tcPr>
          <w:p>
            <w:pPr>
              <w:pStyle w:val="TableParagraph"/>
              <w:spacing w:line="250" w:lineRule="exact"/>
              <w:ind w:left="553" w:right="544"/>
              <w:jc w:val="center"/>
              <w:rPr>
                <w:lang w:val="cs-CZ"/>
              </w:rPr>
            </w:pPr>
            <w:r>
              <w:rPr>
                <w:lang w:val="cs-CZ"/>
              </w:rPr>
              <w:t>ANO</w:t>
            </w:r>
          </w:p>
        </w:tc>
      </w:tr>
      <w:tr>
        <w:trPr>
          <w:trHeight w:val="251"/>
        </w:trPr>
        <w:tc>
          <w:tcPr>
            <w:tcW w:w="3314" w:type="dxa"/>
          </w:tcPr>
          <w:p>
            <w:pPr>
              <w:pStyle w:val="TableParagraph"/>
              <w:spacing w:line="232" w:lineRule="exact"/>
              <w:rPr>
                <w:lang w:val="cs-CZ"/>
              </w:rPr>
            </w:pPr>
            <w:r>
              <w:rPr>
                <w:lang w:val="cs-CZ"/>
              </w:rPr>
              <w:t>Možnost dokoupení hodin</w:t>
            </w:r>
          </w:p>
        </w:tc>
        <w:tc>
          <w:tcPr>
            <w:tcW w:w="3314" w:type="dxa"/>
          </w:tcPr>
          <w:p>
            <w:pPr>
              <w:pStyle w:val="TableParagraph"/>
              <w:spacing w:line="232" w:lineRule="exact"/>
              <w:ind w:left="553" w:right="544"/>
              <w:jc w:val="center"/>
              <w:rPr>
                <w:lang w:val="cs-CZ"/>
              </w:rPr>
            </w:pPr>
            <w:r>
              <w:rPr>
                <w:lang w:val="cs-CZ"/>
              </w:rPr>
              <w:t>ANO</w:t>
            </w:r>
          </w:p>
        </w:tc>
      </w:tr>
      <w:tr>
        <w:trPr>
          <w:trHeight w:val="254"/>
        </w:trPr>
        <w:tc>
          <w:tcPr>
            <w:tcW w:w="3314" w:type="dxa"/>
            <w:shd w:val="clear" w:color="auto" w:fill="8DB3E2"/>
          </w:tcPr>
          <w:p>
            <w:pPr>
              <w:pStyle w:val="TableParagraph"/>
              <w:rPr>
                <w:lang w:val="cs-CZ"/>
              </w:rPr>
            </w:pPr>
            <w:proofErr w:type="spellStart"/>
            <w:r>
              <w:rPr>
                <w:lang w:val="cs-CZ"/>
              </w:rPr>
              <w:t>Service</w:t>
            </w:r>
            <w:proofErr w:type="spellEnd"/>
            <w:r>
              <w:rPr>
                <w:lang w:val="cs-CZ"/>
              </w:rPr>
              <w:t xml:space="preserve"> </w:t>
            </w:r>
            <w:proofErr w:type="spellStart"/>
            <w:r>
              <w:rPr>
                <w:lang w:val="cs-CZ"/>
              </w:rPr>
              <w:t>Level</w:t>
            </w:r>
            <w:proofErr w:type="spellEnd"/>
            <w:r>
              <w:rPr>
                <w:lang w:val="cs-CZ"/>
              </w:rPr>
              <w:t xml:space="preserve"> Management</w:t>
            </w:r>
          </w:p>
        </w:tc>
        <w:tc>
          <w:tcPr>
            <w:tcW w:w="3314" w:type="dxa"/>
            <w:shd w:val="clear" w:color="auto" w:fill="8DB3E2"/>
          </w:tcPr>
          <w:p>
            <w:pPr>
              <w:pStyle w:val="TableParagraph"/>
              <w:spacing w:line="240" w:lineRule="auto"/>
              <w:ind w:left="0"/>
              <w:rPr>
                <w:rFonts w:ascii="Times New Roman"/>
                <w:sz w:val="18"/>
                <w:lang w:val="cs-CZ"/>
              </w:rPr>
            </w:pPr>
          </w:p>
        </w:tc>
      </w:tr>
      <w:tr>
        <w:trPr>
          <w:trHeight w:val="251"/>
        </w:trPr>
        <w:tc>
          <w:tcPr>
            <w:tcW w:w="3314" w:type="dxa"/>
          </w:tcPr>
          <w:p>
            <w:pPr>
              <w:pStyle w:val="TableParagraph"/>
              <w:spacing w:line="232" w:lineRule="exact"/>
              <w:rPr>
                <w:lang w:val="cs-CZ"/>
              </w:rPr>
            </w:pPr>
            <w:r>
              <w:rPr>
                <w:lang w:val="cs-CZ"/>
              </w:rPr>
              <w:t>Profilace informací</w:t>
            </w:r>
          </w:p>
        </w:tc>
        <w:tc>
          <w:tcPr>
            <w:tcW w:w="3314" w:type="dxa"/>
          </w:tcPr>
          <w:p>
            <w:pPr>
              <w:pStyle w:val="TableParagraph"/>
              <w:spacing w:line="232" w:lineRule="exact"/>
              <w:ind w:left="553" w:right="544"/>
              <w:jc w:val="center"/>
              <w:rPr>
                <w:lang w:val="cs-CZ"/>
              </w:rPr>
            </w:pPr>
            <w:r>
              <w:rPr>
                <w:lang w:val="cs-CZ"/>
              </w:rPr>
              <w:t>ANO</w:t>
            </w:r>
          </w:p>
        </w:tc>
      </w:tr>
      <w:tr>
        <w:trPr>
          <w:trHeight w:val="254"/>
        </w:trPr>
        <w:tc>
          <w:tcPr>
            <w:tcW w:w="3314" w:type="dxa"/>
          </w:tcPr>
          <w:p>
            <w:pPr>
              <w:pStyle w:val="TableParagraph"/>
              <w:rPr>
                <w:lang w:val="cs-CZ"/>
              </w:rPr>
            </w:pPr>
            <w:r>
              <w:rPr>
                <w:lang w:val="cs-CZ"/>
              </w:rPr>
              <w:t>Plánování aktivit</w:t>
            </w:r>
          </w:p>
        </w:tc>
        <w:tc>
          <w:tcPr>
            <w:tcW w:w="3314" w:type="dxa"/>
          </w:tcPr>
          <w:p>
            <w:pPr>
              <w:pStyle w:val="TableParagraph"/>
              <w:ind w:left="553" w:right="544"/>
              <w:jc w:val="center"/>
              <w:rPr>
                <w:lang w:val="cs-CZ"/>
              </w:rPr>
            </w:pPr>
            <w:r>
              <w:rPr>
                <w:lang w:val="cs-CZ"/>
              </w:rPr>
              <w:t>ANO</w:t>
            </w:r>
          </w:p>
        </w:tc>
      </w:tr>
      <w:tr>
        <w:trPr>
          <w:trHeight w:val="251"/>
        </w:trPr>
        <w:tc>
          <w:tcPr>
            <w:tcW w:w="3314" w:type="dxa"/>
          </w:tcPr>
          <w:p>
            <w:pPr>
              <w:pStyle w:val="TableParagraph"/>
              <w:spacing w:line="232" w:lineRule="exact"/>
              <w:rPr>
                <w:lang w:val="cs-CZ"/>
              </w:rPr>
            </w:pPr>
            <w:r>
              <w:rPr>
                <w:lang w:val="cs-CZ"/>
              </w:rPr>
              <w:t>Reporting</w:t>
            </w:r>
          </w:p>
        </w:tc>
        <w:tc>
          <w:tcPr>
            <w:tcW w:w="3314" w:type="dxa"/>
          </w:tcPr>
          <w:p>
            <w:pPr>
              <w:pStyle w:val="TableParagraph"/>
              <w:spacing w:line="232" w:lineRule="exact"/>
              <w:ind w:left="553" w:right="544"/>
              <w:jc w:val="center"/>
              <w:rPr>
                <w:lang w:val="cs-CZ"/>
              </w:rPr>
            </w:pPr>
            <w:r>
              <w:rPr>
                <w:lang w:val="cs-CZ"/>
              </w:rPr>
              <w:t>ANO</w:t>
            </w:r>
          </w:p>
        </w:tc>
      </w:tr>
      <w:tr>
        <w:trPr>
          <w:trHeight w:val="254"/>
        </w:trPr>
        <w:tc>
          <w:tcPr>
            <w:tcW w:w="3314" w:type="dxa"/>
          </w:tcPr>
          <w:p>
            <w:pPr>
              <w:pStyle w:val="TableParagraph"/>
              <w:rPr>
                <w:lang w:val="cs-CZ"/>
              </w:rPr>
            </w:pPr>
            <w:r>
              <w:rPr>
                <w:lang w:val="cs-CZ"/>
              </w:rPr>
              <w:t>Řízení zdrojů a dodávek služeb</w:t>
            </w:r>
          </w:p>
        </w:tc>
        <w:tc>
          <w:tcPr>
            <w:tcW w:w="3314" w:type="dxa"/>
          </w:tcPr>
          <w:p>
            <w:pPr>
              <w:pStyle w:val="TableParagraph"/>
              <w:ind w:left="553" w:right="544"/>
              <w:jc w:val="center"/>
              <w:rPr>
                <w:lang w:val="cs-CZ"/>
              </w:rPr>
            </w:pPr>
            <w:r>
              <w:rPr>
                <w:lang w:val="cs-CZ"/>
              </w:rPr>
              <w:t>ANO</w:t>
            </w:r>
          </w:p>
        </w:tc>
      </w:tr>
      <w:tr>
        <w:trPr>
          <w:trHeight w:val="254"/>
        </w:trPr>
        <w:tc>
          <w:tcPr>
            <w:tcW w:w="3314" w:type="dxa"/>
          </w:tcPr>
          <w:p>
            <w:pPr>
              <w:pStyle w:val="TableParagraph"/>
              <w:rPr>
                <w:lang w:val="cs-CZ"/>
              </w:rPr>
            </w:pPr>
            <w:r>
              <w:rPr>
                <w:lang w:val="cs-CZ"/>
              </w:rPr>
              <w:t>Úroveň řízení služeb</w:t>
            </w:r>
          </w:p>
        </w:tc>
        <w:tc>
          <w:tcPr>
            <w:tcW w:w="3314" w:type="dxa"/>
          </w:tcPr>
          <w:p>
            <w:pPr>
              <w:pStyle w:val="TableParagraph"/>
              <w:ind w:left="553" w:right="545"/>
              <w:jc w:val="center"/>
              <w:rPr>
                <w:lang w:val="cs-CZ"/>
              </w:rPr>
            </w:pPr>
            <w:r>
              <w:rPr>
                <w:lang w:val="cs-CZ"/>
              </w:rPr>
              <w:t>Dedikovaná</w:t>
            </w:r>
          </w:p>
        </w:tc>
      </w:tr>
      <w:tr>
        <w:trPr>
          <w:trHeight w:val="251"/>
        </w:trPr>
        <w:tc>
          <w:tcPr>
            <w:tcW w:w="3314" w:type="dxa"/>
          </w:tcPr>
          <w:p>
            <w:pPr>
              <w:pStyle w:val="TableParagraph"/>
              <w:spacing w:line="232" w:lineRule="exact"/>
              <w:rPr>
                <w:lang w:val="cs-CZ"/>
              </w:rPr>
            </w:pPr>
            <w:r>
              <w:rPr>
                <w:lang w:val="cs-CZ"/>
              </w:rPr>
              <w:t>Správa a řízení eskalací</w:t>
            </w:r>
          </w:p>
        </w:tc>
        <w:tc>
          <w:tcPr>
            <w:tcW w:w="3314" w:type="dxa"/>
          </w:tcPr>
          <w:p>
            <w:pPr>
              <w:pStyle w:val="TableParagraph"/>
              <w:spacing w:line="232" w:lineRule="exact"/>
              <w:ind w:left="553" w:right="545"/>
              <w:jc w:val="center"/>
              <w:rPr>
                <w:lang w:val="cs-CZ"/>
              </w:rPr>
            </w:pPr>
            <w:r>
              <w:rPr>
                <w:lang w:val="cs-CZ"/>
              </w:rPr>
              <w:t>24x7</w:t>
            </w:r>
          </w:p>
        </w:tc>
      </w:tr>
      <w:tr>
        <w:trPr>
          <w:trHeight w:val="506"/>
        </w:trPr>
        <w:tc>
          <w:tcPr>
            <w:tcW w:w="3314" w:type="dxa"/>
          </w:tcPr>
          <w:p>
            <w:pPr>
              <w:pStyle w:val="TableParagraph"/>
              <w:spacing w:line="254" w:lineRule="exact"/>
              <w:ind w:right="339"/>
              <w:rPr>
                <w:lang w:val="cs-CZ"/>
              </w:rPr>
            </w:pPr>
            <w:proofErr w:type="spellStart"/>
            <w:r>
              <w:rPr>
                <w:lang w:val="cs-CZ"/>
              </w:rPr>
              <w:t>Onsite</w:t>
            </w:r>
            <w:proofErr w:type="spellEnd"/>
            <w:r>
              <w:rPr>
                <w:lang w:val="cs-CZ"/>
              </w:rPr>
              <w:t xml:space="preserve"> </w:t>
            </w:r>
            <w:proofErr w:type="spellStart"/>
            <w:r>
              <w:rPr>
                <w:lang w:val="cs-CZ"/>
              </w:rPr>
              <w:t>Account</w:t>
            </w:r>
            <w:proofErr w:type="spellEnd"/>
            <w:r>
              <w:rPr>
                <w:lang w:val="cs-CZ"/>
              </w:rPr>
              <w:t xml:space="preserve"> Management </w:t>
            </w:r>
            <w:proofErr w:type="spellStart"/>
            <w:r>
              <w:rPr>
                <w:lang w:val="cs-CZ"/>
              </w:rPr>
              <w:t>Services</w:t>
            </w:r>
            <w:proofErr w:type="spellEnd"/>
          </w:p>
        </w:tc>
        <w:tc>
          <w:tcPr>
            <w:tcW w:w="3314" w:type="dxa"/>
          </w:tcPr>
          <w:p>
            <w:pPr>
              <w:pStyle w:val="TableParagraph"/>
              <w:spacing w:line="250" w:lineRule="exact"/>
              <w:ind w:left="553" w:right="544"/>
              <w:jc w:val="center"/>
              <w:rPr>
                <w:lang w:val="cs-CZ"/>
              </w:rPr>
            </w:pPr>
            <w:r>
              <w:rPr>
                <w:lang w:val="cs-CZ"/>
              </w:rPr>
              <w:t>ANO</w:t>
            </w:r>
          </w:p>
        </w:tc>
      </w:tr>
      <w:tr>
        <w:trPr>
          <w:trHeight w:val="252"/>
        </w:trPr>
        <w:tc>
          <w:tcPr>
            <w:tcW w:w="3314" w:type="dxa"/>
            <w:shd w:val="clear" w:color="auto" w:fill="8DB3E2"/>
          </w:tcPr>
          <w:p>
            <w:pPr>
              <w:pStyle w:val="TableParagraph"/>
              <w:spacing w:line="232" w:lineRule="exact"/>
              <w:rPr>
                <w:lang w:val="cs-CZ"/>
              </w:rPr>
            </w:pPr>
            <w:r>
              <w:rPr>
                <w:lang w:val="cs-CZ"/>
              </w:rPr>
              <w:t>Informační služby</w:t>
            </w:r>
          </w:p>
        </w:tc>
        <w:tc>
          <w:tcPr>
            <w:tcW w:w="3314" w:type="dxa"/>
            <w:shd w:val="clear" w:color="auto" w:fill="8DB3E2"/>
          </w:tcPr>
          <w:p>
            <w:pPr>
              <w:pStyle w:val="TableParagraph"/>
              <w:spacing w:line="240" w:lineRule="auto"/>
              <w:ind w:left="0"/>
              <w:rPr>
                <w:rFonts w:ascii="Times New Roman"/>
                <w:sz w:val="18"/>
                <w:lang w:val="cs-CZ"/>
              </w:rPr>
            </w:pPr>
          </w:p>
        </w:tc>
      </w:tr>
      <w:tr>
        <w:trPr>
          <w:trHeight w:val="506"/>
        </w:trPr>
        <w:tc>
          <w:tcPr>
            <w:tcW w:w="3314" w:type="dxa"/>
          </w:tcPr>
          <w:p>
            <w:pPr>
              <w:pStyle w:val="TableParagraph"/>
              <w:spacing w:before="2" w:line="252" w:lineRule="exact"/>
              <w:ind w:right="524"/>
              <w:rPr>
                <w:lang w:val="cs-CZ"/>
              </w:rPr>
            </w:pPr>
            <w:r>
              <w:rPr>
                <w:lang w:val="cs-CZ"/>
              </w:rPr>
              <w:t xml:space="preserve">Přístup k Microsoft </w:t>
            </w:r>
            <w:proofErr w:type="spellStart"/>
            <w:proofErr w:type="gramStart"/>
            <w:r>
              <w:rPr>
                <w:lang w:val="cs-CZ"/>
              </w:rPr>
              <w:t>Premier</w:t>
            </w:r>
            <w:proofErr w:type="spellEnd"/>
            <w:proofErr w:type="gramEnd"/>
            <w:r>
              <w:rPr>
                <w:lang w:val="cs-CZ"/>
              </w:rPr>
              <w:t xml:space="preserve"> Online</w:t>
            </w:r>
          </w:p>
        </w:tc>
        <w:tc>
          <w:tcPr>
            <w:tcW w:w="3314" w:type="dxa"/>
          </w:tcPr>
          <w:p>
            <w:pPr>
              <w:pStyle w:val="TableParagraph"/>
              <w:spacing w:line="250" w:lineRule="exact"/>
              <w:ind w:left="553" w:right="544"/>
              <w:jc w:val="center"/>
              <w:rPr>
                <w:lang w:val="cs-CZ"/>
              </w:rPr>
            </w:pPr>
            <w:r>
              <w:rPr>
                <w:lang w:val="cs-CZ"/>
              </w:rPr>
              <w:t>ANO</w:t>
            </w:r>
          </w:p>
        </w:tc>
      </w:tr>
      <w:tr>
        <w:trPr>
          <w:trHeight w:val="506"/>
        </w:trPr>
        <w:tc>
          <w:tcPr>
            <w:tcW w:w="3314" w:type="dxa"/>
          </w:tcPr>
          <w:p>
            <w:pPr>
              <w:pStyle w:val="TableParagraph"/>
              <w:spacing w:before="2" w:line="252" w:lineRule="exact"/>
              <w:ind w:right="389"/>
              <w:rPr>
                <w:lang w:val="cs-CZ"/>
              </w:rPr>
            </w:pPr>
            <w:r>
              <w:rPr>
                <w:lang w:val="cs-CZ"/>
              </w:rPr>
              <w:t xml:space="preserve">Účast </w:t>
            </w:r>
            <w:proofErr w:type="gramStart"/>
            <w:r>
              <w:rPr>
                <w:lang w:val="cs-CZ"/>
              </w:rPr>
              <w:t>na</w:t>
            </w:r>
            <w:proofErr w:type="gramEnd"/>
            <w:r>
              <w:rPr>
                <w:lang w:val="cs-CZ"/>
              </w:rPr>
              <w:t xml:space="preserve"> odborných </w:t>
            </w:r>
            <w:proofErr w:type="spellStart"/>
            <w:r>
              <w:rPr>
                <w:lang w:val="cs-CZ"/>
              </w:rPr>
              <w:t>Premier</w:t>
            </w:r>
            <w:proofErr w:type="spellEnd"/>
            <w:r>
              <w:rPr>
                <w:lang w:val="cs-CZ"/>
              </w:rPr>
              <w:t xml:space="preserve"> </w:t>
            </w:r>
            <w:proofErr w:type="gramStart"/>
            <w:r>
              <w:rPr>
                <w:lang w:val="cs-CZ"/>
              </w:rPr>
              <w:t>akcích</w:t>
            </w:r>
            <w:proofErr w:type="gramEnd"/>
          </w:p>
        </w:tc>
        <w:tc>
          <w:tcPr>
            <w:tcW w:w="3314" w:type="dxa"/>
          </w:tcPr>
          <w:p>
            <w:pPr>
              <w:pStyle w:val="TableParagraph"/>
              <w:spacing w:line="247" w:lineRule="exact"/>
              <w:ind w:left="8"/>
              <w:jc w:val="center"/>
              <w:rPr>
                <w:rFonts w:ascii="Times New Roman"/>
                <w:lang w:val="cs-CZ"/>
              </w:rPr>
            </w:pPr>
            <w:r>
              <w:rPr>
                <w:rFonts w:ascii="Times New Roman"/>
                <w:lang w:val="cs-CZ"/>
              </w:rPr>
              <w:t>1</w:t>
            </w:r>
          </w:p>
        </w:tc>
      </w:tr>
      <w:tr>
        <w:trPr>
          <w:trHeight w:val="251"/>
        </w:trPr>
        <w:tc>
          <w:tcPr>
            <w:tcW w:w="3314" w:type="dxa"/>
          </w:tcPr>
          <w:p>
            <w:pPr>
              <w:pStyle w:val="TableParagraph"/>
              <w:spacing w:line="232" w:lineRule="exact"/>
              <w:rPr>
                <w:lang w:val="cs-CZ"/>
              </w:rPr>
            </w:pPr>
            <w:r>
              <w:rPr>
                <w:lang w:val="cs-CZ"/>
              </w:rPr>
              <w:t xml:space="preserve">Účast na konferenci </w:t>
            </w:r>
            <w:proofErr w:type="spellStart"/>
            <w:r>
              <w:rPr>
                <w:lang w:val="cs-CZ"/>
              </w:rPr>
              <w:t>TechEd</w:t>
            </w:r>
            <w:proofErr w:type="spellEnd"/>
          </w:p>
        </w:tc>
        <w:tc>
          <w:tcPr>
            <w:tcW w:w="3314" w:type="dxa"/>
          </w:tcPr>
          <w:p>
            <w:pPr>
              <w:pStyle w:val="TableParagraph"/>
              <w:spacing w:line="232" w:lineRule="exact"/>
              <w:ind w:left="553" w:right="542"/>
              <w:jc w:val="center"/>
              <w:rPr>
                <w:lang w:val="cs-CZ"/>
              </w:rPr>
            </w:pPr>
            <w:r>
              <w:rPr>
                <w:lang w:val="cs-CZ"/>
              </w:rPr>
              <w:t>NE</w:t>
            </w:r>
          </w:p>
        </w:tc>
      </w:tr>
      <w:tr>
        <w:trPr>
          <w:trHeight w:val="254"/>
        </w:trPr>
        <w:tc>
          <w:tcPr>
            <w:tcW w:w="3314" w:type="dxa"/>
          </w:tcPr>
          <w:p>
            <w:pPr>
              <w:pStyle w:val="TableParagraph"/>
              <w:rPr>
                <w:lang w:val="cs-CZ"/>
              </w:rPr>
            </w:pPr>
            <w:r>
              <w:rPr>
                <w:lang w:val="cs-CZ"/>
              </w:rPr>
              <w:t>Dostupnost služby TechNet</w:t>
            </w:r>
          </w:p>
        </w:tc>
        <w:tc>
          <w:tcPr>
            <w:tcW w:w="3314" w:type="dxa"/>
          </w:tcPr>
          <w:p>
            <w:pPr>
              <w:pStyle w:val="TableParagraph"/>
              <w:ind w:left="553" w:right="542"/>
              <w:jc w:val="center"/>
              <w:rPr>
                <w:lang w:val="cs-CZ"/>
              </w:rPr>
            </w:pPr>
            <w:r>
              <w:rPr>
                <w:lang w:val="cs-CZ"/>
              </w:rPr>
              <w:t>NE</w:t>
            </w:r>
          </w:p>
        </w:tc>
      </w:tr>
    </w:tbl>
    <w:p>
      <w:pPr>
        <w:pStyle w:val="Zkladntext"/>
        <w:ind w:left="0"/>
        <w:jc w:val="left"/>
        <w:rPr>
          <w:rFonts w:ascii="Arial"/>
          <w:sz w:val="24"/>
          <w:lang w:val="cs-CZ"/>
        </w:rPr>
      </w:pPr>
    </w:p>
    <w:p>
      <w:pPr>
        <w:pStyle w:val="Zkladntext"/>
        <w:spacing w:before="174"/>
        <w:ind w:left="0"/>
        <w:jc w:val="center"/>
        <w:rPr>
          <w:rFonts w:ascii="Arial"/>
          <w:lang w:val="cs-CZ"/>
        </w:rPr>
      </w:pPr>
      <w:r>
        <w:rPr>
          <w:rFonts w:ascii="Arial"/>
          <w:color w:val="0D3C70"/>
          <w:lang w:val="cs-CZ"/>
        </w:rPr>
        <w:t>1</w:t>
      </w:r>
    </w:p>
    <w:p>
      <w:pPr>
        <w:pStyle w:val="Zkladntext"/>
        <w:spacing w:before="7"/>
        <w:ind w:left="0"/>
        <w:jc w:val="left"/>
        <w:rPr>
          <w:rFonts w:ascii="Arial"/>
          <w:sz w:val="27"/>
          <w:lang w:val="cs-CZ"/>
        </w:rPr>
      </w:pPr>
      <w:r>
        <w:rPr>
          <w:noProof/>
          <w:lang w:val="cs-CZ" w:eastAsia="cs-CZ"/>
        </w:rPr>
        <w:drawing>
          <wp:anchor distT="0" distB="0" distL="0" distR="0" simplePos="0" relativeHeight="251651584" behindDoc="0" locked="0" layoutInCell="1" allowOverlap="1">
            <wp:simplePos x="0" y="0"/>
            <wp:positionH relativeFrom="page">
              <wp:posOffset>914400</wp:posOffset>
            </wp:positionH>
            <wp:positionV relativeFrom="paragraph">
              <wp:posOffset>226480</wp:posOffset>
            </wp:positionV>
            <wp:extent cx="5711812" cy="44958"/>
            <wp:effectExtent l="0" t="0" r="0" b="0"/>
            <wp:wrapTopAndBottom/>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26" cstate="print"/>
                    <a:stretch>
                      <a:fillRect/>
                    </a:stretch>
                  </pic:blipFill>
                  <pic:spPr>
                    <a:xfrm>
                      <a:off x="0" y="0"/>
                      <a:ext cx="5711812" cy="44958"/>
                    </a:xfrm>
                    <a:prstGeom prst="rect">
                      <a:avLst/>
                    </a:prstGeom>
                  </pic:spPr>
                </pic:pic>
              </a:graphicData>
            </a:graphic>
          </wp:anchor>
        </w:drawing>
      </w:r>
    </w:p>
    <w:p>
      <w:pPr>
        <w:pStyle w:val="Zkladntext"/>
        <w:spacing w:before="96"/>
        <w:ind w:left="1728" w:right="1726"/>
        <w:jc w:val="center"/>
        <w:rPr>
          <w:rFonts w:ascii="Arial" w:hAnsi="Arial"/>
          <w:lang w:val="cs-CZ"/>
        </w:rPr>
      </w:pPr>
      <w:r>
        <w:rPr>
          <w:rFonts w:ascii="Arial" w:hAnsi="Arial"/>
          <w:color w:val="0D3C70"/>
          <w:lang w:val="cs-CZ"/>
        </w:rPr>
        <w:t>Státní fond dopravní infrastruktury, Sokolovská 278, 190 00 Praha 9</w:t>
      </w:r>
    </w:p>
    <w:p>
      <w:pPr>
        <w:pStyle w:val="Zkladntext"/>
        <w:spacing w:before="37"/>
        <w:ind w:left="1728" w:right="1728"/>
        <w:jc w:val="center"/>
        <w:rPr>
          <w:rFonts w:ascii="Arial" w:hAnsi="Arial"/>
          <w:lang w:val="cs-CZ"/>
        </w:rPr>
      </w:pPr>
      <w:r>
        <w:rPr>
          <w:rFonts w:ascii="Arial" w:hAnsi="Arial"/>
          <w:color w:val="0D3C70"/>
          <w:lang w:val="cs-CZ"/>
        </w:rPr>
        <w:t xml:space="preserve">Tel.: +420 266 097 298, fax: +420 266 097 520, certifikát ISO 9001:2016, e-mail: </w:t>
      </w:r>
      <w:hyperlink r:id="rId27">
        <w:r>
          <w:rPr>
            <w:rFonts w:ascii="Arial" w:hAnsi="Arial"/>
            <w:color w:val="0D3C70"/>
            <w:lang w:val="cs-CZ"/>
          </w:rPr>
          <w:t xml:space="preserve">info@sfdi.cz, </w:t>
        </w:r>
      </w:hyperlink>
      <w:hyperlink r:id="rId28">
        <w:r>
          <w:rPr>
            <w:rFonts w:ascii="Arial" w:hAnsi="Arial"/>
            <w:color w:val="0D3C70"/>
            <w:u w:val="single" w:color="0D3C70"/>
            <w:lang w:val="cs-CZ"/>
          </w:rPr>
          <w:t>www.sfdi.cz</w:t>
        </w:r>
      </w:hyperlink>
    </w:p>
    <w:sectPr>
      <w:type w:val="continuous"/>
      <w:pgSz w:w="11900" w:h="16840"/>
      <w:pgMar w:top="560" w:right="420" w:bottom="280" w:left="4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kladntext"/>
      <w:spacing w:line="14" w:lineRule="auto"/>
      <w:ind w:left="0"/>
      <w:jc w:val="left"/>
      <w:rPr>
        <w:sz w:val="20"/>
      </w:rPr>
    </w:pPr>
    <w:r>
      <w:rPr>
        <w:noProof/>
        <w:lang w:val="cs-CZ" w:eastAsia="cs-CZ"/>
      </w:rPr>
      <mc:AlternateContent>
        <mc:Choice Requires="wps">
          <w:drawing>
            <wp:anchor distT="0" distB="0" distL="114300" distR="114300" simplePos="0" relativeHeight="503296952" behindDoc="1" locked="0" layoutInCell="1" allowOverlap="1">
              <wp:simplePos x="0" y="0"/>
              <wp:positionH relativeFrom="page">
                <wp:posOffset>701040</wp:posOffset>
              </wp:positionH>
              <wp:positionV relativeFrom="page">
                <wp:posOffset>9936480</wp:posOffset>
              </wp:positionV>
              <wp:extent cx="6156960" cy="0"/>
              <wp:effectExtent l="5715" t="11430" r="9525" b="7620"/>
              <wp:wrapNone/>
              <wp:docPr id="9"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696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19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2.4pt" to="540pt,78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" strokeweight=".16936mm">
              <w10:wrap anchorx="page" anchory="page"/>
            </v:line>
          </w:pict>
        </mc:Fallback>
      </mc:AlternateContent>
    </w:r>
    <w:r>
      <w:rPr>
        <w:noProof/>
        <w:lang w:val="cs-CZ" w:eastAsia="cs-CZ"/>
      </w:rPr>
      <mc:AlternateContent>
        <mc:Choice Requires="wps">
          <w:drawing>
            <wp:anchor distT="0" distB="0" distL="114300" distR="114300" simplePos="0" relativeHeight="503296976" behindDoc="1" locked="0" layoutInCell="1" allowOverlap="1">
              <wp:simplePos x="0" y="0"/>
              <wp:positionH relativeFrom="page">
                <wp:posOffset>706755</wp:posOffset>
              </wp:positionH>
              <wp:positionV relativeFrom="page">
                <wp:posOffset>9940925</wp:posOffset>
              </wp:positionV>
              <wp:extent cx="727075" cy="152400"/>
              <wp:effectExtent l="1905" t="0" r="4445" b="31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0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20"/>
                            <w:rPr>
                              <w:rFonts w:ascii="Times New Roman" w:hAnsi="Times New Roman"/>
                              <w:sz w:val="18"/>
                            </w:rPr>
                          </w:pPr>
                          <w:proofErr w:type="spellStart"/>
                          <w:r>
                            <w:rPr>
                              <w:rFonts w:ascii="Times New Roman" w:hAnsi="Times New Roman"/>
                              <w:sz w:val="18"/>
                            </w:rPr>
                            <w:t>Kupní</w:t>
                          </w:r>
                          <w:proofErr w:type="spellEnd"/>
                          <w:r>
                            <w:rPr>
                              <w:rFonts w:ascii="Times New Roman" w:hAnsi="Times New Roman"/>
                              <w:sz w:val="18"/>
                            </w:rPr>
                            <w:t xml:space="preserve"> </w:t>
                          </w:r>
                          <w:proofErr w:type="spellStart"/>
                          <w:r>
                            <w:rPr>
                              <w:rFonts w:ascii="Times New Roman" w:hAnsi="Times New Roman"/>
                              <w:sz w:val="18"/>
                            </w:rPr>
                            <w:t>smlouva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55.65pt;margin-top:782.75pt;width:57.25pt;height:12pt;z-index:-1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" filled="f" stroked="f">
              <v:textbox inset="0,0,0,0">
                <w:txbxContent>
                  <w:p w:rsidR="00DA1E82" w:rsidRDefault="004A7C1E">
                    <w:pPr>
                      <w:spacing w:before="12"/>
                      <w:ind w:left="20"/>
                      <w:rPr>
                        <w:rFonts w:ascii="Times New Roman" w:hAnsi="Times New Roman"/>
                        <w:sz w:val="18"/>
                      </w:rPr>
                    </w:pPr>
                    <w:r>
                      <w:rPr>
                        <w:rFonts w:ascii="Times New Roman" w:hAnsi="Times New Roman"/>
                        <w:sz w:val="18"/>
                      </w:rPr>
                      <w:t>Kupní smlouva</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7000" behindDoc="1" locked="0" layoutInCell="1" allowOverlap="1">
              <wp:simplePos x="0" y="0"/>
              <wp:positionH relativeFrom="page">
                <wp:posOffset>6605270</wp:posOffset>
              </wp:positionH>
              <wp:positionV relativeFrom="page">
                <wp:posOffset>9940925</wp:posOffset>
              </wp:positionV>
              <wp:extent cx="185420" cy="152400"/>
              <wp:effectExtent l="4445" t="0" r="635" b="317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6</w:t>
                          </w:r>
                          <w:r>
                            <w:fldChar w:fldCharType="end"/>
                          </w:r>
                          <w:r>
                            <w:rPr>
                              <w:rFonts w:ascii="Times New Roman"/>
                              <w:sz w:val="1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520.1pt;margin-top:782.75pt;width:14.6pt;height:12pt;z-index:-19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AsAIAAK8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" filled="f" stroked="f">
              <v:textbox inset="0,0,0,0">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noProof/>
                        <w:sz w:val="18"/>
                      </w:rPr>
                      <w:t>6</w:t>
                    </w:r>
                    <w:r>
                      <w:fldChar w:fldCharType="end"/>
                    </w:r>
                    <w:r>
                      <w:rPr>
                        <w:rFonts w:ascii="Times New Roman"/>
                        <w:sz w:val="18"/>
                      </w:rPr>
                      <w:t>/6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kladntext"/>
      <w:spacing w:line="14" w:lineRule="auto"/>
      <w:ind w:left="0"/>
      <w:jc w:val="left"/>
    </w:pPr>
    <w:r>
      <w:rPr>
        <w:noProof/>
        <w:lang w:val="cs-CZ" w:eastAsia="cs-CZ"/>
      </w:rPr>
      <mc:AlternateContent>
        <mc:Choice Requires="wps">
          <w:drawing>
            <wp:anchor distT="0" distB="0" distL="114300" distR="114300" simplePos="0" relativeHeight="503297024" behindDoc="1" locked="0" layoutInCell="1" allowOverlap="1">
              <wp:simplePos x="0" y="0"/>
              <wp:positionH relativeFrom="page">
                <wp:posOffset>450850</wp:posOffset>
              </wp:positionH>
              <wp:positionV relativeFrom="page">
                <wp:posOffset>10140315</wp:posOffset>
              </wp:positionV>
              <wp:extent cx="1956435" cy="113030"/>
              <wp:effectExtent l="3175" t="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643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20"/>
                            <w:ind w:left="20"/>
                            <w:rPr>
                              <w:sz w:val="12"/>
                            </w:rPr>
                          </w:pPr>
                          <w:proofErr w:type="spellStart"/>
                          <w:r>
                            <w:rPr>
                              <w:sz w:val="12"/>
                            </w:rPr>
                            <w:t>Všeobecné</w:t>
                          </w:r>
                          <w:proofErr w:type="spellEnd"/>
                          <w:r>
                            <w:rPr>
                              <w:sz w:val="12"/>
                            </w:rPr>
                            <w:t xml:space="preserve"> </w:t>
                          </w:r>
                          <w:proofErr w:type="spellStart"/>
                          <w:r>
                            <w:rPr>
                              <w:sz w:val="12"/>
                            </w:rPr>
                            <w:t>obchodní</w:t>
                          </w:r>
                          <w:proofErr w:type="spellEnd"/>
                          <w:r>
                            <w:rPr>
                              <w:sz w:val="12"/>
                            </w:rPr>
                            <w:t xml:space="preserve"> </w:t>
                          </w:r>
                          <w:proofErr w:type="spellStart"/>
                          <w:r>
                            <w:rPr>
                              <w:sz w:val="12"/>
                            </w:rPr>
                            <w:t>podmínky</w:t>
                          </w:r>
                          <w:proofErr w:type="spellEnd"/>
                          <w:r>
                            <w:rPr>
                              <w:sz w:val="12"/>
                            </w:rPr>
                            <w:t xml:space="preserve"> AUTOCONT </w:t>
                          </w:r>
                          <w:proofErr w:type="gramStart"/>
                          <w:r>
                            <w:rPr>
                              <w:sz w:val="12"/>
                            </w:rPr>
                            <w:t>a.s</w:t>
                          </w:r>
                          <w:proofErr w:type="gramEnd"/>
                          <w:r>
                            <w:rPr>
                              <w:sz w:val="12"/>
                            </w:rPr>
                            <w:t xml:space="preserve">. </w:t>
                          </w:r>
                          <w:proofErr w:type="spellStart"/>
                          <w:r>
                            <w:rPr>
                              <w:sz w:val="12"/>
                            </w:rPr>
                            <w:t>platné</w:t>
                          </w:r>
                          <w:proofErr w:type="spellEnd"/>
                          <w:r>
                            <w:rPr>
                              <w:sz w:val="12"/>
                            </w:rPr>
                            <w:t xml:space="preserve"> od 1. 4.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35.5pt;margin-top:798.45pt;width:154.05pt;height:8.9pt;z-index:-1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" filled="f" stroked="f">
              <v:textbox inset="0,0,0,0">
                <w:txbxContent>
                  <w:p w:rsidR="00DA1E82" w:rsidRDefault="004A7C1E">
                    <w:pPr>
                      <w:spacing w:before="20"/>
                      <w:ind w:left="20"/>
                      <w:rPr>
                        <w:sz w:val="12"/>
                      </w:rPr>
                    </w:pPr>
                    <w:r>
                      <w:rPr>
                        <w:sz w:val="12"/>
                      </w:rPr>
                      <w:t>Všeobecné obchodní podmínky AUTOCONT a.s. platné od 1. 4. 2019</w:t>
                    </w:r>
                  </w:p>
                </w:txbxContent>
              </v:textbox>
              <w10:wrap anchorx="page" anchory="page"/>
            </v:shape>
          </w:pict>
        </mc:Fallback>
      </mc:AlternateContent>
    </w:r>
    <w:r>
      <w:rPr>
        <w:noProof/>
        <w:lang w:val="cs-CZ" w:eastAsia="cs-CZ"/>
      </w:rPr>
      <mc:AlternateContent>
        <mc:Choice Requires="wps">
          <w:drawing>
            <wp:anchor distT="0" distB="0" distL="114300" distR="114300" simplePos="0" relativeHeight="503297048" behindDoc="1" locked="0" layoutInCell="1" allowOverlap="1">
              <wp:simplePos x="0" y="0"/>
              <wp:positionH relativeFrom="page">
                <wp:posOffset>6739890</wp:posOffset>
              </wp:positionH>
              <wp:positionV relativeFrom="page">
                <wp:posOffset>10140315</wp:posOffset>
              </wp:positionV>
              <wp:extent cx="293370" cy="1130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before="20"/>
                            <w:ind w:left="20"/>
                            <w:rPr>
                              <w:b/>
                              <w:sz w:val="12"/>
                            </w:rPr>
                          </w:pPr>
                          <w:proofErr w:type="spellStart"/>
                          <w:r>
                            <w:rPr>
                              <w:sz w:val="12"/>
                            </w:rPr>
                            <w:t>Stránka</w:t>
                          </w:r>
                          <w:proofErr w:type="spellEnd"/>
                          <w:r>
                            <w:rPr>
                              <w:sz w:val="12"/>
                            </w:rPr>
                            <w:t xml:space="preserve"> </w:t>
                          </w:r>
                          <w:r>
                            <w:fldChar w:fldCharType="begin"/>
                          </w:r>
                          <w:r>
                            <w:rPr>
                              <w:b/>
                              <w:sz w:val="12"/>
                            </w:rPr>
                            <w:instrText xml:space="preserve"> PAGE </w:instrText>
                          </w:r>
                          <w:r>
                            <w:fldChar w:fldCharType="separate"/>
                          </w:r>
                          <w:r>
                            <w:rPr>
                              <w:b/>
                              <w:noProof/>
                              <w:sz w:val="12"/>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30.7pt;margin-top:798.45pt;width:23.1pt;height:8.9pt;z-index:-19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" filled="f" stroked="f">
              <v:textbox inset="0,0,0,0">
                <w:txbxContent>
                  <w:p>
                    <w:pPr>
                      <w:spacing w:before="20"/>
                      <w:ind w:left="20"/>
                      <w:rPr>
                        <w:b/>
                        <w:sz w:val="12"/>
                      </w:rPr>
                    </w:pPr>
                    <w:proofErr w:type="spellStart"/>
                    <w:r>
                      <w:rPr>
                        <w:sz w:val="12"/>
                      </w:rPr>
                      <w:t>Stránka</w:t>
                    </w:r>
                    <w:proofErr w:type="spellEnd"/>
                    <w:r>
                      <w:rPr>
                        <w:sz w:val="12"/>
                      </w:rPr>
                      <w:t xml:space="preserve"> </w:t>
                    </w:r>
                    <w:r>
                      <w:fldChar w:fldCharType="begin"/>
                    </w:r>
                    <w:r>
                      <w:rPr>
                        <w:b/>
                        <w:sz w:val="12"/>
                      </w:rPr>
                      <w:instrText xml:space="preserve"> PAGE </w:instrText>
                    </w:r>
                    <w:r>
                      <w:fldChar w:fldCharType="separate"/>
                    </w:r>
                    <w:r>
                      <w:rPr>
                        <w:b/>
                        <w:noProof/>
                        <w:sz w:val="12"/>
                      </w:rPr>
                      <w:t>5</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kladntext"/>
      <w:spacing w:line="14" w:lineRule="auto"/>
      <w:ind w:left="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D529B"/>
    <w:multiLevelType w:val="multilevel"/>
    <w:tmpl w:val="3690C370"/>
    <w:lvl w:ilvl="0">
      <w:start w:val="12"/>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numFmt w:val="bullet"/>
      <w:lvlText w:val="•"/>
      <w:lvlJc w:val="left"/>
      <w:pPr>
        <w:ind w:left="3236" w:hanging="567"/>
      </w:pPr>
      <w:rPr>
        <w:rFonts w:hint="default"/>
      </w:rPr>
    </w:lvl>
    <w:lvl w:ilvl="3">
      <w:numFmt w:val="bullet"/>
      <w:lvlText w:val="•"/>
      <w:lvlJc w:val="left"/>
      <w:pPr>
        <w:ind w:left="4214" w:hanging="567"/>
      </w:pPr>
      <w:rPr>
        <w:rFonts w:hint="default"/>
      </w:rPr>
    </w:lvl>
    <w:lvl w:ilvl="4">
      <w:numFmt w:val="bullet"/>
      <w:lvlText w:val="•"/>
      <w:lvlJc w:val="left"/>
      <w:pPr>
        <w:ind w:left="5192" w:hanging="567"/>
      </w:pPr>
      <w:rPr>
        <w:rFonts w:hint="default"/>
      </w:rPr>
    </w:lvl>
    <w:lvl w:ilvl="5">
      <w:numFmt w:val="bullet"/>
      <w:lvlText w:val="•"/>
      <w:lvlJc w:val="left"/>
      <w:pPr>
        <w:ind w:left="6170" w:hanging="567"/>
      </w:pPr>
      <w:rPr>
        <w:rFonts w:hint="default"/>
      </w:rPr>
    </w:lvl>
    <w:lvl w:ilvl="6">
      <w:numFmt w:val="bullet"/>
      <w:lvlText w:val="•"/>
      <w:lvlJc w:val="left"/>
      <w:pPr>
        <w:ind w:left="7148" w:hanging="567"/>
      </w:pPr>
      <w:rPr>
        <w:rFonts w:hint="default"/>
      </w:rPr>
    </w:lvl>
    <w:lvl w:ilvl="7">
      <w:numFmt w:val="bullet"/>
      <w:lvlText w:val="•"/>
      <w:lvlJc w:val="left"/>
      <w:pPr>
        <w:ind w:left="8126" w:hanging="567"/>
      </w:pPr>
      <w:rPr>
        <w:rFonts w:hint="default"/>
      </w:rPr>
    </w:lvl>
    <w:lvl w:ilvl="8">
      <w:numFmt w:val="bullet"/>
      <w:lvlText w:val="•"/>
      <w:lvlJc w:val="left"/>
      <w:pPr>
        <w:ind w:left="9104" w:hanging="567"/>
      </w:pPr>
      <w:rPr>
        <w:rFonts w:hint="default"/>
      </w:rPr>
    </w:lvl>
  </w:abstractNum>
  <w:abstractNum w:abstractNumId="1">
    <w:nsid w:val="14360206"/>
    <w:multiLevelType w:val="multilevel"/>
    <w:tmpl w:val="4EB2516E"/>
    <w:lvl w:ilvl="0">
      <w:start w:val="6"/>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start w:val="1"/>
      <w:numFmt w:val="decimal"/>
      <w:lvlText w:val="%1.%2.%3."/>
      <w:lvlJc w:val="left"/>
      <w:pPr>
        <w:ind w:left="1620" w:hanging="624"/>
        <w:jc w:val="left"/>
      </w:pPr>
      <w:rPr>
        <w:rFonts w:ascii="Times New Roman" w:eastAsia="Times New Roman" w:hAnsi="Times New Roman" w:cs="Times New Roman" w:hint="default"/>
        <w:w w:val="100"/>
        <w:sz w:val="22"/>
        <w:szCs w:val="22"/>
      </w:rPr>
    </w:lvl>
    <w:lvl w:ilvl="3">
      <w:numFmt w:val="bullet"/>
      <w:lvlText w:val="•"/>
      <w:lvlJc w:val="left"/>
      <w:pPr>
        <w:ind w:left="3717" w:hanging="624"/>
      </w:pPr>
      <w:rPr>
        <w:rFonts w:hint="default"/>
      </w:rPr>
    </w:lvl>
    <w:lvl w:ilvl="4">
      <w:numFmt w:val="bullet"/>
      <w:lvlText w:val="•"/>
      <w:lvlJc w:val="left"/>
      <w:pPr>
        <w:ind w:left="4766" w:hanging="624"/>
      </w:pPr>
      <w:rPr>
        <w:rFonts w:hint="default"/>
      </w:rPr>
    </w:lvl>
    <w:lvl w:ilvl="5">
      <w:numFmt w:val="bullet"/>
      <w:lvlText w:val="•"/>
      <w:lvlJc w:val="left"/>
      <w:pPr>
        <w:ind w:left="5815" w:hanging="624"/>
      </w:pPr>
      <w:rPr>
        <w:rFonts w:hint="default"/>
      </w:rPr>
    </w:lvl>
    <w:lvl w:ilvl="6">
      <w:numFmt w:val="bullet"/>
      <w:lvlText w:val="•"/>
      <w:lvlJc w:val="left"/>
      <w:pPr>
        <w:ind w:left="6864" w:hanging="624"/>
      </w:pPr>
      <w:rPr>
        <w:rFonts w:hint="default"/>
      </w:rPr>
    </w:lvl>
    <w:lvl w:ilvl="7">
      <w:numFmt w:val="bullet"/>
      <w:lvlText w:val="•"/>
      <w:lvlJc w:val="left"/>
      <w:pPr>
        <w:ind w:left="7913" w:hanging="624"/>
      </w:pPr>
      <w:rPr>
        <w:rFonts w:hint="default"/>
      </w:rPr>
    </w:lvl>
    <w:lvl w:ilvl="8">
      <w:numFmt w:val="bullet"/>
      <w:lvlText w:val="•"/>
      <w:lvlJc w:val="left"/>
      <w:pPr>
        <w:ind w:left="8962" w:hanging="624"/>
      </w:pPr>
      <w:rPr>
        <w:rFonts w:hint="default"/>
      </w:rPr>
    </w:lvl>
  </w:abstractNum>
  <w:abstractNum w:abstractNumId="2">
    <w:nsid w:val="1B7639F7"/>
    <w:multiLevelType w:val="hybridMultilevel"/>
    <w:tmpl w:val="D5A01048"/>
    <w:lvl w:ilvl="0" w:tplc="162AC69A">
      <w:numFmt w:val="bullet"/>
      <w:lvlText w:val="-"/>
      <w:lvlJc w:val="left"/>
      <w:pPr>
        <w:ind w:left="230" w:hanging="80"/>
      </w:pPr>
      <w:rPr>
        <w:rFonts w:ascii="Arial Narrow" w:eastAsia="Arial Narrow" w:hAnsi="Arial Narrow" w:cs="Arial Narrow" w:hint="default"/>
        <w:w w:val="100"/>
        <w:sz w:val="16"/>
        <w:szCs w:val="16"/>
      </w:rPr>
    </w:lvl>
    <w:lvl w:ilvl="1" w:tplc="88E8C774">
      <w:numFmt w:val="bullet"/>
      <w:lvlText w:val="•"/>
      <w:lvlJc w:val="left"/>
      <w:pPr>
        <w:ind w:left="759" w:hanging="80"/>
      </w:pPr>
      <w:rPr>
        <w:rFonts w:hint="default"/>
      </w:rPr>
    </w:lvl>
    <w:lvl w:ilvl="2" w:tplc="4606C8BE">
      <w:numFmt w:val="bullet"/>
      <w:lvlText w:val="•"/>
      <w:lvlJc w:val="left"/>
      <w:pPr>
        <w:ind w:left="1278" w:hanging="80"/>
      </w:pPr>
      <w:rPr>
        <w:rFonts w:hint="default"/>
      </w:rPr>
    </w:lvl>
    <w:lvl w:ilvl="3" w:tplc="C81EB26A">
      <w:numFmt w:val="bullet"/>
      <w:lvlText w:val="•"/>
      <w:lvlJc w:val="left"/>
      <w:pPr>
        <w:ind w:left="1798" w:hanging="80"/>
      </w:pPr>
      <w:rPr>
        <w:rFonts w:hint="default"/>
      </w:rPr>
    </w:lvl>
    <w:lvl w:ilvl="4" w:tplc="189EC190">
      <w:numFmt w:val="bullet"/>
      <w:lvlText w:val="•"/>
      <w:lvlJc w:val="left"/>
      <w:pPr>
        <w:ind w:left="2317" w:hanging="80"/>
      </w:pPr>
      <w:rPr>
        <w:rFonts w:hint="default"/>
      </w:rPr>
    </w:lvl>
    <w:lvl w:ilvl="5" w:tplc="5C56C35C">
      <w:numFmt w:val="bullet"/>
      <w:lvlText w:val="•"/>
      <w:lvlJc w:val="left"/>
      <w:pPr>
        <w:ind w:left="2836" w:hanging="80"/>
      </w:pPr>
      <w:rPr>
        <w:rFonts w:hint="default"/>
      </w:rPr>
    </w:lvl>
    <w:lvl w:ilvl="6" w:tplc="21146126">
      <w:numFmt w:val="bullet"/>
      <w:lvlText w:val="•"/>
      <w:lvlJc w:val="left"/>
      <w:pPr>
        <w:ind w:left="3356" w:hanging="80"/>
      </w:pPr>
      <w:rPr>
        <w:rFonts w:hint="default"/>
      </w:rPr>
    </w:lvl>
    <w:lvl w:ilvl="7" w:tplc="7C24E1E6">
      <w:numFmt w:val="bullet"/>
      <w:lvlText w:val="•"/>
      <w:lvlJc w:val="left"/>
      <w:pPr>
        <w:ind w:left="3875" w:hanging="80"/>
      </w:pPr>
      <w:rPr>
        <w:rFonts w:hint="default"/>
      </w:rPr>
    </w:lvl>
    <w:lvl w:ilvl="8" w:tplc="D08C0350">
      <w:numFmt w:val="bullet"/>
      <w:lvlText w:val="•"/>
      <w:lvlJc w:val="left"/>
      <w:pPr>
        <w:ind w:left="4395" w:hanging="80"/>
      </w:pPr>
      <w:rPr>
        <w:rFonts w:hint="default"/>
      </w:rPr>
    </w:lvl>
  </w:abstractNum>
  <w:abstractNum w:abstractNumId="3">
    <w:nsid w:val="222E01CC"/>
    <w:multiLevelType w:val="hybridMultilevel"/>
    <w:tmpl w:val="3C82A25C"/>
    <w:lvl w:ilvl="0" w:tplc="43C406C4">
      <w:numFmt w:val="bullet"/>
      <w:lvlText w:val="-"/>
      <w:lvlJc w:val="left"/>
      <w:pPr>
        <w:ind w:left="542" w:hanging="80"/>
      </w:pPr>
      <w:rPr>
        <w:rFonts w:ascii="Arial Narrow" w:eastAsia="Arial Narrow" w:hAnsi="Arial Narrow" w:cs="Arial Narrow" w:hint="default"/>
        <w:w w:val="100"/>
        <w:sz w:val="16"/>
        <w:szCs w:val="16"/>
      </w:rPr>
    </w:lvl>
    <w:lvl w:ilvl="1" w:tplc="F98E6B3A">
      <w:numFmt w:val="bullet"/>
      <w:lvlText w:val="•"/>
      <w:lvlJc w:val="left"/>
      <w:pPr>
        <w:ind w:left="1039" w:hanging="80"/>
      </w:pPr>
      <w:rPr>
        <w:rFonts w:hint="default"/>
      </w:rPr>
    </w:lvl>
    <w:lvl w:ilvl="2" w:tplc="06985DB6">
      <w:numFmt w:val="bullet"/>
      <w:lvlText w:val="•"/>
      <w:lvlJc w:val="left"/>
      <w:pPr>
        <w:ind w:left="1538" w:hanging="80"/>
      </w:pPr>
      <w:rPr>
        <w:rFonts w:hint="default"/>
      </w:rPr>
    </w:lvl>
    <w:lvl w:ilvl="3" w:tplc="8BF0F740">
      <w:numFmt w:val="bullet"/>
      <w:lvlText w:val="•"/>
      <w:lvlJc w:val="left"/>
      <w:pPr>
        <w:ind w:left="2037" w:hanging="80"/>
      </w:pPr>
      <w:rPr>
        <w:rFonts w:hint="default"/>
      </w:rPr>
    </w:lvl>
    <w:lvl w:ilvl="4" w:tplc="D96C7C9E">
      <w:numFmt w:val="bullet"/>
      <w:lvlText w:val="•"/>
      <w:lvlJc w:val="left"/>
      <w:pPr>
        <w:ind w:left="2536" w:hanging="80"/>
      </w:pPr>
      <w:rPr>
        <w:rFonts w:hint="default"/>
      </w:rPr>
    </w:lvl>
    <w:lvl w:ilvl="5" w:tplc="436CFFEA">
      <w:numFmt w:val="bullet"/>
      <w:lvlText w:val="•"/>
      <w:lvlJc w:val="left"/>
      <w:pPr>
        <w:ind w:left="3035" w:hanging="80"/>
      </w:pPr>
      <w:rPr>
        <w:rFonts w:hint="default"/>
      </w:rPr>
    </w:lvl>
    <w:lvl w:ilvl="6" w:tplc="596AB0B0">
      <w:numFmt w:val="bullet"/>
      <w:lvlText w:val="•"/>
      <w:lvlJc w:val="left"/>
      <w:pPr>
        <w:ind w:left="3534" w:hanging="80"/>
      </w:pPr>
      <w:rPr>
        <w:rFonts w:hint="default"/>
      </w:rPr>
    </w:lvl>
    <w:lvl w:ilvl="7" w:tplc="00B21912">
      <w:numFmt w:val="bullet"/>
      <w:lvlText w:val="•"/>
      <w:lvlJc w:val="left"/>
      <w:pPr>
        <w:ind w:left="4033" w:hanging="80"/>
      </w:pPr>
      <w:rPr>
        <w:rFonts w:hint="default"/>
      </w:rPr>
    </w:lvl>
    <w:lvl w:ilvl="8" w:tplc="085C3292">
      <w:numFmt w:val="bullet"/>
      <w:lvlText w:val="•"/>
      <w:lvlJc w:val="left"/>
      <w:pPr>
        <w:ind w:left="4532" w:hanging="80"/>
      </w:pPr>
      <w:rPr>
        <w:rFonts w:hint="default"/>
      </w:rPr>
    </w:lvl>
  </w:abstractNum>
  <w:abstractNum w:abstractNumId="4">
    <w:nsid w:val="2A85723D"/>
    <w:multiLevelType w:val="hybridMultilevel"/>
    <w:tmpl w:val="B3B0F6D2"/>
    <w:lvl w:ilvl="0" w:tplc="68948426">
      <w:start w:val="1"/>
      <w:numFmt w:val="decimal"/>
      <w:lvlText w:val="%1."/>
      <w:lvlJc w:val="left"/>
      <w:pPr>
        <w:ind w:left="4737" w:hanging="709"/>
        <w:jc w:val="right"/>
      </w:pPr>
      <w:rPr>
        <w:rFonts w:ascii="Arial" w:eastAsia="Arial" w:hAnsi="Arial" w:cs="Arial" w:hint="default"/>
        <w:b/>
        <w:bCs/>
        <w:w w:val="99"/>
        <w:sz w:val="32"/>
        <w:szCs w:val="32"/>
      </w:rPr>
    </w:lvl>
    <w:lvl w:ilvl="1" w:tplc="3C588DD8">
      <w:numFmt w:val="bullet"/>
      <w:lvlText w:val="•"/>
      <w:lvlJc w:val="left"/>
      <w:pPr>
        <w:ind w:left="5372" w:hanging="709"/>
      </w:pPr>
      <w:rPr>
        <w:rFonts w:hint="default"/>
      </w:rPr>
    </w:lvl>
    <w:lvl w:ilvl="2" w:tplc="194CF328">
      <w:numFmt w:val="bullet"/>
      <w:lvlText w:val="•"/>
      <w:lvlJc w:val="left"/>
      <w:pPr>
        <w:ind w:left="6004" w:hanging="709"/>
      </w:pPr>
      <w:rPr>
        <w:rFonts w:hint="default"/>
      </w:rPr>
    </w:lvl>
    <w:lvl w:ilvl="3" w:tplc="0B82F7C4">
      <w:numFmt w:val="bullet"/>
      <w:lvlText w:val="•"/>
      <w:lvlJc w:val="left"/>
      <w:pPr>
        <w:ind w:left="6636" w:hanging="709"/>
      </w:pPr>
      <w:rPr>
        <w:rFonts w:hint="default"/>
      </w:rPr>
    </w:lvl>
    <w:lvl w:ilvl="4" w:tplc="D2D6125C">
      <w:numFmt w:val="bullet"/>
      <w:lvlText w:val="•"/>
      <w:lvlJc w:val="left"/>
      <w:pPr>
        <w:ind w:left="7268" w:hanging="709"/>
      </w:pPr>
      <w:rPr>
        <w:rFonts w:hint="default"/>
      </w:rPr>
    </w:lvl>
    <w:lvl w:ilvl="5" w:tplc="CFEAE5FE">
      <w:numFmt w:val="bullet"/>
      <w:lvlText w:val="•"/>
      <w:lvlJc w:val="left"/>
      <w:pPr>
        <w:ind w:left="7900" w:hanging="709"/>
      </w:pPr>
      <w:rPr>
        <w:rFonts w:hint="default"/>
      </w:rPr>
    </w:lvl>
    <w:lvl w:ilvl="6" w:tplc="F196A4B8">
      <w:numFmt w:val="bullet"/>
      <w:lvlText w:val="•"/>
      <w:lvlJc w:val="left"/>
      <w:pPr>
        <w:ind w:left="8532" w:hanging="709"/>
      </w:pPr>
      <w:rPr>
        <w:rFonts w:hint="default"/>
      </w:rPr>
    </w:lvl>
    <w:lvl w:ilvl="7" w:tplc="A3C4364E">
      <w:numFmt w:val="bullet"/>
      <w:lvlText w:val="•"/>
      <w:lvlJc w:val="left"/>
      <w:pPr>
        <w:ind w:left="9164" w:hanging="709"/>
      </w:pPr>
      <w:rPr>
        <w:rFonts w:hint="default"/>
      </w:rPr>
    </w:lvl>
    <w:lvl w:ilvl="8" w:tplc="D758D306">
      <w:numFmt w:val="bullet"/>
      <w:lvlText w:val="•"/>
      <w:lvlJc w:val="left"/>
      <w:pPr>
        <w:ind w:left="9796" w:hanging="709"/>
      </w:pPr>
      <w:rPr>
        <w:rFonts w:hint="default"/>
      </w:rPr>
    </w:lvl>
  </w:abstractNum>
  <w:abstractNum w:abstractNumId="5">
    <w:nsid w:val="2EC45B05"/>
    <w:multiLevelType w:val="multilevel"/>
    <w:tmpl w:val="798A4196"/>
    <w:lvl w:ilvl="0">
      <w:start w:val="11"/>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start w:val="1"/>
      <w:numFmt w:val="decimal"/>
      <w:lvlText w:val="%1.%2.%3."/>
      <w:lvlJc w:val="left"/>
      <w:pPr>
        <w:ind w:left="1620" w:hanging="624"/>
        <w:jc w:val="left"/>
      </w:pPr>
      <w:rPr>
        <w:rFonts w:ascii="Times New Roman" w:eastAsia="Times New Roman" w:hAnsi="Times New Roman" w:cs="Times New Roman" w:hint="default"/>
        <w:w w:val="100"/>
        <w:sz w:val="20"/>
        <w:szCs w:val="20"/>
      </w:rPr>
    </w:lvl>
    <w:lvl w:ilvl="3">
      <w:numFmt w:val="bullet"/>
      <w:lvlText w:val="•"/>
      <w:lvlJc w:val="left"/>
      <w:pPr>
        <w:ind w:left="3717" w:hanging="624"/>
      </w:pPr>
      <w:rPr>
        <w:rFonts w:hint="default"/>
      </w:rPr>
    </w:lvl>
    <w:lvl w:ilvl="4">
      <w:numFmt w:val="bullet"/>
      <w:lvlText w:val="•"/>
      <w:lvlJc w:val="left"/>
      <w:pPr>
        <w:ind w:left="4766" w:hanging="624"/>
      </w:pPr>
      <w:rPr>
        <w:rFonts w:hint="default"/>
      </w:rPr>
    </w:lvl>
    <w:lvl w:ilvl="5">
      <w:numFmt w:val="bullet"/>
      <w:lvlText w:val="•"/>
      <w:lvlJc w:val="left"/>
      <w:pPr>
        <w:ind w:left="5815" w:hanging="624"/>
      </w:pPr>
      <w:rPr>
        <w:rFonts w:hint="default"/>
      </w:rPr>
    </w:lvl>
    <w:lvl w:ilvl="6">
      <w:numFmt w:val="bullet"/>
      <w:lvlText w:val="•"/>
      <w:lvlJc w:val="left"/>
      <w:pPr>
        <w:ind w:left="6864" w:hanging="624"/>
      </w:pPr>
      <w:rPr>
        <w:rFonts w:hint="default"/>
      </w:rPr>
    </w:lvl>
    <w:lvl w:ilvl="7">
      <w:numFmt w:val="bullet"/>
      <w:lvlText w:val="•"/>
      <w:lvlJc w:val="left"/>
      <w:pPr>
        <w:ind w:left="7913" w:hanging="624"/>
      </w:pPr>
      <w:rPr>
        <w:rFonts w:hint="default"/>
      </w:rPr>
    </w:lvl>
    <w:lvl w:ilvl="8">
      <w:numFmt w:val="bullet"/>
      <w:lvlText w:val="•"/>
      <w:lvlJc w:val="left"/>
      <w:pPr>
        <w:ind w:left="8962" w:hanging="624"/>
      </w:pPr>
      <w:rPr>
        <w:rFonts w:hint="default"/>
      </w:rPr>
    </w:lvl>
  </w:abstractNum>
  <w:abstractNum w:abstractNumId="6">
    <w:nsid w:val="354A1F70"/>
    <w:multiLevelType w:val="hybridMultilevel"/>
    <w:tmpl w:val="9154E89A"/>
    <w:lvl w:ilvl="0" w:tplc="0C8CC5EE">
      <w:numFmt w:val="bullet"/>
      <w:lvlText w:val="-"/>
      <w:lvlJc w:val="left"/>
      <w:pPr>
        <w:ind w:left="345" w:hanging="120"/>
      </w:pPr>
      <w:rPr>
        <w:rFonts w:ascii="Arial Narrow" w:eastAsia="Arial Narrow" w:hAnsi="Arial Narrow" w:cs="Arial Narrow" w:hint="default"/>
        <w:w w:val="100"/>
        <w:sz w:val="16"/>
        <w:szCs w:val="16"/>
      </w:rPr>
    </w:lvl>
    <w:lvl w:ilvl="1" w:tplc="CF8840BC">
      <w:numFmt w:val="bullet"/>
      <w:lvlText w:val="•"/>
      <w:lvlJc w:val="left"/>
      <w:pPr>
        <w:ind w:left="864" w:hanging="120"/>
      </w:pPr>
      <w:rPr>
        <w:rFonts w:hint="default"/>
      </w:rPr>
    </w:lvl>
    <w:lvl w:ilvl="2" w:tplc="B9EAE36A">
      <w:numFmt w:val="bullet"/>
      <w:lvlText w:val="•"/>
      <w:lvlJc w:val="left"/>
      <w:pPr>
        <w:ind w:left="1389" w:hanging="120"/>
      </w:pPr>
      <w:rPr>
        <w:rFonts w:hint="default"/>
      </w:rPr>
    </w:lvl>
    <w:lvl w:ilvl="3" w:tplc="FC62FE12">
      <w:numFmt w:val="bullet"/>
      <w:lvlText w:val="•"/>
      <w:lvlJc w:val="left"/>
      <w:pPr>
        <w:ind w:left="1914" w:hanging="120"/>
      </w:pPr>
      <w:rPr>
        <w:rFonts w:hint="default"/>
      </w:rPr>
    </w:lvl>
    <w:lvl w:ilvl="4" w:tplc="A5646EE8">
      <w:numFmt w:val="bullet"/>
      <w:lvlText w:val="•"/>
      <w:lvlJc w:val="left"/>
      <w:pPr>
        <w:ind w:left="2439" w:hanging="120"/>
      </w:pPr>
      <w:rPr>
        <w:rFonts w:hint="default"/>
      </w:rPr>
    </w:lvl>
    <w:lvl w:ilvl="5" w:tplc="531239FE">
      <w:numFmt w:val="bullet"/>
      <w:lvlText w:val="•"/>
      <w:lvlJc w:val="left"/>
      <w:pPr>
        <w:ind w:left="2964" w:hanging="120"/>
      </w:pPr>
      <w:rPr>
        <w:rFonts w:hint="default"/>
      </w:rPr>
    </w:lvl>
    <w:lvl w:ilvl="6" w:tplc="22AC986C">
      <w:numFmt w:val="bullet"/>
      <w:lvlText w:val="•"/>
      <w:lvlJc w:val="left"/>
      <w:pPr>
        <w:ind w:left="3488" w:hanging="120"/>
      </w:pPr>
      <w:rPr>
        <w:rFonts w:hint="default"/>
      </w:rPr>
    </w:lvl>
    <w:lvl w:ilvl="7" w:tplc="D6E6AD46">
      <w:numFmt w:val="bullet"/>
      <w:lvlText w:val="•"/>
      <w:lvlJc w:val="left"/>
      <w:pPr>
        <w:ind w:left="4013" w:hanging="120"/>
      </w:pPr>
      <w:rPr>
        <w:rFonts w:hint="default"/>
      </w:rPr>
    </w:lvl>
    <w:lvl w:ilvl="8" w:tplc="E3140EAE">
      <w:numFmt w:val="bullet"/>
      <w:lvlText w:val="•"/>
      <w:lvlJc w:val="left"/>
      <w:pPr>
        <w:ind w:left="4538" w:hanging="120"/>
      </w:pPr>
      <w:rPr>
        <w:rFonts w:hint="default"/>
      </w:rPr>
    </w:lvl>
  </w:abstractNum>
  <w:abstractNum w:abstractNumId="7">
    <w:nsid w:val="45B74196"/>
    <w:multiLevelType w:val="hybridMultilevel"/>
    <w:tmpl w:val="90D274C6"/>
    <w:lvl w:ilvl="0" w:tplc="58BA3D46">
      <w:start w:val="1"/>
      <w:numFmt w:val="lowerLetter"/>
      <w:lvlText w:val="%1)"/>
      <w:lvlJc w:val="left"/>
      <w:pPr>
        <w:ind w:left="621" w:hanging="284"/>
        <w:jc w:val="left"/>
      </w:pPr>
      <w:rPr>
        <w:rFonts w:ascii="Arial Narrow" w:eastAsia="Arial Narrow" w:hAnsi="Arial Narrow" w:cs="Arial Narrow" w:hint="default"/>
        <w:spacing w:val="0"/>
        <w:w w:val="100"/>
        <w:sz w:val="16"/>
        <w:szCs w:val="16"/>
      </w:rPr>
    </w:lvl>
    <w:lvl w:ilvl="1" w:tplc="202A32C4">
      <w:numFmt w:val="bullet"/>
      <w:lvlText w:val="•"/>
      <w:lvlJc w:val="left"/>
      <w:pPr>
        <w:ind w:left="1116" w:hanging="284"/>
      </w:pPr>
      <w:rPr>
        <w:rFonts w:hint="default"/>
      </w:rPr>
    </w:lvl>
    <w:lvl w:ilvl="2" w:tplc="0E4E319C">
      <w:numFmt w:val="bullet"/>
      <w:lvlText w:val="•"/>
      <w:lvlJc w:val="left"/>
      <w:pPr>
        <w:ind w:left="1613" w:hanging="284"/>
      </w:pPr>
      <w:rPr>
        <w:rFonts w:hint="default"/>
      </w:rPr>
    </w:lvl>
    <w:lvl w:ilvl="3" w:tplc="95CA0EAE">
      <w:numFmt w:val="bullet"/>
      <w:lvlText w:val="•"/>
      <w:lvlJc w:val="left"/>
      <w:pPr>
        <w:ind w:left="2110" w:hanging="284"/>
      </w:pPr>
      <w:rPr>
        <w:rFonts w:hint="default"/>
      </w:rPr>
    </w:lvl>
    <w:lvl w:ilvl="4" w:tplc="8384D26A">
      <w:numFmt w:val="bullet"/>
      <w:lvlText w:val="•"/>
      <w:lvlJc w:val="left"/>
      <w:pPr>
        <w:ind w:left="2607" w:hanging="284"/>
      </w:pPr>
      <w:rPr>
        <w:rFonts w:hint="default"/>
      </w:rPr>
    </w:lvl>
    <w:lvl w:ilvl="5" w:tplc="AD08BC7A">
      <w:numFmt w:val="bullet"/>
      <w:lvlText w:val="•"/>
      <w:lvlJc w:val="left"/>
      <w:pPr>
        <w:ind w:left="3104" w:hanging="284"/>
      </w:pPr>
      <w:rPr>
        <w:rFonts w:hint="default"/>
      </w:rPr>
    </w:lvl>
    <w:lvl w:ilvl="6" w:tplc="05FC132C">
      <w:numFmt w:val="bullet"/>
      <w:lvlText w:val="•"/>
      <w:lvlJc w:val="left"/>
      <w:pPr>
        <w:ind w:left="3600" w:hanging="284"/>
      </w:pPr>
      <w:rPr>
        <w:rFonts w:hint="default"/>
      </w:rPr>
    </w:lvl>
    <w:lvl w:ilvl="7" w:tplc="DAE89D58">
      <w:numFmt w:val="bullet"/>
      <w:lvlText w:val="•"/>
      <w:lvlJc w:val="left"/>
      <w:pPr>
        <w:ind w:left="4097" w:hanging="284"/>
      </w:pPr>
      <w:rPr>
        <w:rFonts w:hint="default"/>
      </w:rPr>
    </w:lvl>
    <w:lvl w:ilvl="8" w:tplc="B1AC9D22">
      <w:numFmt w:val="bullet"/>
      <w:lvlText w:val="•"/>
      <w:lvlJc w:val="left"/>
      <w:pPr>
        <w:ind w:left="4594" w:hanging="284"/>
      </w:pPr>
      <w:rPr>
        <w:rFonts w:hint="default"/>
      </w:rPr>
    </w:lvl>
  </w:abstractNum>
  <w:abstractNum w:abstractNumId="8">
    <w:nsid w:val="491F666B"/>
    <w:multiLevelType w:val="multilevel"/>
    <w:tmpl w:val="91C26594"/>
    <w:lvl w:ilvl="0">
      <w:start w:val="1"/>
      <w:numFmt w:val="decimal"/>
      <w:lvlText w:val="%1."/>
      <w:lvlJc w:val="left"/>
      <w:pPr>
        <w:ind w:left="542" w:hanging="397"/>
        <w:jc w:val="left"/>
      </w:pPr>
      <w:rPr>
        <w:rFonts w:ascii="Arial" w:eastAsia="Arial" w:hAnsi="Arial" w:cs="Arial" w:hint="default"/>
        <w:b/>
        <w:bCs/>
        <w:spacing w:val="-1"/>
        <w:w w:val="99"/>
        <w:sz w:val="20"/>
        <w:szCs w:val="20"/>
      </w:rPr>
    </w:lvl>
    <w:lvl w:ilvl="1">
      <w:start w:val="1"/>
      <w:numFmt w:val="decimal"/>
      <w:lvlText w:val="%1.%2."/>
      <w:lvlJc w:val="left"/>
      <w:pPr>
        <w:ind w:left="542" w:hanging="396"/>
        <w:jc w:val="left"/>
      </w:pPr>
      <w:rPr>
        <w:rFonts w:hint="default"/>
        <w:spacing w:val="-4"/>
        <w:w w:val="100"/>
      </w:rPr>
    </w:lvl>
    <w:lvl w:ilvl="2">
      <w:start w:val="1"/>
      <w:numFmt w:val="decimal"/>
      <w:lvlText w:val="%1.%2.%3."/>
      <w:lvlJc w:val="left"/>
      <w:pPr>
        <w:ind w:left="712" w:hanging="396"/>
        <w:jc w:val="left"/>
      </w:pPr>
      <w:rPr>
        <w:rFonts w:ascii="Arial Narrow" w:eastAsia="Arial Narrow" w:hAnsi="Arial Narrow" w:cs="Arial Narrow" w:hint="default"/>
        <w:spacing w:val="-1"/>
        <w:w w:val="100"/>
        <w:sz w:val="16"/>
        <w:szCs w:val="16"/>
      </w:rPr>
    </w:lvl>
    <w:lvl w:ilvl="3">
      <w:numFmt w:val="bullet"/>
      <w:lvlText w:val="•"/>
      <w:lvlJc w:val="left"/>
      <w:pPr>
        <w:ind w:left="720" w:hanging="396"/>
      </w:pPr>
      <w:rPr>
        <w:rFonts w:hint="default"/>
      </w:rPr>
    </w:lvl>
    <w:lvl w:ilvl="4">
      <w:numFmt w:val="bullet"/>
      <w:lvlText w:val="•"/>
      <w:lvlJc w:val="left"/>
      <w:pPr>
        <w:ind w:left="603" w:hanging="396"/>
      </w:pPr>
      <w:rPr>
        <w:rFonts w:hint="default"/>
      </w:rPr>
    </w:lvl>
    <w:lvl w:ilvl="5">
      <w:numFmt w:val="bullet"/>
      <w:lvlText w:val="•"/>
      <w:lvlJc w:val="left"/>
      <w:pPr>
        <w:ind w:left="486" w:hanging="396"/>
      </w:pPr>
      <w:rPr>
        <w:rFonts w:hint="default"/>
      </w:rPr>
    </w:lvl>
    <w:lvl w:ilvl="6">
      <w:numFmt w:val="bullet"/>
      <w:lvlText w:val="•"/>
      <w:lvlJc w:val="left"/>
      <w:pPr>
        <w:ind w:left="370" w:hanging="396"/>
      </w:pPr>
      <w:rPr>
        <w:rFonts w:hint="default"/>
      </w:rPr>
    </w:lvl>
    <w:lvl w:ilvl="7">
      <w:numFmt w:val="bullet"/>
      <w:lvlText w:val="•"/>
      <w:lvlJc w:val="left"/>
      <w:pPr>
        <w:ind w:left="253" w:hanging="396"/>
      </w:pPr>
      <w:rPr>
        <w:rFonts w:hint="default"/>
      </w:rPr>
    </w:lvl>
    <w:lvl w:ilvl="8">
      <w:numFmt w:val="bullet"/>
      <w:lvlText w:val="•"/>
      <w:lvlJc w:val="left"/>
      <w:pPr>
        <w:ind w:left="137" w:hanging="396"/>
      </w:pPr>
      <w:rPr>
        <w:rFonts w:hint="default"/>
      </w:rPr>
    </w:lvl>
  </w:abstractNum>
  <w:abstractNum w:abstractNumId="9">
    <w:nsid w:val="54F27F4E"/>
    <w:multiLevelType w:val="multilevel"/>
    <w:tmpl w:val="5A9EB618"/>
    <w:lvl w:ilvl="0">
      <w:start w:val="8"/>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numFmt w:val="bullet"/>
      <w:lvlText w:val=""/>
      <w:lvlJc w:val="left"/>
      <w:pPr>
        <w:ind w:left="1620" w:hanging="341"/>
      </w:pPr>
      <w:rPr>
        <w:rFonts w:ascii="Symbol" w:eastAsia="Symbol" w:hAnsi="Symbol" w:cs="Symbol" w:hint="default"/>
        <w:w w:val="100"/>
        <w:sz w:val="22"/>
        <w:szCs w:val="22"/>
      </w:rPr>
    </w:lvl>
    <w:lvl w:ilvl="3">
      <w:numFmt w:val="bullet"/>
      <w:lvlText w:val="•"/>
      <w:lvlJc w:val="left"/>
      <w:pPr>
        <w:ind w:left="3717" w:hanging="341"/>
      </w:pPr>
      <w:rPr>
        <w:rFonts w:hint="default"/>
      </w:rPr>
    </w:lvl>
    <w:lvl w:ilvl="4">
      <w:numFmt w:val="bullet"/>
      <w:lvlText w:val="•"/>
      <w:lvlJc w:val="left"/>
      <w:pPr>
        <w:ind w:left="4766" w:hanging="341"/>
      </w:pPr>
      <w:rPr>
        <w:rFonts w:hint="default"/>
      </w:rPr>
    </w:lvl>
    <w:lvl w:ilvl="5">
      <w:numFmt w:val="bullet"/>
      <w:lvlText w:val="•"/>
      <w:lvlJc w:val="left"/>
      <w:pPr>
        <w:ind w:left="5815" w:hanging="341"/>
      </w:pPr>
      <w:rPr>
        <w:rFonts w:hint="default"/>
      </w:rPr>
    </w:lvl>
    <w:lvl w:ilvl="6">
      <w:numFmt w:val="bullet"/>
      <w:lvlText w:val="•"/>
      <w:lvlJc w:val="left"/>
      <w:pPr>
        <w:ind w:left="6864" w:hanging="341"/>
      </w:pPr>
      <w:rPr>
        <w:rFonts w:hint="default"/>
      </w:rPr>
    </w:lvl>
    <w:lvl w:ilvl="7">
      <w:numFmt w:val="bullet"/>
      <w:lvlText w:val="•"/>
      <w:lvlJc w:val="left"/>
      <w:pPr>
        <w:ind w:left="7913" w:hanging="341"/>
      </w:pPr>
      <w:rPr>
        <w:rFonts w:hint="default"/>
      </w:rPr>
    </w:lvl>
    <w:lvl w:ilvl="8">
      <w:numFmt w:val="bullet"/>
      <w:lvlText w:val="•"/>
      <w:lvlJc w:val="left"/>
      <w:pPr>
        <w:ind w:left="8962" w:hanging="341"/>
      </w:pPr>
      <w:rPr>
        <w:rFonts w:hint="default"/>
      </w:rPr>
    </w:lvl>
  </w:abstractNum>
  <w:abstractNum w:abstractNumId="10">
    <w:nsid w:val="56D02B2E"/>
    <w:multiLevelType w:val="multilevel"/>
    <w:tmpl w:val="3EC8FB12"/>
    <w:lvl w:ilvl="0">
      <w:start w:val="9"/>
      <w:numFmt w:val="decimal"/>
      <w:lvlText w:val="%1"/>
      <w:lvlJc w:val="left"/>
      <w:pPr>
        <w:ind w:left="600" w:hanging="396"/>
        <w:jc w:val="left"/>
      </w:pPr>
      <w:rPr>
        <w:rFonts w:hint="default"/>
      </w:rPr>
    </w:lvl>
    <w:lvl w:ilvl="1">
      <w:start w:val="2"/>
      <w:numFmt w:val="decimal"/>
      <w:lvlText w:val="%1.%2."/>
      <w:lvlJc w:val="left"/>
      <w:pPr>
        <w:ind w:left="600" w:hanging="396"/>
        <w:jc w:val="left"/>
      </w:pPr>
      <w:rPr>
        <w:rFonts w:ascii="Arial Narrow" w:eastAsia="Arial Narrow" w:hAnsi="Arial Narrow" w:cs="Arial Narrow" w:hint="default"/>
        <w:b/>
        <w:bCs/>
        <w:spacing w:val="-1"/>
        <w:w w:val="100"/>
        <w:sz w:val="16"/>
        <w:szCs w:val="16"/>
      </w:rPr>
    </w:lvl>
    <w:lvl w:ilvl="2">
      <w:start w:val="1"/>
      <w:numFmt w:val="decimal"/>
      <w:lvlText w:val="%1.%2.%3."/>
      <w:lvlJc w:val="left"/>
      <w:pPr>
        <w:ind w:left="770" w:hanging="509"/>
        <w:jc w:val="left"/>
      </w:pPr>
      <w:rPr>
        <w:rFonts w:ascii="Arial Narrow" w:eastAsia="Arial Narrow" w:hAnsi="Arial Narrow" w:cs="Arial Narrow" w:hint="default"/>
        <w:spacing w:val="-1"/>
        <w:w w:val="100"/>
        <w:sz w:val="16"/>
        <w:szCs w:val="16"/>
      </w:rPr>
    </w:lvl>
    <w:lvl w:ilvl="3">
      <w:numFmt w:val="bullet"/>
      <w:lvlText w:val="•"/>
      <w:lvlJc w:val="left"/>
      <w:pPr>
        <w:ind w:left="1848" w:hanging="509"/>
      </w:pPr>
      <w:rPr>
        <w:rFonts w:hint="default"/>
      </w:rPr>
    </w:lvl>
    <w:lvl w:ilvl="4">
      <w:numFmt w:val="bullet"/>
      <w:lvlText w:val="•"/>
      <w:lvlJc w:val="left"/>
      <w:pPr>
        <w:ind w:left="2382" w:hanging="509"/>
      </w:pPr>
      <w:rPr>
        <w:rFonts w:hint="default"/>
      </w:rPr>
    </w:lvl>
    <w:lvl w:ilvl="5">
      <w:numFmt w:val="bullet"/>
      <w:lvlText w:val="•"/>
      <w:lvlJc w:val="left"/>
      <w:pPr>
        <w:ind w:left="2916" w:hanging="509"/>
      </w:pPr>
      <w:rPr>
        <w:rFonts w:hint="default"/>
      </w:rPr>
    </w:lvl>
    <w:lvl w:ilvl="6">
      <w:numFmt w:val="bullet"/>
      <w:lvlText w:val="•"/>
      <w:lvlJc w:val="left"/>
      <w:pPr>
        <w:ind w:left="3451" w:hanging="509"/>
      </w:pPr>
      <w:rPr>
        <w:rFonts w:hint="default"/>
      </w:rPr>
    </w:lvl>
    <w:lvl w:ilvl="7">
      <w:numFmt w:val="bullet"/>
      <w:lvlText w:val="•"/>
      <w:lvlJc w:val="left"/>
      <w:pPr>
        <w:ind w:left="3985" w:hanging="509"/>
      </w:pPr>
      <w:rPr>
        <w:rFonts w:hint="default"/>
      </w:rPr>
    </w:lvl>
    <w:lvl w:ilvl="8">
      <w:numFmt w:val="bullet"/>
      <w:lvlText w:val="•"/>
      <w:lvlJc w:val="left"/>
      <w:pPr>
        <w:ind w:left="4519" w:hanging="509"/>
      </w:pPr>
      <w:rPr>
        <w:rFonts w:hint="default"/>
      </w:rPr>
    </w:lvl>
  </w:abstractNum>
  <w:abstractNum w:abstractNumId="11">
    <w:nsid w:val="573A08C2"/>
    <w:multiLevelType w:val="multilevel"/>
    <w:tmpl w:val="76B46EA6"/>
    <w:lvl w:ilvl="0">
      <w:start w:val="7"/>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start w:val="1"/>
      <w:numFmt w:val="decimal"/>
      <w:lvlText w:val="%1.%2.%3."/>
      <w:lvlJc w:val="left"/>
      <w:pPr>
        <w:ind w:left="1620" w:hanging="624"/>
        <w:jc w:val="left"/>
      </w:pPr>
      <w:rPr>
        <w:rFonts w:ascii="Times New Roman" w:eastAsia="Times New Roman" w:hAnsi="Times New Roman" w:cs="Times New Roman" w:hint="default"/>
        <w:w w:val="100"/>
        <w:sz w:val="22"/>
        <w:szCs w:val="22"/>
      </w:rPr>
    </w:lvl>
    <w:lvl w:ilvl="3">
      <w:numFmt w:val="bullet"/>
      <w:lvlText w:val="•"/>
      <w:lvlJc w:val="left"/>
      <w:pPr>
        <w:ind w:left="3717" w:hanging="624"/>
      </w:pPr>
      <w:rPr>
        <w:rFonts w:hint="default"/>
      </w:rPr>
    </w:lvl>
    <w:lvl w:ilvl="4">
      <w:numFmt w:val="bullet"/>
      <w:lvlText w:val="•"/>
      <w:lvlJc w:val="left"/>
      <w:pPr>
        <w:ind w:left="4766" w:hanging="624"/>
      </w:pPr>
      <w:rPr>
        <w:rFonts w:hint="default"/>
      </w:rPr>
    </w:lvl>
    <w:lvl w:ilvl="5">
      <w:numFmt w:val="bullet"/>
      <w:lvlText w:val="•"/>
      <w:lvlJc w:val="left"/>
      <w:pPr>
        <w:ind w:left="5815" w:hanging="624"/>
      </w:pPr>
      <w:rPr>
        <w:rFonts w:hint="default"/>
      </w:rPr>
    </w:lvl>
    <w:lvl w:ilvl="6">
      <w:numFmt w:val="bullet"/>
      <w:lvlText w:val="•"/>
      <w:lvlJc w:val="left"/>
      <w:pPr>
        <w:ind w:left="6864" w:hanging="624"/>
      </w:pPr>
      <w:rPr>
        <w:rFonts w:hint="default"/>
      </w:rPr>
    </w:lvl>
    <w:lvl w:ilvl="7">
      <w:numFmt w:val="bullet"/>
      <w:lvlText w:val="•"/>
      <w:lvlJc w:val="left"/>
      <w:pPr>
        <w:ind w:left="7913" w:hanging="624"/>
      </w:pPr>
      <w:rPr>
        <w:rFonts w:hint="default"/>
      </w:rPr>
    </w:lvl>
    <w:lvl w:ilvl="8">
      <w:numFmt w:val="bullet"/>
      <w:lvlText w:val="•"/>
      <w:lvlJc w:val="left"/>
      <w:pPr>
        <w:ind w:left="8962" w:hanging="624"/>
      </w:pPr>
      <w:rPr>
        <w:rFonts w:hint="default"/>
      </w:rPr>
    </w:lvl>
  </w:abstractNum>
  <w:abstractNum w:abstractNumId="12">
    <w:nsid w:val="59A85D47"/>
    <w:multiLevelType w:val="multilevel"/>
    <w:tmpl w:val="50C64632"/>
    <w:lvl w:ilvl="0">
      <w:start w:val="14"/>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numFmt w:val="bullet"/>
      <w:lvlText w:val="•"/>
      <w:lvlJc w:val="left"/>
      <w:pPr>
        <w:ind w:left="3236" w:hanging="567"/>
      </w:pPr>
      <w:rPr>
        <w:rFonts w:hint="default"/>
      </w:rPr>
    </w:lvl>
    <w:lvl w:ilvl="3">
      <w:numFmt w:val="bullet"/>
      <w:lvlText w:val="•"/>
      <w:lvlJc w:val="left"/>
      <w:pPr>
        <w:ind w:left="4214" w:hanging="567"/>
      </w:pPr>
      <w:rPr>
        <w:rFonts w:hint="default"/>
      </w:rPr>
    </w:lvl>
    <w:lvl w:ilvl="4">
      <w:numFmt w:val="bullet"/>
      <w:lvlText w:val="•"/>
      <w:lvlJc w:val="left"/>
      <w:pPr>
        <w:ind w:left="5192" w:hanging="567"/>
      </w:pPr>
      <w:rPr>
        <w:rFonts w:hint="default"/>
      </w:rPr>
    </w:lvl>
    <w:lvl w:ilvl="5">
      <w:numFmt w:val="bullet"/>
      <w:lvlText w:val="•"/>
      <w:lvlJc w:val="left"/>
      <w:pPr>
        <w:ind w:left="6170" w:hanging="567"/>
      </w:pPr>
      <w:rPr>
        <w:rFonts w:hint="default"/>
      </w:rPr>
    </w:lvl>
    <w:lvl w:ilvl="6">
      <w:numFmt w:val="bullet"/>
      <w:lvlText w:val="•"/>
      <w:lvlJc w:val="left"/>
      <w:pPr>
        <w:ind w:left="7148" w:hanging="567"/>
      </w:pPr>
      <w:rPr>
        <w:rFonts w:hint="default"/>
      </w:rPr>
    </w:lvl>
    <w:lvl w:ilvl="7">
      <w:numFmt w:val="bullet"/>
      <w:lvlText w:val="•"/>
      <w:lvlJc w:val="left"/>
      <w:pPr>
        <w:ind w:left="8126" w:hanging="567"/>
      </w:pPr>
      <w:rPr>
        <w:rFonts w:hint="default"/>
      </w:rPr>
    </w:lvl>
    <w:lvl w:ilvl="8">
      <w:numFmt w:val="bullet"/>
      <w:lvlText w:val="•"/>
      <w:lvlJc w:val="left"/>
      <w:pPr>
        <w:ind w:left="9104" w:hanging="567"/>
      </w:pPr>
      <w:rPr>
        <w:rFonts w:hint="default"/>
      </w:rPr>
    </w:lvl>
  </w:abstractNum>
  <w:abstractNum w:abstractNumId="13">
    <w:nsid w:val="5B0F2A3E"/>
    <w:multiLevelType w:val="multilevel"/>
    <w:tmpl w:val="54DCDE4C"/>
    <w:lvl w:ilvl="0">
      <w:start w:val="2"/>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numFmt w:val="bullet"/>
      <w:lvlText w:val="•"/>
      <w:lvlJc w:val="left"/>
      <w:pPr>
        <w:ind w:left="3236" w:hanging="567"/>
      </w:pPr>
      <w:rPr>
        <w:rFonts w:hint="default"/>
      </w:rPr>
    </w:lvl>
    <w:lvl w:ilvl="3">
      <w:numFmt w:val="bullet"/>
      <w:lvlText w:val="•"/>
      <w:lvlJc w:val="left"/>
      <w:pPr>
        <w:ind w:left="4214" w:hanging="567"/>
      </w:pPr>
      <w:rPr>
        <w:rFonts w:hint="default"/>
      </w:rPr>
    </w:lvl>
    <w:lvl w:ilvl="4">
      <w:numFmt w:val="bullet"/>
      <w:lvlText w:val="•"/>
      <w:lvlJc w:val="left"/>
      <w:pPr>
        <w:ind w:left="5192" w:hanging="567"/>
      </w:pPr>
      <w:rPr>
        <w:rFonts w:hint="default"/>
      </w:rPr>
    </w:lvl>
    <w:lvl w:ilvl="5">
      <w:numFmt w:val="bullet"/>
      <w:lvlText w:val="•"/>
      <w:lvlJc w:val="left"/>
      <w:pPr>
        <w:ind w:left="6170" w:hanging="567"/>
      </w:pPr>
      <w:rPr>
        <w:rFonts w:hint="default"/>
      </w:rPr>
    </w:lvl>
    <w:lvl w:ilvl="6">
      <w:numFmt w:val="bullet"/>
      <w:lvlText w:val="•"/>
      <w:lvlJc w:val="left"/>
      <w:pPr>
        <w:ind w:left="7148" w:hanging="567"/>
      </w:pPr>
      <w:rPr>
        <w:rFonts w:hint="default"/>
      </w:rPr>
    </w:lvl>
    <w:lvl w:ilvl="7">
      <w:numFmt w:val="bullet"/>
      <w:lvlText w:val="•"/>
      <w:lvlJc w:val="left"/>
      <w:pPr>
        <w:ind w:left="8126" w:hanging="567"/>
      </w:pPr>
      <w:rPr>
        <w:rFonts w:hint="default"/>
      </w:rPr>
    </w:lvl>
    <w:lvl w:ilvl="8">
      <w:numFmt w:val="bullet"/>
      <w:lvlText w:val="•"/>
      <w:lvlJc w:val="left"/>
      <w:pPr>
        <w:ind w:left="9104" w:hanging="567"/>
      </w:pPr>
      <w:rPr>
        <w:rFonts w:hint="default"/>
      </w:rPr>
    </w:lvl>
  </w:abstractNum>
  <w:abstractNum w:abstractNumId="14">
    <w:nsid w:val="73CD4268"/>
    <w:multiLevelType w:val="multilevel"/>
    <w:tmpl w:val="884C3C5C"/>
    <w:lvl w:ilvl="0">
      <w:start w:val="10"/>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numFmt w:val="bullet"/>
      <w:lvlText w:val="•"/>
      <w:lvlJc w:val="left"/>
      <w:pPr>
        <w:ind w:left="3236" w:hanging="567"/>
      </w:pPr>
      <w:rPr>
        <w:rFonts w:hint="default"/>
      </w:rPr>
    </w:lvl>
    <w:lvl w:ilvl="3">
      <w:numFmt w:val="bullet"/>
      <w:lvlText w:val="•"/>
      <w:lvlJc w:val="left"/>
      <w:pPr>
        <w:ind w:left="4214" w:hanging="567"/>
      </w:pPr>
      <w:rPr>
        <w:rFonts w:hint="default"/>
      </w:rPr>
    </w:lvl>
    <w:lvl w:ilvl="4">
      <w:numFmt w:val="bullet"/>
      <w:lvlText w:val="•"/>
      <w:lvlJc w:val="left"/>
      <w:pPr>
        <w:ind w:left="5192" w:hanging="567"/>
      </w:pPr>
      <w:rPr>
        <w:rFonts w:hint="default"/>
      </w:rPr>
    </w:lvl>
    <w:lvl w:ilvl="5">
      <w:numFmt w:val="bullet"/>
      <w:lvlText w:val="•"/>
      <w:lvlJc w:val="left"/>
      <w:pPr>
        <w:ind w:left="6170" w:hanging="567"/>
      </w:pPr>
      <w:rPr>
        <w:rFonts w:hint="default"/>
      </w:rPr>
    </w:lvl>
    <w:lvl w:ilvl="6">
      <w:numFmt w:val="bullet"/>
      <w:lvlText w:val="•"/>
      <w:lvlJc w:val="left"/>
      <w:pPr>
        <w:ind w:left="7148" w:hanging="567"/>
      </w:pPr>
      <w:rPr>
        <w:rFonts w:hint="default"/>
      </w:rPr>
    </w:lvl>
    <w:lvl w:ilvl="7">
      <w:numFmt w:val="bullet"/>
      <w:lvlText w:val="•"/>
      <w:lvlJc w:val="left"/>
      <w:pPr>
        <w:ind w:left="8126" w:hanging="567"/>
      </w:pPr>
      <w:rPr>
        <w:rFonts w:hint="default"/>
      </w:rPr>
    </w:lvl>
    <w:lvl w:ilvl="8">
      <w:numFmt w:val="bullet"/>
      <w:lvlText w:val="•"/>
      <w:lvlJc w:val="left"/>
      <w:pPr>
        <w:ind w:left="9104" w:hanging="567"/>
      </w:pPr>
      <w:rPr>
        <w:rFonts w:hint="default"/>
      </w:rPr>
    </w:lvl>
  </w:abstractNum>
  <w:abstractNum w:abstractNumId="15">
    <w:nsid w:val="75A5109E"/>
    <w:multiLevelType w:val="multilevel"/>
    <w:tmpl w:val="00F655BE"/>
    <w:lvl w:ilvl="0">
      <w:start w:val="15"/>
      <w:numFmt w:val="decimal"/>
      <w:lvlText w:val="%1"/>
      <w:lvlJc w:val="left"/>
      <w:pPr>
        <w:ind w:left="542" w:hanging="396"/>
        <w:jc w:val="left"/>
      </w:pPr>
      <w:rPr>
        <w:rFonts w:hint="default"/>
      </w:rPr>
    </w:lvl>
    <w:lvl w:ilvl="1">
      <w:start w:val="2"/>
      <w:numFmt w:val="decimal"/>
      <w:lvlText w:val="%1.%2."/>
      <w:lvlJc w:val="left"/>
      <w:pPr>
        <w:ind w:left="542" w:hanging="396"/>
        <w:jc w:val="left"/>
      </w:pPr>
      <w:rPr>
        <w:rFonts w:ascii="Arial Narrow" w:eastAsia="Arial Narrow" w:hAnsi="Arial Narrow" w:cs="Arial Narrow" w:hint="default"/>
        <w:spacing w:val="-4"/>
        <w:w w:val="100"/>
        <w:sz w:val="16"/>
        <w:szCs w:val="16"/>
      </w:rPr>
    </w:lvl>
    <w:lvl w:ilvl="2">
      <w:numFmt w:val="bullet"/>
      <w:lvlText w:val="•"/>
      <w:lvlJc w:val="left"/>
      <w:pPr>
        <w:ind w:left="1518" w:hanging="396"/>
      </w:pPr>
      <w:rPr>
        <w:rFonts w:hint="default"/>
      </w:rPr>
    </w:lvl>
    <w:lvl w:ilvl="3">
      <w:numFmt w:val="bullet"/>
      <w:lvlText w:val="•"/>
      <w:lvlJc w:val="left"/>
      <w:pPr>
        <w:ind w:left="2008" w:hanging="396"/>
      </w:pPr>
      <w:rPr>
        <w:rFonts w:hint="default"/>
      </w:rPr>
    </w:lvl>
    <w:lvl w:ilvl="4">
      <w:numFmt w:val="bullet"/>
      <w:lvlText w:val="•"/>
      <w:lvlJc w:val="left"/>
      <w:pPr>
        <w:ind w:left="2497" w:hanging="396"/>
      </w:pPr>
      <w:rPr>
        <w:rFonts w:hint="default"/>
      </w:rPr>
    </w:lvl>
    <w:lvl w:ilvl="5">
      <w:numFmt w:val="bullet"/>
      <w:lvlText w:val="•"/>
      <w:lvlJc w:val="left"/>
      <w:pPr>
        <w:ind w:left="2986" w:hanging="396"/>
      </w:pPr>
      <w:rPr>
        <w:rFonts w:hint="default"/>
      </w:rPr>
    </w:lvl>
    <w:lvl w:ilvl="6">
      <w:numFmt w:val="bullet"/>
      <w:lvlText w:val="•"/>
      <w:lvlJc w:val="left"/>
      <w:pPr>
        <w:ind w:left="3476" w:hanging="396"/>
      </w:pPr>
      <w:rPr>
        <w:rFonts w:hint="default"/>
      </w:rPr>
    </w:lvl>
    <w:lvl w:ilvl="7">
      <w:numFmt w:val="bullet"/>
      <w:lvlText w:val="•"/>
      <w:lvlJc w:val="left"/>
      <w:pPr>
        <w:ind w:left="3965" w:hanging="396"/>
      </w:pPr>
      <w:rPr>
        <w:rFonts w:hint="default"/>
      </w:rPr>
    </w:lvl>
    <w:lvl w:ilvl="8">
      <w:numFmt w:val="bullet"/>
      <w:lvlText w:val="•"/>
      <w:lvlJc w:val="left"/>
      <w:pPr>
        <w:ind w:left="4455" w:hanging="396"/>
      </w:pPr>
      <w:rPr>
        <w:rFonts w:hint="default"/>
      </w:rPr>
    </w:lvl>
  </w:abstractNum>
  <w:abstractNum w:abstractNumId="16">
    <w:nsid w:val="79DB1873"/>
    <w:multiLevelType w:val="multilevel"/>
    <w:tmpl w:val="B1CC874A"/>
    <w:lvl w:ilvl="0">
      <w:start w:val="12"/>
      <w:numFmt w:val="decimal"/>
      <w:lvlText w:val="%1"/>
      <w:lvlJc w:val="left"/>
      <w:pPr>
        <w:ind w:left="1279" w:hanging="531"/>
        <w:jc w:val="left"/>
      </w:pPr>
      <w:rPr>
        <w:rFonts w:hint="default"/>
      </w:rPr>
    </w:lvl>
    <w:lvl w:ilvl="1">
      <w:start w:val="2"/>
      <w:numFmt w:val="decimal"/>
      <w:lvlText w:val="%1.%2."/>
      <w:lvlJc w:val="left"/>
      <w:pPr>
        <w:ind w:left="1279" w:hanging="531"/>
        <w:jc w:val="left"/>
      </w:pPr>
      <w:rPr>
        <w:rFonts w:ascii="Times New Roman" w:eastAsia="Times New Roman" w:hAnsi="Times New Roman" w:cs="Times New Roman" w:hint="default"/>
        <w:w w:val="100"/>
        <w:sz w:val="22"/>
        <w:szCs w:val="22"/>
      </w:rPr>
    </w:lvl>
    <w:lvl w:ilvl="2">
      <w:numFmt w:val="bullet"/>
      <w:lvlText w:val="•"/>
      <w:lvlJc w:val="left"/>
      <w:pPr>
        <w:ind w:left="3236" w:hanging="531"/>
      </w:pPr>
      <w:rPr>
        <w:rFonts w:hint="default"/>
      </w:rPr>
    </w:lvl>
    <w:lvl w:ilvl="3">
      <w:numFmt w:val="bullet"/>
      <w:lvlText w:val="•"/>
      <w:lvlJc w:val="left"/>
      <w:pPr>
        <w:ind w:left="4214" w:hanging="531"/>
      </w:pPr>
      <w:rPr>
        <w:rFonts w:hint="default"/>
      </w:rPr>
    </w:lvl>
    <w:lvl w:ilvl="4">
      <w:numFmt w:val="bullet"/>
      <w:lvlText w:val="•"/>
      <w:lvlJc w:val="left"/>
      <w:pPr>
        <w:ind w:left="5192" w:hanging="531"/>
      </w:pPr>
      <w:rPr>
        <w:rFonts w:hint="default"/>
      </w:rPr>
    </w:lvl>
    <w:lvl w:ilvl="5">
      <w:numFmt w:val="bullet"/>
      <w:lvlText w:val="•"/>
      <w:lvlJc w:val="left"/>
      <w:pPr>
        <w:ind w:left="6170" w:hanging="531"/>
      </w:pPr>
      <w:rPr>
        <w:rFonts w:hint="default"/>
      </w:rPr>
    </w:lvl>
    <w:lvl w:ilvl="6">
      <w:numFmt w:val="bullet"/>
      <w:lvlText w:val="•"/>
      <w:lvlJc w:val="left"/>
      <w:pPr>
        <w:ind w:left="7148" w:hanging="531"/>
      </w:pPr>
      <w:rPr>
        <w:rFonts w:hint="default"/>
      </w:rPr>
    </w:lvl>
    <w:lvl w:ilvl="7">
      <w:numFmt w:val="bullet"/>
      <w:lvlText w:val="•"/>
      <w:lvlJc w:val="left"/>
      <w:pPr>
        <w:ind w:left="8126" w:hanging="531"/>
      </w:pPr>
      <w:rPr>
        <w:rFonts w:hint="default"/>
      </w:rPr>
    </w:lvl>
    <w:lvl w:ilvl="8">
      <w:numFmt w:val="bullet"/>
      <w:lvlText w:val="•"/>
      <w:lvlJc w:val="left"/>
      <w:pPr>
        <w:ind w:left="9104" w:hanging="531"/>
      </w:pPr>
      <w:rPr>
        <w:rFonts w:hint="default"/>
      </w:rPr>
    </w:lvl>
  </w:abstractNum>
  <w:abstractNum w:abstractNumId="17">
    <w:nsid w:val="7C4001D4"/>
    <w:multiLevelType w:val="multilevel"/>
    <w:tmpl w:val="9F1212A6"/>
    <w:lvl w:ilvl="0">
      <w:start w:val="5"/>
      <w:numFmt w:val="decimal"/>
      <w:lvlText w:val="%1"/>
      <w:lvlJc w:val="left"/>
      <w:pPr>
        <w:ind w:left="1279" w:hanging="567"/>
        <w:jc w:val="left"/>
      </w:pPr>
      <w:rPr>
        <w:rFonts w:hint="default"/>
      </w:rPr>
    </w:lvl>
    <w:lvl w:ilvl="1">
      <w:start w:val="1"/>
      <w:numFmt w:val="decimal"/>
      <w:lvlText w:val="%1.%2."/>
      <w:lvlJc w:val="left"/>
      <w:pPr>
        <w:ind w:left="1279" w:hanging="567"/>
        <w:jc w:val="left"/>
      </w:pPr>
      <w:rPr>
        <w:rFonts w:ascii="Times New Roman" w:eastAsia="Times New Roman" w:hAnsi="Times New Roman" w:cs="Times New Roman" w:hint="default"/>
        <w:w w:val="100"/>
        <w:sz w:val="22"/>
        <w:szCs w:val="22"/>
      </w:rPr>
    </w:lvl>
    <w:lvl w:ilvl="2">
      <w:numFmt w:val="bullet"/>
      <w:lvlText w:val="•"/>
      <w:lvlJc w:val="left"/>
      <w:pPr>
        <w:ind w:left="3236" w:hanging="567"/>
      </w:pPr>
      <w:rPr>
        <w:rFonts w:hint="default"/>
      </w:rPr>
    </w:lvl>
    <w:lvl w:ilvl="3">
      <w:numFmt w:val="bullet"/>
      <w:lvlText w:val="•"/>
      <w:lvlJc w:val="left"/>
      <w:pPr>
        <w:ind w:left="4214" w:hanging="567"/>
      </w:pPr>
      <w:rPr>
        <w:rFonts w:hint="default"/>
      </w:rPr>
    </w:lvl>
    <w:lvl w:ilvl="4">
      <w:numFmt w:val="bullet"/>
      <w:lvlText w:val="•"/>
      <w:lvlJc w:val="left"/>
      <w:pPr>
        <w:ind w:left="5192" w:hanging="567"/>
      </w:pPr>
      <w:rPr>
        <w:rFonts w:hint="default"/>
      </w:rPr>
    </w:lvl>
    <w:lvl w:ilvl="5">
      <w:numFmt w:val="bullet"/>
      <w:lvlText w:val="•"/>
      <w:lvlJc w:val="left"/>
      <w:pPr>
        <w:ind w:left="6170" w:hanging="567"/>
      </w:pPr>
      <w:rPr>
        <w:rFonts w:hint="default"/>
      </w:rPr>
    </w:lvl>
    <w:lvl w:ilvl="6">
      <w:numFmt w:val="bullet"/>
      <w:lvlText w:val="•"/>
      <w:lvlJc w:val="left"/>
      <w:pPr>
        <w:ind w:left="7148" w:hanging="567"/>
      </w:pPr>
      <w:rPr>
        <w:rFonts w:hint="default"/>
      </w:rPr>
    </w:lvl>
    <w:lvl w:ilvl="7">
      <w:numFmt w:val="bullet"/>
      <w:lvlText w:val="•"/>
      <w:lvlJc w:val="left"/>
      <w:pPr>
        <w:ind w:left="8126" w:hanging="567"/>
      </w:pPr>
      <w:rPr>
        <w:rFonts w:hint="default"/>
      </w:rPr>
    </w:lvl>
    <w:lvl w:ilvl="8">
      <w:numFmt w:val="bullet"/>
      <w:lvlText w:val="•"/>
      <w:lvlJc w:val="left"/>
      <w:pPr>
        <w:ind w:left="9104" w:hanging="567"/>
      </w:pPr>
      <w:rPr>
        <w:rFonts w:hint="default"/>
      </w:rPr>
    </w:lvl>
  </w:abstractNum>
  <w:num w:numId="1">
    <w:abstractNumId w:val="15"/>
  </w:num>
  <w:num w:numId="2">
    <w:abstractNumId w:val="3"/>
  </w:num>
  <w:num w:numId="3">
    <w:abstractNumId w:val="6"/>
  </w:num>
  <w:num w:numId="4">
    <w:abstractNumId w:val="7"/>
  </w:num>
  <w:num w:numId="5">
    <w:abstractNumId w:val="10"/>
  </w:num>
  <w:num w:numId="6">
    <w:abstractNumId w:val="2"/>
  </w:num>
  <w:num w:numId="7">
    <w:abstractNumId w:val="8"/>
  </w:num>
  <w:num w:numId="8">
    <w:abstractNumId w:val="12"/>
  </w:num>
  <w:num w:numId="9">
    <w:abstractNumId w:val="16"/>
  </w:num>
  <w:num w:numId="10">
    <w:abstractNumId w:val="0"/>
  </w:num>
  <w:num w:numId="11">
    <w:abstractNumId w:val="5"/>
  </w:num>
  <w:num w:numId="12">
    <w:abstractNumId w:val="14"/>
  </w:num>
  <w:num w:numId="13">
    <w:abstractNumId w:val="9"/>
  </w:num>
  <w:num w:numId="14">
    <w:abstractNumId w:val="11"/>
  </w:num>
  <w:num w:numId="15">
    <w:abstractNumId w:val="1"/>
  </w:num>
  <w:num w:numId="16">
    <w:abstractNumId w:val="1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formsDesig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Narrow" w:eastAsia="Arial Narrow" w:hAnsi="Arial Narrow" w:cs="Arial Narrow"/>
    </w:rPr>
  </w:style>
  <w:style w:type="paragraph" w:styleId="Nadpis1">
    <w:name w:val="heading 1"/>
    <w:basedOn w:val="Normln"/>
    <w:uiPriority w:val="1"/>
    <w:qFormat/>
    <w:pPr>
      <w:ind w:left="2899" w:hanging="708"/>
      <w:outlineLvl w:val="0"/>
    </w:pPr>
    <w:rPr>
      <w:rFonts w:ascii="Arial" w:eastAsia="Arial" w:hAnsi="Arial" w:cs="Arial"/>
      <w:b/>
      <w:bCs/>
      <w:sz w:val="32"/>
      <w:szCs w:val="32"/>
    </w:rPr>
  </w:style>
  <w:style w:type="paragraph" w:styleId="Nadpis2">
    <w:name w:val="heading 2"/>
    <w:basedOn w:val="Normln"/>
    <w:uiPriority w:val="1"/>
    <w:qFormat/>
    <w:pPr>
      <w:ind w:left="1019"/>
      <w:outlineLvl w:val="1"/>
    </w:pPr>
    <w:rPr>
      <w:rFonts w:ascii="Arial" w:eastAsia="Arial" w:hAnsi="Arial" w:cs="Arial"/>
      <w:b/>
      <w:bCs/>
    </w:rPr>
  </w:style>
  <w:style w:type="paragraph" w:styleId="Nadpis3">
    <w:name w:val="heading 3"/>
    <w:basedOn w:val="Normln"/>
    <w:uiPriority w:val="1"/>
    <w:qFormat/>
    <w:pPr>
      <w:ind w:left="1279" w:hanging="567"/>
      <w:outlineLvl w:val="2"/>
    </w:pPr>
    <w:rPr>
      <w:rFonts w:ascii="Times New Roman" w:eastAsia="Times New Roman" w:hAnsi="Times New Roman" w:cs="Times New Roman"/>
    </w:rPr>
  </w:style>
  <w:style w:type="paragraph" w:styleId="Nadpis4">
    <w:name w:val="heading 4"/>
    <w:basedOn w:val="Normln"/>
    <w:uiPriority w:val="1"/>
    <w:qFormat/>
    <w:pPr>
      <w:spacing w:before="39" w:line="230" w:lineRule="exact"/>
      <w:ind w:left="542" w:hanging="396"/>
      <w:outlineLvl w:val="3"/>
    </w:pPr>
    <w:rPr>
      <w:rFonts w:ascii="Arial" w:eastAsia="Arial" w:hAnsi="Arial" w:cs="Arial"/>
      <w:b/>
      <w:bCs/>
      <w:sz w:val="20"/>
      <w:szCs w:val="20"/>
    </w:rPr>
  </w:style>
  <w:style w:type="paragraph" w:styleId="Nadpis5">
    <w:name w:val="heading 5"/>
    <w:basedOn w:val="Normln"/>
    <w:uiPriority w:val="1"/>
    <w:qFormat/>
    <w:pPr>
      <w:spacing w:line="179" w:lineRule="exact"/>
      <w:ind w:left="542" w:hanging="396"/>
      <w:outlineLvl w:val="4"/>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42"/>
      <w:jc w:val="both"/>
    </w:pPr>
    <w:rPr>
      <w:sz w:val="16"/>
      <w:szCs w:val="16"/>
    </w:rPr>
  </w:style>
  <w:style w:type="paragraph" w:styleId="Odstavecseseznamem">
    <w:name w:val="List Paragraph"/>
    <w:basedOn w:val="Normln"/>
    <w:uiPriority w:val="1"/>
    <w:qFormat/>
    <w:pPr>
      <w:ind w:left="542" w:hanging="396"/>
      <w:jc w:val="both"/>
    </w:pPr>
  </w:style>
  <w:style w:type="paragraph" w:customStyle="1" w:styleId="TableParagraph">
    <w:name w:val="Table Paragraph"/>
    <w:basedOn w:val="Normln"/>
    <w:uiPriority w:val="1"/>
    <w:qFormat/>
    <w:pPr>
      <w:spacing w:line="234" w:lineRule="exact"/>
      <w:ind w:left="107"/>
    </w:pPr>
    <w:rPr>
      <w:rFonts w:ascii="Arial" w:eastAsia="Arial" w:hAnsi="Arial" w:cs="Arial"/>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Arial Narrow" w:hAnsi="Tahoma" w:cs="Tahoma"/>
      <w:sz w:val="16"/>
      <w:szCs w:val="16"/>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Arial Narrow" w:eastAsia="Arial Narrow" w:hAnsi="Arial Narrow" w:cs="Arial Narrow"/>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Narrow" w:eastAsia="Arial Narrow" w:hAnsi="Arial Narrow" w:cs="Arial Narr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Narrow" w:eastAsia="Arial Narrow" w:hAnsi="Arial Narrow" w:cs="Arial Narrow"/>
    </w:rPr>
  </w:style>
  <w:style w:type="paragraph" w:styleId="Nadpis1">
    <w:name w:val="heading 1"/>
    <w:basedOn w:val="Normln"/>
    <w:uiPriority w:val="1"/>
    <w:qFormat/>
    <w:pPr>
      <w:ind w:left="2899" w:hanging="708"/>
      <w:outlineLvl w:val="0"/>
    </w:pPr>
    <w:rPr>
      <w:rFonts w:ascii="Arial" w:eastAsia="Arial" w:hAnsi="Arial" w:cs="Arial"/>
      <w:b/>
      <w:bCs/>
      <w:sz w:val="32"/>
      <w:szCs w:val="32"/>
    </w:rPr>
  </w:style>
  <w:style w:type="paragraph" w:styleId="Nadpis2">
    <w:name w:val="heading 2"/>
    <w:basedOn w:val="Normln"/>
    <w:uiPriority w:val="1"/>
    <w:qFormat/>
    <w:pPr>
      <w:ind w:left="1019"/>
      <w:outlineLvl w:val="1"/>
    </w:pPr>
    <w:rPr>
      <w:rFonts w:ascii="Arial" w:eastAsia="Arial" w:hAnsi="Arial" w:cs="Arial"/>
      <w:b/>
      <w:bCs/>
    </w:rPr>
  </w:style>
  <w:style w:type="paragraph" w:styleId="Nadpis3">
    <w:name w:val="heading 3"/>
    <w:basedOn w:val="Normln"/>
    <w:uiPriority w:val="1"/>
    <w:qFormat/>
    <w:pPr>
      <w:ind w:left="1279" w:hanging="567"/>
      <w:outlineLvl w:val="2"/>
    </w:pPr>
    <w:rPr>
      <w:rFonts w:ascii="Times New Roman" w:eastAsia="Times New Roman" w:hAnsi="Times New Roman" w:cs="Times New Roman"/>
    </w:rPr>
  </w:style>
  <w:style w:type="paragraph" w:styleId="Nadpis4">
    <w:name w:val="heading 4"/>
    <w:basedOn w:val="Normln"/>
    <w:uiPriority w:val="1"/>
    <w:qFormat/>
    <w:pPr>
      <w:spacing w:before="39" w:line="230" w:lineRule="exact"/>
      <w:ind w:left="542" w:hanging="396"/>
      <w:outlineLvl w:val="3"/>
    </w:pPr>
    <w:rPr>
      <w:rFonts w:ascii="Arial" w:eastAsia="Arial" w:hAnsi="Arial" w:cs="Arial"/>
      <w:b/>
      <w:bCs/>
      <w:sz w:val="20"/>
      <w:szCs w:val="20"/>
    </w:rPr>
  </w:style>
  <w:style w:type="paragraph" w:styleId="Nadpis5">
    <w:name w:val="heading 5"/>
    <w:basedOn w:val="Normln"/>
    <w:uiPriority w:val="1"/>
    <w:qFormat/>
    <w:pPr>
      <w:spacing w:line="179" w:lineRule="exact"/>
      <w:ind w:left="542" w:hanging="396"/>
      <w:outlineLvl w:val="4"/>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542"/>
      <w:jc w:val="both"/>
    </w:pPr>
    <w:rPr>
      <w:sz w:val="16"/>
      <w:szCs w:val="16"/>
    </w:rPr>
  </w:style>
  <w:style w:type="paragraph" w:styleId="Odstavecseseznamem">
    <w:name w:val="List Paragraph"/>
    <w:basedOn w:val="Normln"/>
    <w:uiPriority w:val="1"/>
    <w:qFormat/>
    <w:pPr>
      <w:ind w:left="542" w:hanging="396"/>
      <w:jc w:val="both"/>
    </w:pPr>
  </w:style>
  <w:style w:type="paragraph" w:customStyle="1" w:styleId="TableParagraph">
    <w:name w:val="Table Paragraph"/>
    <w:basedOn w:val="Normln"/>
    <w:uiPriority w:val="1"/>
    <w:qFormat/>
    <w:pPr>
      <w:spacing w:line="234" w:lineRule="exact"/>
      <w:ind w:left="107"/>
    </w:pPr>
    <w:rPr>
      <w:rFonts w:ascii="Arial" w:eastAsia="Arial" w:hAnsi="Arial" w:cs="Arial"/>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Arial Narrow" w:hAnsi="Tahoma" w:cs="Tahoma"/>
      <w:sz w:val="16"/>
      <w:szCs w:val="16"/>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Arial Narrow" w:eastAsia="Arial Narrow" w:hAnsi="Arial Narrow" w:cs="Arial Narrow"/>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Arial Narrow" w:eastAsia="Arial Narrow" w:hAnsi="Arial Narrow" w:cs="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vit.sevcik@autocont.cz" TargetMode="External"/><Relationship Id="rId26" Type="http://schemas.openxmlformats.org/officeDocument/2006/relationships/image" Target="media/image3.png"/><Relationship Id="rId3" Type="http://schemas.microsoft.com/office/2007/relationships/stylesWithEffects" Target="stylesWithEffects.xml"/><Relationship Id="rId21" Type="http://schemas.openxmlformats.org/officeDocument/2006/relationships/hyperlink" Target="http://www.sfdi.cz/"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helena.sebkova@sfdi.cz" TargetMode="Externa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podatelna@sfdi.cz" TargetMode="External"/><Relationship Id="rId20" Type="http://schemas.openxmlformats.org/officeDocument/2006/relationships/hyperlink" Target="http://www.sfdi.cz/gdpr"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autocont.cz/ke-"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5.xml"/><Relationship Id="rId28" Type="http://schemas.openxmlformats.org/officeDocument/2006/relationships/hyperlink" Target="http://www.sfdi.cz/" TargetMode="External"/><Relationship Id="rId10" Type="http://schemas.openxmlformats.org/officeDocument/2006/relationships/header" Target="header2.xml"/><Relationship Id="rId19" Type="http://schemas.openxmlformats.org/officeDocument/2006/relationships/hyperlink" Target="mailto:info@sfdi.cz"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png"/><Relationship Id="rId27" Type="http://schemas.openxmlformats.org/officeDocument/2006/relationships/hyperlink" Target="mailto:info@sfdi.cz"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9266</Words>
  <Characters>54676</Characters>
  <Application>Microsoft Office Word</Application>
  <DocSecurity>0</DocSecurity>
  <Lines>455</Lines>
  <Paragraphs>127</Paragraphs>
  <ScaleCrop>false</ScaleCrop>
  <Company/>
  <LinksUpToDate>false</LinksUpToDate>
  <CharactersWithSpaces>63815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2020-02-28T10:53:00Z</dcterms:created>
  <dcterms:modified xsi:type="dcterms:W3CDTF">2020-02-28T10:53:00Z</dcterms:modified>
</cp:coreProperties>
</file>