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6168F6">
        <w:t>PRA-JZ-7/2020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6168F6" w:rsidRDefault="006168F6" w:rsidP="006168F6">
      <w:pPr>
        <w:tabs>
          <w:tab w:val="left" w:pos="2212"/>
        </w:tabs>
        <w:ind w:left="2211" w:hanging="2211"/>
        <w:rPr>
          <w:rFonts w:cs="Arial"/>
          <w:szCs w:val="20"/>
        </w:rPr>
      </w:pPr>
      <w:r w:rsidRPr="00A3020E">
        <w:rPr>
          <w:rFonts w:cs="Arial"/>
          <w:szCs w:val="20"/>
        </w:rPr>
        <w:t>zastupující osoba:</w:t>
      </w:r>
      <w:r w:rsidRPr="00A3020E">
        <w:rPr>
          <w:rFonts w:cs="Arial"/>
          <w:szCs w:val="20"/>
        </w:rPr>
        <w:tab/>
      </w:r>
      <w:r w:rsidRPr="00F059BA">
        <w:rPr>
          <w:rFonts w:cs="Arial"/>
          <w:szCs w:val="20"/>
        </w:rPr>
        <w:t xml:space="preserve">Ing. </w:t>
      </w:r>
      <w:r>
        <w:t>Bořivoj Novotný</w:t>
      </w:r>
      <w:r w:rsidRPr="00A3020E">
        <w:rPr>
          <w:rFonts w:cs="Arial"/>
          <w:szCs w:val="20"/>
        </w:rPr>
        <w:t xml:space="preserve">, </w:t>
      </w:r>
      <w:r>
        <w:rPr>
          <w:rFonts w:cs="Arial"/>
          <w:szCs w:val="20"/>
        </w:rPr>
        <w:t xml:space="preserve">ředitel Odboru zaměstnanosti a EU krajské pobočky </w:t>
      </w:r>
    </w:p>
    <w:p w:rsidR="006168F6" w:rsidRPr="00A3020E" w:rsidRDefault="006168F6" w:rsidP="006168F6">
      <w:pPr>
        <w:tabs>
          <w:tab w:val="left" w:pos="2212"/>
        </w:tabs>
        <w:ind w:left="2211" w:hanging="2211"/>
        <w:rPr>
          <w:rFonts w:cs="Arial"/>
          <w:szCs w:val="20"/>
        </w:rPr>
      </w:pPr>
      <w:r>
        <w:rPr>
          <w:rFonts w:cs="Arial"/>
          <w:szCs w:val="20"/>
        </w:rPr>
        <w:t xml:space="preserve">                                        v Olomouci</w:t>
      </w:r>
    </w:p>
    <w:p w:rsidR="006168F6" w:rsidRPr="00A3020E" w:rsidRDefault="006168F6" w:rsidP="006168F6">
      <w:pPr>
        <w:tabs>
          <w:tab w:val="left" w:pos="2212"/>
        </w:tabs>
        <w:ind w:left="2211" w:hanging="2211"/>
        <w:rPr>
          <w:rFonts w:cs="Arial"/>
          <w:szCs w:val="20"/>
        </w:rPr>
      </w:pPr>
      <w:r w:rsidRPr="00A3020E">
        <w:rPr>
          <w:rFonts w:cs="Arial"/>
          <w:szCs w:val="20"/>
        </w:rPr>
        <w:t>sídlo:</w:t>
      </w:r>
      <w:r w:rsidRPr="00A3020E">
        <w:rPr>
          <w:rFonts w:cs="Arial"/>
          <w:szCs w:val="20"/>
        </w:rPr>
        <w:tab/>
      </w:r>
      <w:r w:rsidRPr="0002297C">
        <w:rPr>
          <w:rFonts w:cs="Arial"/>
          <w:szCs w:val="20"/>
        </w:rPr>
        <w:t>Dobrovského 1278</w:t>
      </w:r>
      <w:r>
        <w:t>/25, 170 00 Praha 7</w:t>
      </w:r>
    </w:p>
    <w:p w:rsidR="006168F6" w:rsidRDefault="006168F6" w:rsidP="006168F6">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02297C">
        <w:rPr>
          <w:rFonts w:cs="Arial"/>
          <w:szCs w:val="20"/>
        </w:rPr>
        <w:t>72496991</w:t>
      </w:r>
    </w:p>
    <w:p w:rsidR="006168F6" w:rsidRDefault="006168F6" w:rsidP="006168F6">
      <w:pPr>
        <w:tabs>
          <w:tab w:val="left" w:pos="2212"/>
        </w:tabs>
        <w:ind w:left="2211" w:hanging="2211"/>
      </w:pPr>
      <w:r>
        <w:rPr>
          <w:rFonts w:cs="Arial"/>
          <w:szCs w:val="20"/>
        </w:rPr>
        <w:t>adresa pro doručování:</w:t>
      </w:r>
      <w:r w:rsidRPr="00A3020E">
        <w:rPr>
          <w:rFonts w:cs="Arial"/>
          <w:szCs w:val="20"/>
        </w:rPr>
        <w:tab/>
      </w:r>
      <w:r w:rsidRPr="0002297C">
        <w:rPr>
          <w:rFonts w:cs="Arial"/>
          <w:szCs w:val="20"/>
        </w:rPr>
        <w:t>Úřad práce</w:t>
      </w:r>
      <w:r>
        <w:t xml:space="preserve"> ČR – Krajská pobočka v  Olomouci, </w:t>
      </w:r>
      <w:proofErr w:type="spellStart"/>
      <w:r>
        <w:t>Vejdovského</w:t>
      </w:r>
      <w:proofErr w:type="spellEnd"/>
      <w:r>
        <w:t xml:space="preserve"> </w:t>
      </w:r>
      <w:proofErr w:type="gramStart"/>
      <w:r>
        <w:t>č.p.</w:t>
      </w:r>
      <w:proofErr w:type="gramEnd"/>
      <w:r>
        <w:t xml:space="preserve"> 988/4, </w:t>
      </w:r>
    </w:p>
    <w:p w:rsidR="006168F6" w:rsidRDefault="006168F6" w:rsidP="006168F6">
      <w:pPr>
        <w:tabs>
          <w:tab w:val="left" w:pos="2212"/>
        </w:tabs>
        <w:ind w:left="2211" w:hanging="2211"/>
        <w:rPr>
          <w:rFonts w:cs="Arial"/>
          <w:szCs w:val="20"/>
        </w:rPr>
      </w:pPr>
      <w:r>
        <w:t xml:space="preserve">                                    </w:t>
      </w:r>
      <w:r w:rsidR="003B5F4F">
        <w:t xml:space="preserve">    </w:t>
      </w:r>
      <w:r>
        <w:t>779 00 Olomouc 9</w:t>
      </w:r>
    </w:p>
    <w:p w:rsidR="00C61047" w:rsidRDefault="006168F6" w:rsidP="006168F6">
      <w:pPr>
        <w:tabs>
          <w:tab w:val="left" w:pos="2520"/>
        </w:tabs>
        <w:spacing w:before="60"/>
        <w:rPr>
          <w:rFonts w:cs="Arial"/>
          <w:szCs w:val="20"/>
        </w:rPr>
      </w:pPr>
      <w:r w:rsidRPr="00A3020E">
        <w:rPr>
          <w:rFonts w:cs="Arial"/>
          <w:szCs w:val="20"/>
        </w:rPr>
        <w:t xml:space="preserve"> </w:t>
      </w:r>
      <w:r w:rsidR="00C61047" w:rsidRPr="00A3020E">
        <w:rPr>
          <w:rFonts w:cs="Arial"/>
          <w:szCs w:val="20"/>
        </w:rPr>
        <w:t xml:space="preserve">(dále jen </w:t>
      </w:r>
      <w:r w:rsidR="00952569">
        <w:rPr>
          <w:rFonts w:cs="Arial"/>
          <w:szCs w:val="20"/>
        </w:rPr>
        <w:t>„Ú</w:t>
      </w:r>
      <w:r w:rsidR="00C61047" w:rsidRPr="00A3020E">
        <w:rPr>
          <w:rFonts w:cs="Arial"/>
          <w:szCs w:val="20"/>
        </w:rPr>
        <w:t>řad práce</w:t>
      </w:r>
      <w:r w:rsidR="00952569">
        <w:rPr>
          <w:rFonts w:cs="Arial"/>
          <w:szCs w:val="20"/>
        </w:rPr>
        <w:t>“</w:t>
      </w:r>
      <w:r w:rsidR="00C61047"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6168F6"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6168F6" w:rsidRPr="006168F6">
        <w:rPr>
          <w:rFonts w:cs="Arial"/>
          <w:szCs w:val="20"/>
        </w:rPr>
        <w:t>Prima mateřská</w:t>
      </w:r>
      <w:r w:rsidR="006168F6">
        <w:t xml:space="preserve"> škola, s.r.o.</w:t>
      </w:r>
      <w:r w:rsidR="006168F6" w:rsidRPr="006168F6">
        <w:rPr>
          <w:rFonts w:cs="Arial"/>
          <w:vanish/>
          <w:szCs w:val="20"/>
        </w:rPr>
        <w:t>0</w:t>
      </w:r>
    </w:p>
    <w:p w:rsidR="00246AE5" w:rsidRPr="00A3020E" w:rsidRDefault="006168F6"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6168F6">
        <w:rPr>
          <w:rFonts w:cs="Arial"/>
          <w:noProof/>
          <w:szCs w:val="20"/>
        </w:rPr>
        <w:t xml:space="preserve">Mgr. </w:t>
      </w:r>
      <w:r>
        <w:rPr>
          <w:noProof/>
        </w:rPr>
        <w:t>Edita Bílá</w:t>
      </w:r>
    </w:p>
    <w:p w:rsidR="00246AE5" w:rsidRPr="00A3020E" w:rsidRDefault="006168F6"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6168F6">
        <w:rPr>
          <w:rFonts w:cs="Arial"/>
          <w:szCs w:val="20"/>
        </w:rPr>
        <w:t xml:space="preserve">Teplická </w:t>
      </w:r>
      <w:proofErr w:type="gramStart"/>
      <w:r w:rsidRPr="006168F6">
        <w:rPr>
          <w:rFonts w:cs="Arial"/>
          <w:szCs w:val="20"/>
        </w:rPr>
        <w:t>č</w:t>
      </w:r>
      <w:r>
        <w:t>.p.</w:t>
      </w:r>
      <w:proofErr w:type="gramEnd"/>
      <w:r>
        <w:t xml:space="preserve"> 2219, Hranice I-Město, 753 01 Hranice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6168F6" w:rsidRPr="006168F6">
        <w:rPr>
          <w:rFonts w:cs="Arial"/>
          <w:szCs w:val="20"/>
        </w:rPr>
        <w:t>25367323</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3B5F4F" w:rsidRDefault="003B5F4F" w:rsidP="00912E3A">
      <w:pPr>
        <w:pStyle w:val="lnek"/>
      </w:pP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6168F6">
        <w:t>CZ.03.1.48/0.0/0.0/15_010/0000031</w:t>
      </w:r>
      <w:r>
        <w:rPr>
          <w:i/>
          <w:iCs/>
        </w:rPr>
        <w:t xml:space="preserve"> - </w:t>
      </w:r>
      <w:r w:rsidR="006168F6">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3B5F4F" w:rsidRDefault="003B5F4F" w:rsidP="00912E3A">
      <w:pPr>
        <w:pStyle w:val="lnek"/>
      </w:pP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AC3DFD">
        <w:rPr>
          <w:noProof/>
        </w:rPr>
        <w:t>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AC3DFD">
        <w:t>xxxxxxx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lastRenderedPageBreak/>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6168F6">
        <w:rPr>
          <w:noProof/>
        </w:rPr>
        <w:t>chůva</w:t>
      </w:r>
      <w:r w:rsidRPr="003F2F6D">
        <w:tab/>
      </w:r>
    </w:p>
    <w:p w:rsidR="006168F6" w:rsidRDefault="006168F6" w:rsidP="0049132E">
      <w:pPr>
        <w:pStyle w:val="Daltextbodudohody"/>
        <w:tabs>
          <w:tab w:val="clear" w:pos="2520"/>
        </w:tabs>
        <w:ind w:left="3119" w:hanging="2263"/>
      </w:pPr>
    </w:p>
    <w:p w:rsidR="006168F6" w:rsidRDefault="006168F6" w:rsidP="0049132E">
      <w:pPr>
        <w:pStyle w:val="Daltextbodudohody"/>
        <w:tabs>
          <w:tab w:val="clear" w:pos="2520"/>
        </w:tabs>
        <w:ind w:left="3119" w:hanging="2263"/>
      </w:pPr>
    </w:p>
    <w:p w:rsidR="006168F6" w:rsidRDefault="0049132E" w:rsidP="0049132E">
      <w:pPr>
        <w:pStyle w:val="Daltextbodudohody"/>
        <w:tabs>
          <w:tab w:val="clear" w:pos="2520"/>
        </w:tabs>
        <w:ind w:left="3119" w:hanging="2263"/>
      </w:pPr>
      <w:r>
        <w:t>M</w:t>
      </w:r>
      <w:r w:rsidRPr="003F2F6D">
        <w:t>ísto výkonu práce:</w:t>
      </w:r>
      <w:r w:rsidRPr="003F2F6D">
        <w:tab/>
      </w:r>
      <w:r w:rsidR="006168F6">
        <w:t xml:space="preserve">Prima mateřská škola, s.r.o., Teplická </w:t>
      </w:r>
      <w:proofErr w:type="gramStart"/>
      <w:r w:rsidR="006168F6">
        <w:t>č.p.</w:t>
      </w:r>
      <w:proofErr w:type="gramEnd"/>
      <w:r w:rsidR="006168F6">
        <w:t xml:space="preserve"> 2219, Hranice I-Město, </w:t>
      </w:r>
    </w:p>
    <w:p w:rsidR="0049132E" w:rsidRDefault="006168F6" w:rsidP="0049132E">
      <w:pPr>
        <w:pStyle w:val="Daltextbodudohody"/>
        <w:tabs>
          <w:tab w:val="clear" w:pos="2520"/>
        </w:tabs>
        <w:ind w:left="3119" w:hanging="2263"/>
      </w:pPr>
      <w:r>
        <w:t>753 01 Hranice 1</w:t>
      </w:r>
    </w:p>
    <w:p w:rsidR="0049132E" w:rsidRDefault="0049132E" w:rsidP="0049132E">
      <w:pPr>
        <w:pStyle w:val="Daltextbodudohody"/>
        <w:tabs>
          <w:tab w:val="clear" w:pos="2520"/>
        </w:tabs>
        <w:ind w:left="3119" w:hanging="2263"/>
      </w:pPr>
      <w:r>
        <w:t>Den nástupu do práce:</w:t>
      </w:r>
      <w:r>
        <w:tab/>
      </w:r>
      <w:proofErr w:type="gramStart"/>
      <w:r w:rsidR="006168F6">
        <w:t>1.3.2020</w:t>
      </w:r>
      <w:proofErr w:type="gramEnd"/>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6168F6">
        <w:rPr>
          <w:noProof/>
        </w:rPr>
        <w:t>určitou do 28.2.2021</w:t>
      </w:r>
      <w:r>
        <w:t xml:space="preserve">, s týdenní pracovní dobou </w:t>
      </w:r>
      <w:r w:rsidR="006168F6">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6168F6">
        <w:rPr>
          <w:noProof/>
        </w:rPr>
        <w:t>28.2.2021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3B5F4F" w:rsidRDefault="003B5F4F" w:rsidP="00912E3A">
      <w:pPr>
        <w:pStyle w:val="lnek"/>
      </w:pP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6168F6" w:rsidRDefault="00602BE8" w:rsidP="006168F6">
      <w:pPr>
        <w:pStyle w:val="Boddohody"/>
        <w:numPr>
          <w:ilvl w:val="0"/>
          <w:numId w:val="3"/>
        </w:numPr>
      </w:pPr>
      <w:r w:rsidRPr="0077749F">
        <w:t xml:space="preserve">Úřad práce se zavazuje poskytnout zaměstnavateli příspěvek </w:t>
      </w:r>
      <w:r w:rsidR="00ED0253" w:rsidRPr="00346699">
        <w:t>ve výši</w:t>
      </w:r>
      <w:r w:rsidR="00ED0253">
        <w:t xml:space="preserve"> </w:t>
      </w:r>
      <w:r w:rsidR="006168F6">
        <w:rPr>
          <w:noProof/>
        </w:rPr>
        <w:t>90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6168F6">
        <w:rPr>
          <w:noProof/>
        </w:rPr>
        <w:t>18 000</w:t>
      </w:r>
      <w:r w:rsidR="00123707" w:rsidRPr="0058691B">
        <w:t> </w:t>
      </w:r>
      <w:r w:rsidR="00026A7E">
        <w:t>Kč měsíčně</w:t>
      </w:r>
      <w:r w:rsidR="006168F6">
        <w:t>.</w:t>
      </w:r>
      <w:r w:rsidR="006168F6" w:rsidRPr="006168F6">
        <w:t xml:space="preserve"> </w:t>
      </w:r>
      <w:r w:rsidR="006168F6">
        <w:t xml:space="preserve">Součet poskytnutých měsíčních příspěvků nepřekročí částku 216 000 Kč, </w:t>
      </w:r>
      <w:r w:rsidR="006168F6" w:rsidRPr="00E41C95">
        <w:t>z toho 85</w:t>
      </w:r>
      <w:r w:rsidR="006168F6">
        <w:t> </w:t>
      </w:r>
      <w:r w:rsidR="006168F6" w:rsidRPr="00E41C95">
        <w:t>% je hrazeno z prostředků ESF a</w:t>
      </w:r>
      <w:r w:rsidR="006168F6">
        <w:t> </w:t>
      </w:r>
      <w:r w:rsidR="006168F6" w:rsidRPr="00E41C95">
        <w:t>15</w:t>
      </w:r>
      <w:r w:rsidR="006168F6">
        <w:t> </w:t>
      </w:r>
      <w:r w:rsidR="006168F6" w:rsidRPr="00E41C95">
        <w:t>% je hrazeno</w:t>
      </w:r>
      <w:r w:rsidR="006168F6">
        <w:t xml:space="preserve"> ze státního rozpočtu ČR. </w:t>
      </w:r>
    </w:p>
    <w:p w:rsidR="00123707" w:rsidRDefault="00123707" w:rsidP="006F1DFA">
      <w:pPr>
        <w:pStyle w:val="Boddohody"/>
        <w:numPr>
          <w:ilvl w:val="0"/>
          <w:numId w:val="4"/>
        </w:numPr>
      </w:pPr>
      <w:r>
        <w:t xml:space="preserve">Příspěvek </w:t>
      </w:r>
      <w:r w:rsidRPr="0058691B">
        <w:t xml:space="preserve">bude poskytován </w:t>
      </w:r>
      <w:r w:rsidR="00781CAC">
        <w:t xml:space="preserve">na dobu </w:t>
      </w:r>
      <w:r w:rsidRPr="0058691B">
        <w:t>od </w:t>
      </w:r>
      <w:r w:rsidR="006168F6">
        <w:rPr>
          <w:noProof/>
        </w:rPr>
        <w:t>1.3.2020</w:t>
      </w:r>
      <w:r w:rsidR="00781CAC">
        <w:t xml:space="preserve"> do</w:t>
      </w:r>
      <w:r w:rsidRPr="0058691B">
        <w:t> </w:t>
      </w:r>
      <w:r w:rsidR="006168F6">
        <w:rPr>
          <w:noProof/>
        </w:rPr>
        <w:t>28.2.2021</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6168F6">
        <w:t>1.3.2020</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AC3DFD">
        <w:t>xxxxxxxxxxxxxx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3B5F4F" w:rsidRDefault="003B5F4F" w:rsidP="00EF4DBD">
      <w:pPr>
        <w:pStyle w:val="lnek"/>
      </w:pP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3B5F4F" w:rsidRDefault="003B5F4F" w:rsidP="00EF4DBD">
      <w:pPr>
        <w:pStyle w:val="lnek"/>
      </w:pP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3B5F4F" w:rsidRDefault="003B5F4F" w:rsidP="00EF4DBD">
      <w:pPr>
        <w:pStyle w:val="lnek"/>
      </w:pP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B5F4F" w:rsidRDefault="003B5F4F" w:rsidP="00EF4DBD">
      <w:pPr>
        <w:pStyle w:val="lnek"/>
      </w:pP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lastRenderedPageBreak/>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3B5F4F" w:rsidRDefault="003B5F4F" w:rsidP="00EF4DBD">
      <w:pPr>
        <w:pStyle w:val="lnek"/>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lastRenderedPageBreak/>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168F6" w:rsidP="0007184F">
      <w:pPr>
        <w:keepNext/>
        <w:keepLines/>
        <w:tabs>
          <w:tab w:val="left" w:pos="2520"/>
        </w:tabs>
        <w:rPr>
          <w:rFonts w:cs="Arial"/>
          <w:szCs w:val="20"/>
        </w:rPr>
      </w:pPr>
      <w:r>
        <w:rPr>
          <w:noProof/>
        </w:rPr>
        <w:t>V Přerově</w:t>
      </w:r>
      <w:r w:rsidR="000378AA" w:rsidRPr="003F2F6D">
        <w:rPr>
          <w:rFonts w:cs="Arial"/>
          <w:szCs w:val="20"/>
        </w:rPr>
        <w:t xml:space="preserve"> dne </w:t>
      </w:r>
      <w:r w:rsidR="00AC3DFD">
        <w:rPr>
          <w:rFonts w:cs="Arial"/>
          <w:szCs w:val="20"/>
        </w:rPr>
        <w:t>28. 2. 2020</w:t>
      </w: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AC3DFD" w:rsidRDefault="00AC3DFD">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6168F6">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Default="006168F6" w:rsidP="00EF1F67">
      <w:pPr>
        <w:keepNext/>
        <w:keepLines/>
        <w:jc w:val="center"/>
      </w:pPr>
      <w:r w:rsidRPr="006168F6">
        <w:rPr>
          <w:rFonts w:cs="Arial"/>
          <w:szCs w:val="20"/>
        </w:rPr>
        <w:t xml:space="preserve">Mgr. </w:t>
      </w:r>
      <w:r>
        <w:t>Edita Bílá</w:t>
      </w:r>
    </w:p>
    <w:p w:rsidR="003772A4" w:rsidRPr="00F2642D" w:rsidRDefault="003772A4" w:rsidP="00EF1F67">
      <w:pPr>
        <w:keepNext/>
        <w:keepLines/>
        <w:jc w:val="center"/>
        <w:rPr>
          <w:rFonts w:cs="Arial"/>
          <w:szCs w:val="20"/>
        </w:rPr>
      </w:pPr>
      <w:r>
        <w:t>jednatelka</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6168F6" w:rsidRDefault="006168F6" w:rsidP="006168F6">
      <w:pPr>
        <w:keepNext/>
        <w:keepLines/>
        <w:jc w:val="center"/>
        <w:rPr>
          <w:rFonts w:cs="Arial"/>
          <w:szCs w:val="20"/>
        </w:rPr>
      </w:pPr>
      <w:r w:rsidRPr="00F059BA">
        <w:rPr>
          <w:rFonts w:cs="Arial"/>
          <w:szCs w:val="20"/>
        </w:rPr>
        <w:t xml:space="preserve">Ing. </w:t>
      </w:r>
      <w:r>
        <w:t>Bořivoj Novotný</w:t>
      </w:r>
    </w:p>
    <w:p w:rsidR="006168F6" w:rsidRDefault="006168F6" w:rsidP="006168F6">
      <w:pPr>
        <w:keepNext/>
        <w:keepLines/>
        <w:jc w:val="center"/>
        <w:rPr>
          <w:rFonts w:cs="Arial"/>
          <w:szCs w:val="20"/>
        </w:rPr>
      </w:pPr>
      <w:r>
        <w:rPr>
          <w:rFonts w:cs="Arial"/>
          <w:szCs w:val="20"/>
        </w:rPr>
        <w:t>ř</w:t>
      </w:r>
      <w:r w:rsidRPr="00F059BA">
        <w:rPr>
          <w:rFonts w:cs="Arial"/>
          <w:szCs w:val="20"/>
        </w:rPr>
        <w:t>edite</w:t>
      </w:r>
      <w:r>
        <w:rPr>
          <w:rFonts w:cs="Arial"/>
          <w:szCs w:val="20"/>
        </w:rPr>
        <w:t>l Odboru zaměstnanosti a EU 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6168F6">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roofErr w:type="spellStart"/>
      <w:r w:rsidR="00AC3DFD">
        <w:rPr>
          <w:rFonts w:cs="Arial"/>
          <w:szCs w:val="20"/>
        </w:rPr>
        <w:t>xxxxxxxxxx</w:t>
      </w:r>
      <w:proofErr w:type="spellEnd"/>
    </w:p>
    <w:p w:rsidR="0041570C" w:rsidRDefault="00DC610C" w:rsidP="0041570C">
      <w:pPr>
        <w:keepLines/>
        <w:tabs>
          <w:tab w:val="left" w:pos="2160"/>
        </w:tabs>
        <w:rPr>
          <w:rFonts w:cs="Arial"/>
          <w:szCs w:val="20"/>
        </w:rPr>
      </w:pPr>
      <w:r w:rsidRPr="003F2F6D">
        <w:rPr>
          <w:rFonts w:cs="Arial"/>
          <w:szCs w:val="20"/>
        </w:rPr>
        <w:t>Telefon:</w:t>
      </w:r>
      <w:r w:rsidR="003B5F4F">
        <w:rPr>
          <w:rFonts w:cs="Arial"/>
          <w:szCs w:val="20"/>
        </w:rPr>
        <w:t xml:space="preserve"> </w:t>
      </w:r>
      <w:proofErr w:type="spellStart"/>
      <w:r w:rsidR="00AC3DFD">
        <w:rPr>
          <w:rFonts w:cs="Arial"/>
          <w:szCs w:val="20"/>
        </w:rPr>
        <w:t>xxxxx</w:t>
      </w:r>
      <w:proofErr w:type="spellEnd"/>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bookmarkStart w:id="0" w:name="_GoBack"/>
      <w:bookmarkEnd w:id="0"/>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6168F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166" w:rsidRDefault="00F72166">
      <w:r>
        <w:separator/>
      </w:r>
    </w:p>
  </w:endnote>
  <w:endnote w:type="continuationSeparator" w:id="0">
    <w:p w:rsidR="00F72166" w:rsidRDefault="00F7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EF1F67">
    <w:pPr>
      <w:pStyle w:val="Zpat"/>
    </w:pPr>
    <w:r>
      <w:tab/>
      <w:t xml:space="preserve">- </w:t>
    </w:r>
    <w:r>
      <w:fldChar w:fldCharType="begin"/>
    </w:r>
    <w:r>
      <w:instrText xml:space="preserve"> PAGE </w:instrText>
    </w:r>
    <w:r>
      <w:fldChar w:fldCharType="separate"/>
    </w:r>
    <w:r w:rsidR="00AC3DFD">
      <w:rPr>
        <w:noProof/>
      </w:rPr>
      <w:t>6</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AC3DFD">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166" w:rsidRDefault="00F72166">
      <w:r>
        <w:separator/>
      </w:r>
    </w:p>
  </w:footnote>
  <w:footnote w:type="continuationSeparator" w:id="0">
    <w:p w:rsidR="00F72166" w:rsidRDefault="00F7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7F1F38">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38"/>
    <w:rsid w:val="000014F3"/>
    <w:rsid w:val="000029D6"/>
    <w:rsid w:val="00004902"/>
    <w:rsid w:val="00005CF6"/>
    <w:rsid w:val="00016690"/>
    <w:rsid w:val="00016F6A"/>
    <w:rsid w:val="000200F5"/>
    <w:rsid w:val="00026239"/>
    <w:rsid w:val="00026A7E"/>
    <w:rsid w:val="00030132"/>
    <w:rsid w:val="00031B14"/>
    <w:rsid w:val="00031B45"/>
    <w:rsid w:val="00034871"/>
    <w:rsid w:val="00035487"/>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589D"/>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37E82"/>
    <w:rsid w:val="00243FB0"/>
    <w:rsid w:val="002458ED"/>
    <w:rsid w:val="00246AE5"/>
    <w:rsid w:val="00253B5D"/>
    <w:rsid w:val="00256EA4"/>
    <w:rsid w:val="00260AF8"/>
    <w:rsid w:val="00261C5A"/>
    <w:rsid w:val="00264D29"/>
    <w:rsid w:val="002667E2"/>
    <w:rsid w:val="00266E31"/>
    <w:rsid w:val="002675EF"/>
    <w:rsid w:val="00273A7D"/>
    <w:rsid w:val="002740B3"/>
    <w:rsid w:val="00274B15"/>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772A4"/>
    <w:rsid w:val="00380730"/>
    <w:rsid w:val="003850D3"/>
    <w:rsid w:val="00386784"/>
    <w:rsid w:val="003867B8"/>
    <w:rsid w:val="00394B7F"/>
    <w:rsid w:val="003952FF"/>
    <w:rsid w:val="003A6E67"/>
    <w:rsid w:val="003B1D7A"/>
    <w:rsid w:val="003B5D59"/>
    <w:rsid w:val="003B5F4F"/>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0A3F"/>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168F6"/>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1DFA"/>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1F38"/>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28DF"/>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3DFD"/>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87295"/>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166"/>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AE74E"/>
  <w15:chartTrackingRefBased/>
  <w15:docId w15:val="{FF06BBD4-3A97-4C39-B914-A207579E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E77F7-294B-40E9-B943-E85131D7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2203</Words>
  <Characters>13000</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Machačová Veronika (UPM-PRA)</cp:lastModifiedBy>
  <cp:revision>7</cp:revision>
  <cp:lastPrinted>2015-10-21T11:39:00Z</cp:lastPrinted>
  <dcterms:created xsi:type="dcterms:W3CDTF">2020-02-20T07:15:00Z</dcterms:created>
  <dcterms:modified xsi:type="dcterms:W3CDTF">2020-02-28T07:10:00Z</dcterms:modified>
</cp:coreProperties>
</file>