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CD" w:rsidRPr="002D06CA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Smlouva o </w:t>
      </w:r>
      <w:proofErr w:type="spellStart"/>
      <w:r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zajištěni</w:t>
      </w:r>
      <w:proofErr w:type="spellEnd"/>
      <w:r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</w:t>
      </w:r>
      <w:proofErr w:type="spellStart"/>
      <w:r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hudebni</w:t>
      </w:r>
      <w:proofErr w:type="spellEnd"/>
      <w:r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produkce č. </w:t>
      </w:r>
      <w:r w:rsidR="002D06CA"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05-02/2020</w:t>
      </w:r>
    </w:p>
    <w:p w:rsidR="004861CD" w:rsidRPr="002D06CA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2D06C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I. SMLUVNÍ STRANY</w:t>
      </w:r>
    </w:p>
    <w:p w:rsidR="005159F1" w:rsidRPr="005159F1" w:rsidRDefault="004861CD" w:rsidP="005159F1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1. </w:t>
      </w:r>
      <w:r w:rsidR="005159F1" w:rsidRPr="005159F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Groove </w:t>
      </w:r>
      <w:proofErr w:type="spellStart"/>
      <w:r w:rsidR="005159F1" w:rsidRPr="005159F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booking</w:t>
      </w:r>
      <w:proofErr w:type="spellEnd"/>
      <w:r w:rsidR="005159F1" w:rsidRPr="005159F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s.r.o.</w:t>
      </w:r>
    </w:p>
    <w:p w:rsidR="005159F1" w:rsidRPr="005159F1" w:rsidRDefault="005159F1" w:rsidP="005159F1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cs-CZ"/>
        </w:rPr>
        <w:t>Komenského 332</w:t>
      </w:r>
    </w:p>
    <w:p w:rsidR="005159F1" w:rsidRPr="005159F1" w:rsidRDefault="005159F1" w:rsidP="005159F1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cs-CZ"/>
        </w:rPr>
        <w:t>250 75 - Káraný</w:t>
      </w:r>
    </w:p>
    <w:p w:rsidR="00D67E7D" w:rsidRPr="005159F1" w:rsidRDefault="005159F1" w:rsidP="005159F1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cs-CZ"/>
        </w:rPr>
        <w:t>IČO: 040 25 610</w:t>
      </w:r>
      <w:r w:rsidR="003125EC" w:rsidRPr="005159F1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, </w:t>
      </w:r>
    </w:p>
    <w:p w:rsidR="006C0997" w:rsidRPr="00884BA0" w:rsidRDefault="004861CD" w:rsidP="00BD0456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zastoupená</w:t>
      </w:r>
      <w:r w:rsidR="00D67E7D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Mgr.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Tomášem Staňkem, jednatelem </w:t>
      </w:r>
    </w:p>
    <w:p w:rsidR="006C0997" w:rsidRPr="00884BA0" w:rsidRDefault="004861CD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„Agentura“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)</w:t>
      </w:r>
    </w:p>
    <w:p w:rsidR="006C0997" w:rsidRPr="00884BA0" w:rsidRDefault="006C0997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</w:p>
    <w:p w:rsidR="004861CD" w:rsidRPr="00884BA0" w:rsidRDefault="004861CD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 xml:space="preserve">a </w:t>
      </w:r>
    </w:p>
    <w:p w:rsidR="00BD0456" w:rsidRPr="00884BA0" w:rsidRDefault="00BD0456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</w:p>
    <w:p w:rsidR="004861CD" w:rsidRPr="005159F1" w:rsidRDefault="004861CD" w:rsidP="00BD0456">
      <w:pPr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2. </w:t>
      </w:r>
      <w:r w:rsidR="002D06CA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>VYSOKOMÝTSKÁ KULTURNÍ, o.p.s.</w:t>
      </w:r>
    </w:p>
    <w:p w:rsidR="004861CD" w:rsidRPr="005159F1" w:rsidRDefault="004861CD" w:rsidP="00E30D5A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se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sídlem</w:t>
      </w:r>
      <w:proofErr w:type="spellEnd"/>
      <w:r w:rsidR="0090428A" w:rsidRPr="005159F1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Litomyšlská 72, 566 01, VYSOKÉ MÝTO</w:t>
      </w:r>
    </w:p>
    <w:p w:rsidR="00BD0456" w:rsidRPr="005159F1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IČ: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28852150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DIČ: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CZ28852150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zastoupená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Ing. Dagmar </w:t>
      </w:r>
      <w:proofErr w:type="spellStart"/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Sabolčiková</w:t>
      </w:r>
      <w:proofErr w:type="spellEnd"/>
    </w:p>
    <w:p w:rsidR="004861CD" w:rsidRPr="00884BA0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uzavíraji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tuto smlouvu o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́ produkce</w:t>
      </w: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II. ÚVODNÍ USTANOVENÍ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prohlašuje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zastupuje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výkonného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umělce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Davida Kollera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jako „interpret“) a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tuto smlouvu.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uvedený interpret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stanovených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III. PŘEDMĚT SMLOUVY</w:t>
      </w:r>
    </w:p>
    <w:p w:rsidR="004861CD" w:rsidRPr="005159F1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Předmětem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smlouvy je vystoupení interpreta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uvedeného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II.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smlouvy v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akce: </w:t>
      </w:r>
      <w:r w:rsidR="00ED1CBD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DK </w:t>
      </w:r>
      <w:proofErr w:type="spellStart"/>
      <w:r w:rsidR="00ED1CBD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>Acoustic</w:t>
      </w:r>
      <w:proofErr w:type="spellEnd"/>
      <w:r w:rsidR="00ED1CBD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Tour 2020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jen “Koncert”): </w:t>
      </w:r>
    </w:p>
    <w:p w:rsidR="004861CD" w:rsidRPr="005159F1" w:rsidRDefault="004861CD" w:rsidP="006C0997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uskutečni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dne </w:t>
      </w:r>
      <w:r w:rsidR="003125EC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proofErr w:type="gram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čase</w:t>
      </w:r>
      <w:proofErr w:type="spellEnd"/>
      <w:proofErr w:type="gram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r w:rsidR="009C6709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cca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19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do cca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21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změny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čase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nutno konzultovat s Agenturou). </w:t>
      </w:r>
    </w:p>
    <w:p w:rsidR="004861CD" w:rsidRPr="005159F1" w:rsidRDefault="004861CD" w:rsidP="006C0997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Příjezd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místo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Koncertu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možnost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veškere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instalace bude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technikům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zvukařům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s aparaturou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umožněn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11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minimálne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však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60 minut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zvukovou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zkouškou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). </w:t>
      </w:r>
    </w:p>
    <w:p w:rsidR="004861CD" w:rsidRPr="005159F1" w:rsidRDefault="004861CD" w:rsidP="00ED1CBD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uskutečni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gram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proofErr w:type="gram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(adresa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koncertu): </w:t>
      </w:r>
      <w:r w:rsidR="00ED1CBD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>Šemberovo divadlo, Komenského 281, 566 01,  Vysoké Mýto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</w:p>
    <w:p w:rsidR="004861CD" w:rsidRPr="005159F1" w:rsidRDefault="004861CD" w:rsidP="00ED1CBD">
      <w:pPr>
        <w:numPr>
          <w:ilvl w:val="0"/>
          <w:numId w:val="1"/>
        </w:numPr>
        <w:ind w:left="714" w:hanging="357"/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Seznam skladeb pro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potřeby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OSA –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č. 1 </w:t>
      </w:r>
    </w:p>
    <w:p w:rsidR="00253FA5" w:rsidRPr="005159F1" w:rsidRDefault="00253FA5" w:rsidP="00253FA5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5159F1" w:rsidRDefault="004861CD" w:rsidP="00253FA5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IV. PRÁVA A POVINNOSTI AGENTURY</w:t>
      </w:r>
    </w:p>
    <w:p w:rsidR="00567A7A" w:rsidRPr="00884BA0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interpret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provede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vystoupení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umělecky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výkon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rozsahu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III.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:rsidR="00253FA5" w:rsidRPr="005159F1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Agentura ani interpret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neodpovída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povinen platit jakoukoli sankci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náhradu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zdrženi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neúčast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 na Koncertě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nemoci,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bráni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účasti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daného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interpreta na </w:t>
      </w:r>
      <w:proofErr w:type="gram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gram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úrazu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interpreta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jiné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události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charakter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vyšši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moci. </w:t>
      </w:r>
    </w:p>
    <w:p w:rsidR="004861CD" w:rsidRPr="00884BA0" w:rsidRDefault="00253FA5" w:rsidP="00486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Agentura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pověřila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výkonem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funkce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koordinátora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Koncertu Jiřího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Sloupenského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(e-mail: </w:t>
      </w:r>
      <w:r w:rsidR="00553D3E" w:rsidRPr="005159F1">
        <w:rPr>
          <w:rFonts w:ascii="Arial" w:eastAsia="Times New Roman" w:hAnsi="Arial" w:cs="Arial"/>
          <w:sz w:val="22"/>
          <w:szCs w:val="22"/>
          <w:lang w:eastAsia="cs-CZ"/>
        </w:rPr>
        <w:t>jirka.sloupensky@gmail.com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, tel: </w:t>
      </w:r>
      <w:r w:rsidR="00553D3E" w:rsidRPr="005159F1">
        <w:rPr>
          <w:rFonts w:ascii="Arial" w:eastAsia="Times New Roman" w:hAnsi="Arial" w:cs="Arial"/>
          <w:sz w:val="22"/>
          <w:szCs w:val="22"/>
          <w:lang w:eastAsia="cs-CZ"/>
        </w:rPr>
        <w:t>+420 602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53D3E" w:rsidRPr="005159F1">
        <w:rPr>
          <w:rFonts w:ascii="Arial" w:eastAsia="Times New Roman" w:hAnsi="Arial" w:cs="Arial"/>
          <w:sz w:val="22"/>
          <w:szCs w:val="22"/>
          <w:lang w:eastAsia="cs-CZ"/>
        </w:rPr>
        <w:t>48</w:t>
      </w:r>
      <w:r w:rsidR="00403BE7" w:rsidRPr="005159F1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03BE7"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510), který je </w:t>
      </w:r>
      <w:proofErr w:type="spellStart"/>
      <w:r w:rsidR="00403BE7" w:rsidRPr="005159F1">
        <w:rPr>
          <w:rFonts w:ascii="Arial" w:eastAsia="Times New Roman" w:hAnsi="Arial" w:cs="Arial"/>
          <w:sz w:val="22"/>
          <w:szCs w:val="22"/>
          <w:lang w:eastAsia="cs-CZ"/>
        </w:rPr>
        <w:t>oprávněn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konzultovat s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Pořadatelem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ktery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pověřil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Bc. Vojtěcha Sedláčka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(e-mail: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vojta.sedlacek@mklub.cz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, tel.:</w:t>
      </w:r>
      <w:r w:rsidR="007D570D"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30D5A" w:rsidRPr="005159F1">
        <w:rPr>
          <w:rFonts w:ascii="Arial" w:eastAsia="Times New Roman" w:hAnsi="Arial" w:cs="Arial"/>
          <w:sz w:val="22"/>
          <w:szCs w:val="22"/>
          <w:lang w:eastAsia="cs-CZ"/>
        </w:rPr>
        <w:t>+420 739 062 923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všechny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záležitosti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týkajíci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 Koncertu.</w:t>
      </w:r>
    </w:p>
    <w:p w:rsidR="00403BE7" w:rsidRPr="00884BA0" w:rsidRDefault="00403BE7" w:rsidP="00403BE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:rsidR="004861CD" w:rsidRPr="00884BA0" w:rsidRDefault="004861CD" w:rsidP="00403BE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V. PRÁVA A POVINNOSTI POŘADATELE A TECHNICKÉ A DALŠÍ ZABEZPEČENÍ</w:t>
      </w:r>
    </w:p>
    <w:p w:rsidR="004861CD" w:rsidRPr="005159F1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organizuje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 zcela na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je povinen si zajistit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veškera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potřebna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povolení, souhlasy a splnit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veškere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zákonne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tak, aby mohl Koncert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proběhnout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nebyly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předpisy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etích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osob. </w:t>
      </w:r>
    </w:p>
    <w:p w:rsidR="004861CD" w:rsidRPr="005159F1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plnou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dodrženi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hygienických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bezpečnostních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požárních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předpisu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̊ v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Koncertu. </w:t>
      </w:r>
    </w:p>
    <w:p w:rsidR="004861CD" w:rsidRPr="005159F1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umožni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interpretovi zvukovou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zkoušku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Koncertu, a to v den vystoupení </w:t>
      </w:r>
      <w:r w:rsidR="00516606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="00403BE7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516606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403BE7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v </w:t>
      </w:r>
      <w:proofErr w:type="spellStart"/>
      <w:proofErr w:type="gramStart"/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čase</w:t>
      </w:r>
      <w:proofErr w:type="spellEnd"/>
      <w:proofErr w:type="gramEnd"/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16</w:t>
      </w:r>
      <w:r w:rsidR="00403BE7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– 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18</w:t>
      </w:r>
      <w:r w:rsidR="00403BE7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D1CBD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hodin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minimálne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však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40 minut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vystoupením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8C663E" w:rsidRPr="005159F1">
        <w:rPr>
          <w:rFonts w:ascii="Arial" w:eastAsia="Times New Roman" w:hAnsi="Arial" w:cs="Arial"/>
          <w:b/>
          <w:sz w:val="22"/>
          <w:szCs w:val="22"/>
          <w:lang w:eastAsia="cs-CZ"/>
        </w:rPr>
        <w:t>Čas zvukové zkoušky nezahrnuje čas stavby nástrojové aparatury interpreta, osazení mikrofonů a ani stěhování nástrojové aparatury ostatních interpretů z jeviště.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je povinen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gram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na vlastni</w:t>
      </w:r>
      <w:proofErr w:type="gram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zajistit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dodržovat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požadovane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dalši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zabezpečeni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příloh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Bližši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specifikace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občerstveni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ubytováni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jsou v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Přílohách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č. 2 - 5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smlouvy.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zahrnujíci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provedení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uměleckého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výkonu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uhradit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stanovenou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povinen na vlastní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pojistnou smlouvu –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proti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a dojde-li ke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vyjma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stojících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interpreta, tak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zůstáva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nárok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vyplaceni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povinen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 vlastni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pokrývajíci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majetku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́)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interpretovi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osobám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souvislosti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konáním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a tyto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uhradit.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je povinna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 vlastni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pojistnou smlouvu –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nemožnost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realizace Koncertu z</w:t>
      </w:r>
      <w:r w:rsidR="00A64216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stojících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Agentury, tj.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nemoc,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úraz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nepředvídatelna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událost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způsobujíci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nemožnost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vystoupení interpreta a nedohodnou-li se strany jinak, je Agentura povinna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vrátit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peněžite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obdržela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ubytováni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:rsidR="00A64216" w:rsidRPr="00884BA0" w:rsidRDefault="004861CD" w:rsidP="00A642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ze strany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náleži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dohodnutá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nedohodnou-li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Stejne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tak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náleži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dojde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zkráceni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původne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plánovaného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Koncertu, nejde-li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zaviněni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interpreta. </w:t>
      </w:r>
    </w:p>
    <w:p w:rsidR="004861CD" w:rsidRPr="00884BA0" w:rsidRDefault="00A64216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si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vyhrazuje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nezajistit vystoupení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jeho vystoupení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ukončit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nárokem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úhradu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dojde-li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tj.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̌: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dodávky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elektrického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proudu,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podia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bezpečnosti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účinkujících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nezastřešeni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venkovni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akce),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světelne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aparatury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6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4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bariéry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pódiem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proniknutí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dešťove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vody do prostoru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Koncertu, nebo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dalších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situací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bezpečnost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život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ostatních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vystupujících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poškozujících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́.</w:t>
      </w:r>
    </w:p>
    <w:p w:rsidR="004C008D" w:rsidRPr="00884BA0" w:rsidRDefault="004C008D" w:rsidP="004C008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Pořadatel souhlasí s tím, že dodavateli poskytne zdarma možnost prodeje předmětů, jako jsou trička, suvenýry a podobně ve svém prodejním místě, pokud je zřízeno. Pokud prodejní místo není, pořadatel zajistí </w:t>
      </w:r>
      <w:r w:rsidRPr="00884BA0">
        <w:rPr>
          <w:rFonts w:ascii="Arial" w:eastAsia="Times New Roman" w:hAnsi="Arial" w:cs="Arial"/>
          <w:b/>
          <w:sz w:val="22"/>
          <w:szCs w:val="22"/>
          <w:lang w:eastAsia="cs-CZ"/>
        </w:rPr>
        <w:t>v bezprostřední blízkosti podia zastřešený prostor se stolem, osvětlením a přívodem elektřiny k dispozici (např. stánek) – musí k němu být přístup z publika.</w:t>
      </w:r>
    </w:p>
    <w:p w:rsidR="00A64216" w:rsidRPr="00884BA0" w:rsidRDefault="00A64216" w:rsidP="00A6421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:rsidR="004861CD" w:rsidRPr="00884BA0" w:rsidRDefault="004861CD" w:rsidP="00A6421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VI. ODMĚNA ZA </w:t>
      </w:r>
      <w:proofErr w:type="gram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PROVEDENI</w:t>
      </w:r>
      <w:proofErr w:type="gram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́ UMĚLECKÝCH VÝKONŮ</w:t>
      </w:r>
    </w:p>
    <w:p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se dohodly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>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7E08E1">
        <w:rPr>
          <w:rFonts w:ascii="Arial" w:eastAsia="Times New Roman" w:hAnsi="Arial" w:cs="Arial"/>
          <w:sz w:val="22"/>
          <w:szCs w:val="22"/>
          <w:lang w:eastAsia="cs-CZ"/>
        </w:rPr>
        <w:t>xxxxx</w:t>
      </w:r>
      <w:proofErr w:type="spellEnd"/>
      <w:r w:rsidR="00FC2E76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 vč. DPH</w:t>
      </w:r>
      <w:r w:rsidR="00E30D5A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zahrnujíci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provedení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uměleckých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výkonu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̊ v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Koncertu. Splatnost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nejpozději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 do </w:t>
      </w:r>
      <w:r w:rsidR="005159F1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</w:t>
      </w:r>
      <w:r w:rsidR="00CD636F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5159F1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</w:t>
      </w:r>
      <w:r w:rsidR="00CD636F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Pr="005159F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proofErr w:type="gram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základe</w:t>
      </w:r>
      <w:proofErr w:type="spellEnd"/>
      <w:proofErr w:type="gram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zálohove</w:t>
      </w:r>
      <w:proofErr w:type="spellEnd"/>
      <w:r w:rsidRPr="005159F1">
        <w:rPr>
          <w:rFonts w:ascii="Arial" w:eastAsia="Times New Roman" w:hAnsi="Arial" w:cs="Arial"/>
          <w:sz w:val="22"/>
          <w:szCs w:val="22"/>
          <w:lang w:eastAsia="cs-CZ"/>
        </w:rPr>
        <w:t xml:space="preserve">́ faktury </w:t>
      </w:r>
      <w:proofErr w:type="spellStart"/>
      <w:r w:rsidRPr="005159F1">
        <w:rPr>
          <w:rFonts w:ascii="Arial" w:eastAsia="Times New Roman" w:hAnsi="Arial" w:cs="Arial"/>
          <w:sz w:val="22"/>
          <w:szCs w:val="22"/>
          <w:lang w:eastAsia="cs-CZ"/>
        </w:rPr>
        <w:t>vysta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vene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Agenturou. Nebude-li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data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částky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specifikovane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V. odst. 5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uhrazena,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jednostranne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odstoupit.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prodlení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úhradou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úrok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prodlení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0,1%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dlužne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částky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DB2447" w:rsidRPr="00884BA0" w:rsidRDefault="00DB2447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DB244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VII. AUTORSKÁ PRÁVA A PRÁVA SOUVISEJÍCÍ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nevznika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podpisem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jakýchkoli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z Koncertu,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přenosu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TV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vysíláni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internet, atp.), a to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prostřednictvím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́-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uvedeno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tohoto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VII.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pokuta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="007E08E1">
        <w:rPr>
          <w:rFonts w:ascii="Arial" w:eastAsia="Times New Roman" w:hAnsi="Arial" w:cs="Arial"/>
          <w:sz w:val="22"/>
          <w:szCs w:val="22"/>
          <w:lang w:eastAsia="cs-CZ"/>
        </w:rPr>
        <w:t>xxxxx</w:t>
      </w:r>
      <w:bookmarkStart w:id="0" w:name="_GoBack"/>
      <w:bookmarkEnd w:id="0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,-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splatna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do 7 dnů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vyúčtováni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dotčeno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jednotlivých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interpretů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náhradu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Touto smlouvou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nezískáva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́-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stanoveno jinak,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žádna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jakákoli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svolení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podobizny,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snímku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projevů osobní povahy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kteréhokoli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interpretů, vyjma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jmen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umělcu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účelem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informace o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Koncerte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informováni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 Koncertě bude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projednán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odsouhlasen Agenturou.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nepovažuje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pořizováni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návštěvníky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mobilni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byť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vyvine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maximálni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úsili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(forma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upozorněni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atd.), aby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pořizovány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nebyly.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vlastní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požáda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 (OSA,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Intergram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jiné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organizace)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uděleni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svolení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uměleckých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děl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jež budou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prováděna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dle </w:t>
      </w:r>
      <w:proofErr w:type="spellStart"/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smlouvy, je-li to pro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realizaci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nutne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včas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uhradi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předepsane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autorske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honoráře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poplatky,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tyto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nárok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zaplacením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poplatku obci ve smyslu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místních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poplatcích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zaplacením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poplatků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vyplývajících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vyhlášek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předpisu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̊. </w:t>
      </w:r>
    </w:p>
    <w:p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Smlouvu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sponzory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činnost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může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pouze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základe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písemného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předběžného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souhlasu Agentury a po dohodnutí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propagace s Agenturou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umístěni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reklam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Agentura</w:t>
      </w:r>
      <w:proofErr w:type="gram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tento souhlas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uděli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pouze tehdy, nebudou-li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ze smluv s interpretem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výhradními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sponzory nebo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název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činnost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Smlouvy s provozovateli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rozhlasového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televizního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vysíláni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dalšími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mediálními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partnery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uzavírat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výhradne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Agentura. </w:t>
      </w:r>
    </w:p>
    <w:p w:rsidR="00DB2447" w:rsidRPr="00884BA0" w:rsidRDefault="00DB2447" w:rsidP="004861CD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:rsidR="004861CD" w:rsidRPr="00884BA0" w:rsidRDefault="004861CD" w:rsidP="00DB2447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VIII. ZÁVĚREČNÁ USTANOVENÍ</w:t>
      </w:r>
    </w:p>
    <w:p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Tato smlouva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nabýva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platnosti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účinnosti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okamžikem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podpisu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oběma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stranami. </w:t>
      </w:r>
    </w:p>
    <w:p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mohou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uskutečňovane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výlučne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formou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očíslovaných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dodatků,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podepsaných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oběma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stranami. </w:t>
      </w:r>
    </w:p>
    <w:p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jsou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neoddělitelnou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součásti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možna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uvedeným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bodu 2. tohoto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Smlouva je vyhotovena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identických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exemplářích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1 a Agentura 2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exempláře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</w:p>
    <w:p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1: 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Seznam skladeb</w:t>
      </w:r>
    </w:p>
    <w:p w:rsidR="003608A9" w:rsidRPr="00884BA0" w:rsidRDefault="003608A9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2: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technického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zabezpečeni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:rsidR="004861CD" w:rsidRPr="001A6E56" w:rsidRDefault="004861CD" w:rsidP="00194C4A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3: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Občerstveni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:rsidR="00194C4A" w:rsidRPr="00884BA0" w:rsidRDefault="00194C4A" w:rsidP="00194C4A">
      <w:pPr>
        <w:rPr>
          <w:rFonts w:ascii="Arial" w:eastAsia="Times New Roman" w:hAnsi="Arial" w:cs="Arial"/>
          <w:lang w:eastAsia="cs-CZ"/>
        </w:rPr>
      </w:pPr>
    </w:p>
    <w:p w:rsidR="004861CD" w:rsidRPr="00884BA0" w:rsidRDefault="003B66F5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320CB" wp14:editId="79FDD34D">
                <wp:simplePos x="0" y="0"/>
                <wp:positionH relativeFrom="column">
                  <wp:posOffset>3356895</wp:posOffset>
                </wp:positionH>
                <wp:positionV relativeFrom="paragraph">
                  <wp:posOffset>535612</wp:posOffset>
                </wp:positionV>
                <wp:extent cx="2604135" cy="1623848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162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C4A" w:rsidRPr="005159F1" w:rsidRDefault="00194C4A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V</w:t>
                            </w:r>
                            <w:r w:rsidR="00E30D5A"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e</w:t>
                            </w: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 xml:space="preserve"> </w:t>
                            </w:r>
                            <w:r w:rsidR="00E30D5A"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Vysokém Mýtě</w:t>
                            </w: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 xml:space="preserve">, dne </w:t>
                            </w:r>
                            <w:r w:rsidR="005159F1"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20. 2</w:t>
                            </w: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. 20</w:t>
                            </w:r>
                            <w:r w:rsidR="00E30D5A"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20</w:t>
                            </w:r>
                          </w:p>
                          <w:p w:rsidR="00194C4A" w:rsidRPr="005159F1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4C4A" w:rsidRPr="005159F1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B66F5" w:rsidRPr="005159F1" w:rsidRDefault="003B66F5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4C4A" w:rsidRPr="005159F1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4C4A" w:rsidRPr="005159F1" w:rsidRDefault="00194C4A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................................................</w:t>
                            </w:r>
                          </w:p>
                          <w:p w:rsidR="00194C4A" w:rsidRPr="005159F1" w:rsidRDefault="00E30D5A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5159F1"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 xml:space="preserve">Ing. Dagmar </w:t>
                            </w:r>
                            <w:proofErr w:type="spellStart"/>
                            <w:r w:rsidRPr="005159F1"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Sabolčiková</w:t>
                            </w:r>
                            <w:proofErr w:type="spellEnd"/>
                          </w:p>
                          <w:p w:rsidR="00194C4A" w:rsidRPr="005159F1" w:rsidRDefault="002D06C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59F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VYSOKOMÝTSKÁ KULTURNÍ, o.p.s.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20C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4.3pt;margin-top:42.15pt;width:205.05pt;height:12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" filled="f" stroked="f" strokeweight=".5pt">
                <v:textbox>
                  <w:txbxContent>
                    <w:p w:rsidR="00194C4A" w:rsidRPr="005159F1" w:rsidRDefault="00194C4A" w:rsidP="00194C4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</w:pPr>
                      <w:bookmarkStart w:id="1" w:name="_GoBack"/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V</w:t>
                      </w:r>
                      <w:r w:rsidR="00E30D5A"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e</w:t>
                      </w:r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 xml:space="preserve"> </w:t>
                      </w:r>
                      <w:r w:rsidR="00E30D5A"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Vysokém Mýtě</w:t>
                      </w:r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 xml:space="preserve">, dne </w:t>
                      </w:r>
                      <w:r w:rsidR="005159F1"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20. 2</w:t>
                      </w:r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. 20</w:t>
                      </w:r>
                      <w:r w:rsidR="00E30D5A"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20</w:t>
                      </w:r>
                    </w:p>
                    <w:p w:rsidR="00194C4A" w:rsidRPr="005159F1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94C4A" w:rsidRPr="005159F1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B66F5" w:rsidRPr="005159F1" w:rsidRDefault="003B66F5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94C4A" w:rsidRPr="005159F1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94C4A" w:rsidRPr="005159F1" w:rsidRDefault="00194C4A" w:rsidP="00194C4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................................................</w:t>
                      </w:r>
                    </w:p>
                    <w:p w:rsidR="00194C4A" w:rsidRPr="005159F1" w:rsidRDefault="00E30D5A" w:rsidP="00194C4A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5159F1"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  <w:t xml:space="preserve">Ing. Dagmar </w:t>
                      </w:r>
                      <w:proofErr w:type="spellStart"/>
                      <w:r w:rsidRPr="005159F1"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  <w:t>Sabolčiková</w:t>
                      </w:r>
                      <w:proofErr w:type="spellEnd"/>
                    </w:p>
                    <w:p w:rsidR="00194C4A" w:rsidRPr="005159F1" w:rsidRDefault="002D06C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159F1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VYSOKOMÝTSKÁ KULTURNÍ, o.p.s.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94C4A" w:rsidRPr="00884BA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-316471</wp:posOffset>
                </wp:positionH>
                <wp:positionV relativeFrom="paragraph">
                  <wp:posOffset>551377</wp:posOffset>
                </wp:positionV>
                <wp:extent cx="2604135" cy="168691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168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0997" w:rsidRPr="00D67E7D" w:rsidRDefault="006C0997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V Káraném, dne </w:t>
                            </w:r>
                            <w:r w:rsidR="00E30D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29</w:t>
                            </w:r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. </w:t>
                            </w:r>
                            <w:r w:rsidR="00E30D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1</w:t>
                            </w:r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. 20</w:t>
                            </w:r>
                            <w:r w:rsidR="00E30D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20</w:t>
                            </w:r>
                          </w:p>
                          <w:p w:rsidR="006C0997" w:rsidRPr="00D67E7D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6C0997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3B66F5" w:rsidRPr="00D67E7D" w:rsidRDefault="003B66F5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6C0997" w:rsidRPr="00D67E7D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6C0997" w:rsidRPr="00D67E7D" w:rsidRDefault="006C0997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................................................</w:t>
                            </w:r>
                          </w:p>
                          <w:p w:rsidR="006C0997" w:rsidRPr="00D67E7D" w:rsidRDefault="006C0997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D67E7D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Mgr. Tomáš Staněk</w:t>
                            </w:r>
                          </w:p>
                          <w:p w:rsidR="006C0997" w:rsidRPr="00D67E7D" w:rsidRDefault="003125EC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3125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Jugi</w:t>
                            </w:r>
                            <w:proofErr w:type="spellEnd"/>
                            <w:r w:rsidRPr="003125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3125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Promotion</w:t>
                            </w:r>
                            <w:proofErr w:type="spellEnd"/>
                            <w:r w:rsidRPr="003125E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4.9pt;margin-top:43.4pt;width:205.05pt;height:13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" filled="f" stroked="f" strokeweight=".5pt">
                <v:textbox>
                  <w:txbxContent>
                    <w:p w:rsidR="006C0997" w:rsidRPr="00D67E7D" w:rsidRDefault="006C0997" w:rsidP="006C0997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V Káraném, dne </w:t>
                      </w:r>
                      <w:r w:rsidR="00E30D5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29</w:t>
                      </w:r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. </w:t>
                      </w:r>
                      <w:r w:rsidR="00E30D5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1</w:t>
                      </w:r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. 20</w:t>
                      </w:r>
                      <w:r w:rsidR="00E30D5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20</w:t>
                      </w:r>
                    </w:p>
                    <w:p w:rsidR="006C0997" w:rsidRPr="00D67E7D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6C0997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3B66F5" w:rsidRPr="00D67E7D" w:rsidRDefault="003B66F5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6C0997" w:rsidRPr="00D67E7D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6C0997" w:rsidRPr="00D67E7D" w:rsidRDefault="006C0997" w:rsidP="006C0997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................................................</w:t>
                      </w:r>
                    </w:p>
                    <w:p w:rsidR="006C0997" w:rsidRPr="00D67E7D" w:rsidRDefault="006C0997" w:rsidP="006C099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 w:rsidRPr="00D67E7D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Mgr. Tomáš Staněk</w:t>
                      </w:r>
                    </w:p>
                    <w:p w:rsidR="006C0997" w:rsidRPr="00D67E7D" w:rsidRDefault="003125EC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3125E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Jugi</w:t>
                      </w:r>
                      <w:proofErr w:type="spellEnd"/>
                      <w:r w:rsidRPr="003125E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 </w:t>
                      </w:r>
                      <w:proofErr w:type="spellStart"/>
                      <w:r w:rsidRPr="003125E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Promotion</w:t>
                      </w:r>
                      <w:proofErr w:type="spellEnd"/>
                      <w:r w:rsidRPr="003125E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 s.r.o.</w:t>
                      </w:r>
                    </w:p>
                  </w:txbxContent>
                </v:textbox>
              </v:shape>
            </w:pict>
          </mc:Fallback>
        </mc:AlternateContent>
      </w:r>
    </w:p>
    <w:p w:rsidR="003C0292" w:rsidRPr="00884BA0" w:rsidRDefault="007E08E1">
      <w:pPr>
        <w:rPr>
          <w:rFonts w:ascii="Arial" w:hAnsi="Arial" w:cs="Arial"/>
        </w:rPr>
      </w:pPr>
    </w:p>
    <w:sectPr w:rsidR="003C0292" w:rsidRPr="00884BA0" w:rsidSect="00C454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234"/>
    <w:multiLevelType w:val="multilevel"/>
    <w:tmpl w:val="04EC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438D4"/>
    <w:multiLevelType w:val="multilevel"/>
    <w:tmpl w:val="CE4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52EF"/>
    <w:multiLevelType w:val="multilevel"/>
    <w:tmpl w:val="742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55B1D"/>
    <w:multiLevelType w:val="multilevel"/>
    <w:tmpl w:val="808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5772A"/>
    <w:multiLevelType w:val="hybridMultilevel"/>
    <w:tmpl w:val="92207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41739"/>
    <w:multiLevelType w:val="multilevel"/>
    <w:tmpl w:val="4C5E2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24"/>
    <w:rsid w:val="00055248"/>
    <w:rsid w:val="00194C4A"/>
    <w:rsid w:val="001A6E56"/>
    <w:rsid w:val="001C3C02"/>
    <w:rsid w:val="00251F9B"/>
    <w:rsid w:val="00253FA5"/>
    <w:rsid w:val="002D06CA"/>
    <w:rsid w:val="003125EC"/>
    <w:rsid w:val="003608A9"/>
    <w:rsid w:val="003B66F5"/>
    <w:rsid w:val="00403BE7"/>
    <w:rsid w:val="00406671"/>
    <w:rsid w:val="00431B59"/>
    <w:rsid w:val="004861CD"/>
    <w:rsid w:val="004B58B3"/>
    <w:rsid w:val="004C008D"/>
    <w:rsid w:val="005159F1"/>
    <w:rsid w:val="00516606"/>
    <w:rsid w:val="00553D3E"/>
    <w:rsid w:val="00567A7A"/>
    <w:rsid w:val="005B32C7"/>
    <w:rsid w:val="006B51E5"/>
    <w:rsid w:val="006C0997"/>
    <w:rsid w:val="006F691E"/>
    <w:rsid w:val="007433C2"/>
    <w:rsid w:val="007D570D"/>
    <w:rsid w:val="007E08E1"/>
    <w:rsid w:val="007E267C"/>
    <w:rsid w:val="00842F8C"/>
    <w:rsid w:val="00884BA0"/>
    <w:rsid w:val="008C663E"/>
    <w:rsid w:val="0090428A"/>
    <w:rsid w:val="00936F24"/>
    <w:rsid w:val="009C5F70"/>
    <w:rsid w:val="009C6709"/>
    <w:rsid w:val="00A304CD"/>
    <w:rsid w:val="00A64216"/>
    <w:rsid w:val="00A7049E"/>
    <w:rsid w:val="00A91D19"/>
    <w:rsid w:val="00AE2315"/>
    <w:rsid w:val="00AE798B"/>
    <w:rsid w:val="00AF5943"/>
    <w:rsid w:val="00BD0456"/>
    <w:rsid w:val="00C069EF"/>
    <w:rsid w:val="00C4242C"/>
    <w:rsid w:val="00C45470"/>
    <w:rsid w:val="00C74DEE"/>
    <w:rsid w:val="00CD636F"/>
    <w:rsid w:val="00D67E7D"/>
    <w:rsid w:val="00D94881"/>
    <w:rsid w:val="00DB2447"/>
    <w:rsid w:val="00E30D5A"/>
    <w:rsid w:val="00ED1CBD"/>
    <w:rsid w:val="00EE3B4E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D2F3"/>
  <w14:defaultImageDpi w14:val="32767"/>
  <w15:docId w15:val="{A23F8303-3378-8346-96CF-F746BF9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53F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3F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253FA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Sloupenský</dc:creator>
  <cp:keywords/>
  <dc:description/>
  <cp:lastModifiedBy>Uživatel systému Windows</cp:lastModifiedBy>
  <cp:revision>2</cp:revision>
  <cp:lastPrinted>2020-02-26T15:58:00Z</cp:lastPrinted>
  <dcterms:created xsi:type="dcterms:W3CDTF">2020-02-26T16:00:00Z</dcterms:created>
  <dcterms:modified xsi:type="dcterms:W3CDTF">2020-02-26T16:00:00Z</dcterms:modified>
</cp:coreProperties>
</file>