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9-055/R9900/20/RS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Sweco Hydroprojekt a.s.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Táborská 940/31, 140 00 Praha 4-Nusle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26475081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CZ26475081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10/2020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10.02.2020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akce:1/5/R99/00</w:t>
            </w:r>
          </w:p>
          <w:p w:rsidR="00C66447" w:rsidRDefault="00F57565">
            <w:r>
              <w:t>Název akce:ÚV Podolí - doplnění technologie UV</w:t>
            </w:r>
          </w:p>
          <w:p w:rsidR="00C66447" w:rsidRDefault="00C66447"/>
          <w:p w:rsidR="00C66447" w:rsidRDefault="00F57565">
            <w:r>
              <w:t xml:space="preserve">Pro realizaci uvedené investiční akce u Vás na základě Vaší nabídky zn. 141/2020/35 ze dne </w:t>
            </w:r>
            <w:r>
              <w:t>6.2.2020 objednáváme výkon autorského dozoru po dobu realizace stavby v předpokládaném rozsahu dle přílohy č. 9 (Obsah a rozsah autorského dozoru) ceníku UNIKA.</w:t>
            </w:r>
          </w:p>
          <w:p w:rsidR="00C66447" w:rsidRDefault="00C66447"/>
          <w:p w:rsidR="00C66447" w:rsidRDefault="00F57565">
            <w:r>
              <w:t>Cena:            nepřekročí 220.000,- Kč   bez DPH</w:t>
            </w:r>
          </w:p>
          <w:p w:rsidR="00C66447" w:rsidRDefault="00F57565">
            <w:r>
              <w:t>Cena bude doložena kalkulací dle skutečně p</w:t>
            </w:r>
            <w:r>
              <w:t>rovedených prací</w:t>
            </w:r>
          </w:p>
          <w:p w:rsidR="00C66447" w:rsidRDefault="00F57565">
            <w:r>
              <w:t>Celkový rozsah maximálně 250 hodin, hodinová sazba je 880,- Kč/hod,</w:t>
            </w:r>
          </w:p>
          <w:p w:rsidR="00C66447" w:rsidRDefault="00F57565">
            <w:r>
              <w:t>předpokládá se čtvrtletní fakturace</w:t>
            </w:r>
          </w:p>
          <w:p w:rsidR="00C66447" w:rsidRDefault="00C66447"/>
          <w:p w:rsidR="00C66447" w:rsidRDefault="00F57565">
            <w:r>
              <w:t>Termín:         25 týdnů od předání staveniště - dle HMG zhotovitele, předpoklad výkonu AD max do 10/2020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lastRenderedPageBreak/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66447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57565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FBC9A-A4E4-4E60-BDBD-AA249E7D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2020-02-25T13:52:00Z</dcterms:created>
  <dcterms:modified xsi:type="dcterms:W3CDTF">2020-02-25T13:52:00Z</dcterms:modified>
</cp:coreProperties>
</file>