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E1" w:rsidRPr="00FF2828" w:rsidRDefault="000C2B6C" w:rsidP="00FF282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FF2828">
        <w:rPr>
          <w:rFonts w:ascii="Times New Roman" w:hAnsi="Times New Roman" w:cs="Times New Roman"/>
          <w:sz w:val="40"/>
          <w:szCs w:val="40"/>
        </w:rPr>
        <w:t>Partnerská smlouva</w:t>
      </w:r>
    </w:p>
    <w:p w:rsidR="00FF2828" w:rsidRPr="00FF2828" w:rsidRDefault="00FF2828" w:rsidP="00FF2828">
      <w:pPr>
        <w:spacing w:after="0" w:line="240" w:lineRule="auto"/>
        <w:rPr>
          <w:rFonts w:ascii="Times New Roman" w:hAnsi="Times New Roman" w:cs="Times New Roman"/>
        </w:rPr>
      </w:pPr>
    </w:p>
    <w:p w:rsidR="006F5D16" w:rsidRPr="00FF2828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FF2828">
        <w:rPr>
          <w:rFonts w:ascii="Times New Roman" w:hAnsi="Times New Roman"/>
          <w:b/>
          <w:bCs/>
        </w:rPr>
        <w:t xml:space="preserve">Podnik: </w:t>
      </w:r>
      <w:r w:rsidRPr="00CA11E5">
        <w:rPr>
          <w:rFonts w:ascii="Times New Roman" w:hAnsi="Times New Roman"/>
        </w:rPr>
        <w:t>TVAR, výrobní družstvo Klatovy</w:t>
      </w:r>
    </w:p>
    <w:p w:rsidR="006F5D16" w:rsidRPr="00FF2828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F2828">
        <w:rPr>
          <w:rFonts w:ascii="Times New Roman" w:hAnsi="Times New Roman"/>
        </w:rPr>
        <w:t>zastoupen</w:t>
      </w:r>
      <w:r>
        <w:rPr>
          <w:rFonts w:ascii="Times New Roman" w:hAnsi="Times New Roman"/>
        </w:rPr>
        <w:t>é</w:t>
      </w:r>
      <w:r w:rsidRPr="00FF2828">
        <w:rPr>
          <w:rFonts w:ascii="Times New Roman" w:hAnsi="Times New Roman"/>
        </w:rPr>
        <w:t xml:space="preserve"> </w:t>
      </w:r>
      <w:r w:rsidRPr="00CA11E5">
        <w:rPr>
          <w:rFonts w:ascii="Times New Roman" w:hAnsi="Times New Roman"/>
        </w:rPr>
        <w:t>předsedou představenstva panem Františkem Baštářem</w:t>
      </w:r>
    </w:p>
    <w:p w:rsidR="006F5D16" w:rsidRPr="00FF2828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F2828">
        <w:rPr>
          <w:rFonts w:ascii="Times New Roman" w:hAnsi="Times New Roman"/>
        </w:rPr>
        <w:t xml:space="preserve">se sídlem </w:t>
      </w:r>
      <w:r w:rsidRPr="00CA11E5">
        <w:rPr>
          <w:rFonts w:ascii="Times New Roman" w:hAnsi="Times New Roman"/>
        </w:rPr>
        <w:t>Klatovy - Klatovy III, Dr. Sedláka 713, PSČ 33901</w:t>
      </w:r>
    </w:p>
    <w:p w:rsidR="006F5D16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F2828">
        <w:rPr>
          <w:rFonts w:ascii="Times New Roman" w:hAnsi="Times New Roman"/>
        </w:rPr>
        <w:t xml:space="preserve">zapsaná u </w:t>
      </w:r>
      <w:r>
        <w:rPr>
          <w:rFonts w:ascii="Times New Roman" w:hAnsi="Times New Roman"/>
        </w:rPr>
        <w:t>K</w:t>
      </w:r>
      <w:r w:rsidRPr="002F5B0E">
        <w:rPr>
          <w:rFonts w:ascii="Times New Roman" w:hAnsi="Times New Roman"/>
        </w:rPr>
        <w:t>rajského soudu v Plzni</w:t>
      </w:r>
      <w:r w:rsidRPr="00FF2828">
        <w:rPr>
          <w:rFonts w:ascii="Times New Roman" w:hAnsi="Times New Roman"/>
        </w:rPr>
        <w:t xml:space="preserve">, </w:t>
      </w:r>
      <w:r w:rsidRPr="00CA11E5">
        <w:rPr>
          <w:rFonts w:ascii="Times New Roman" w:hAnsi="Times New Roman"/>
        </w:rPr>
        <w:t>spisová značka DrXXVI 17,</w:t>
      </w:r>
    </w:p>
    <w:p w:rsidR="006F5D16" w:rsidRPr="00FF2828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F2828">
        <w:rPr>
          <w:rFonts w:ascii="Times New Roman" w:hAnsi="Times New Roman"/>
        </w:rPr>
        <w:t xml:space="preserve">IČ: </w:t>
      </w:r>
      <w:r w:rsidRPr="00CA11E5">
        <w:rPr>
          <w:rFonts w:ascii="Times New Roman" w:hAnsi="Times New Roman"/>
        </w:rPr>
        <w:t>00028983</w:t>
      </w:r>
    </w:p>
    <w:p w:rsidR="006F5D16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F2828">
        <w:rPr>
          <w:rFonts w:ascii="Times New Roman" w:hAnsi="Times New Roman"/>
        </w:rPr>
        <w:t xml:space="preserve">DIČ: </w:t>
      </w:r>
      <w:r w:rsidRPr="00CA11E5">
        <w:rPr>
          <w:rFonts w:ascii="Times New Roman" w:hAnsi="Times New Roman"/>
        </w:rPr>
        <w:t>CZ00028983</w:t>
      </w:r>
    </w:p>
    <w:p w:rsidR="006F5D16" w:rsidRPr="00FF2828" w:rsidRDefault="006F5D16" w:rsidP="006F5D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F2828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Komerční banka a.s., č. účtu: 610351/0100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FF2828">
        <w:rPr>
          <w:rFonts w:ascii="Times New Roman" w:hAnsi="Times New Roman" w:cs="Times New Roman"/>
          <w:b/>
          <w:bCs/>
        </w:rPr>
        <w:t>Znalostní organizace</w:t>
      </w:r>
      <w:r w:rsidR="00FF2828" w:rsidRPr="00FF2828">
        <w:rPr>
          <w:rFonts w:ascii="Times New Roman" w:hAnsi="Times New Roman" w:cs="Times New Roman"/>
          <w:b/>
          <w:bCs/>
        </w:rPr>
        <w:t xml:space="preserve">: </w:t>
      </w:r>
      <w:r w:rsidRPr="00FF2828">
        <w:rPr>
          <w:rFonts w:ascii="Times New Roman" w:hAnsi="Times New Roman" w:cs="Times New Roman"/>
          <w:bCs/>
        </w:rPr>
        <w:t>Západočeská univerzita v Plzni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zastoupená doc. RNDr. Tomášem Kaiserem, Ph.D., prorektorem pro výzkum a vývoj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se sídlem Univerzitní 8, 306 14 Plzeň 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IČ: 49777513</w:t>
      </w:r>
    </w:p>
    <w:p w:rsidR="000C2B6C" w:rsidRPr="00FF2828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DIČ: CZ49777513</w:t>
      </w:r>
    </w:p>
    <w:p w:rsidR="000C2B6C" w:rsidRDefault="000C2B6C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Bankovní spojení:</w:t>
      </w:r>
      <w:r w:rsidR="00FF2828" w:rsidRPr="00FF2828">
        <w:rPr>
          <w:rFonts w:ascii="Times New Roman" w:hAnsi="Times New Roman" w:cs="Times New Roman"/>
        </w:rPr>
        <w:t xml:space="preserve"> Komerční banka a.s., pobočka Plzeň – město, č. účtu: 4811530257/0100</w:t>
      </w:r>
    </w:p>
    <w:p w:rsidR="00585D18" w:rsidRPr="00FF2828" w:rsidRDefault="00585D1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FF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F2828">
        <w:rPr>
          <w:rFonts w:ascii="Times New Roman" w:hAnsi="Times New Roman" w:cs="Times New Roman"/>
          <w:b/>
          <w:bCs/>
        </w:rPr>
        <w:t>Preambule:</w:t>
      </w: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F2828" w:rsidRPr="00FF2828" w:rsidRDefault="00FF2828" w:rsidP="003A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Partnerský Podnik a partnerská Znalostní organizace (dále “Partneři”) se dohodly na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spolupráci v rámci projektu (dále jen “Projekt”) schváleného k podpoře na základě výzvy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programu Partnerství znalostního transferu z Operačního programu Podnikání a Inovace pro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konkurenceschopnost Ministerstva průmyslu a obchodu (dále jen „OPPIK“). Partneři se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dohodli na délce trvání Projektu, jeho cílech a na způsobech jeho implementace a za tímto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účelem uzavírají</w:t>
      </w: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585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 xml:space="preserve">t u t o </w:t>
      </w:r>
      <w:r w:rsidR="00585D18">
        <w:rPr>
          <w:rFonts w:ascii="Times New Roman" w:hAnsi="Times New Roman" w:cs="Times New Roman"/>
        </w:rPr>
        <w:t xml:space="preserve">   </w:t>
      </w:r>
      <w:r w:rsidRPr="00FF2828">
        <w:rPr>
          <w:rFonts w:ascii="Times New Roman" w:hAnsi="Times New Roman" w:cs="Times New Roman"/>
        </w:rPr>
        <w:t>p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a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r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t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n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e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r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</w:t>
      </w:r>
      <w:r w:rsidR="00585D18"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k</w:t>
      </w:r>
      <w:r w:rsidR="00585D18"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o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 xml:space="preserve">u </w:t>
      </w:r>
      <w:r w:rsidR="00585D18">
        <w:rPr>
          <w:rFonts w:ascii="Times New Roman" w:hAnsi="Times New Roman" w:cs="Times New Roman"/>
        </w:rPr>
        <w:t xml:space="preserve">   </w:t>
      </w:r>
      <w:r w:rsidRPr="00FF2828">
        <w:rPr>
          <w:rFonts w:ascii="Times New Roman" w:hAnsi="Times New Roman" w:cs="Times New Roman"/>
        </w:rPr>
        <w:t>s m l o u v u:</w:t>
      </w:r>
    </w:p>
    <w:p w:rsidR="00585D18" w:rsidRPr="00FF2828" w:rsidRDefault="00585D18" w:rsidP="00585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F2828" w:rsidRPr="00FF2828" w:rsidRDefault="00FF2828" w:rsidP="00FF28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FF2828">
        <w:rPr>
          <w:rFonts w:ascii="Times New Roman" w:hAnsi="Times New Roman" w:cs="Times New Roman"/>
          <w:b/>
          <w:bCs/>
        </w:rPr>
        <w:t>Účel a předmět smlouvy</w:t>
      </w:r>
    </w:p>
    <w:p w:rsidR="00FF2828" w:rsidRPr="00FF2828" w:rsidRDefault="00FF2828" w:rsidP="00FF2828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FF2828" w:rsidRDefault="00FF2828" w:rsidP="00585D1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Účelem této smlouvy je upravit vztahy mezi Znalostní organizací a Podnikem v</w:t>
      </w:r>
      <w:r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souvislosti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 realizací společného Projektu, vypořádání finančních vztahů a dotace.</w:t>
      </w:r>
    </w:p>
    <w:p w:rsidR="00FF2828" w:rsidRDefault="00FF2828" w:rsidP="00585D1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Znalostní organizace se zavazuje, že na základě svých zkušeností zrealizuje Projekt v souladu s podanou žádostí o podporu a k dosažení stanoveného cíle. Hlavním cílem Projektu je transfer znalostí a dovedností do Podniku dle stanoveného projektového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záměru.</w:t>
      </w:r>
    </w:p>
    <w:p w:rsidR="00FF2828" w:rsidRPr="00FF2828" w:rsidRDefault="00FF2828" w:rsidP="00585D1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Znalostní organizace se zavazuje:</w:t>
      </w:r>
    </w:p>
    <w:p w:rsidR="00FF2828" w:rsidRPr="00FF2828" w:rsidRDefault="00FF2828" w:rsidP="00585D1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zaměstnat absolventa s dostatečnou kvalifikací (dále “Asistent znalostního transferu” nebo „Asistent“) za účelem vykonávání pracovních úkolů potřebných pro úspěšnou realizaci Projektu tak, jak byly dohodnuty s Podnikem, a to nejpozději do 6 měsíců od data zahájení Projektu,</w:t>
      </w:r>
    </w:p>
    <w:p w:rsidR="00FF2828" w:rsidRDefault="00FF2828" w:rsidP="00585D1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spolupracovat s Podnikem při implementaci Projektu a poskytnout Asistentovi a Podniku dostatečnou podporu pro realizaci Projektu. Tato spolupráce zahrnuje nominaci alespoň jednoho akademického pracovníka za účelem vykonávání odborného dohledu nad Projektem (dále “Akademický odborník”), který plní úkoly Znalostní organizace v rámci Projektu.</w:t>
      </w:r>
    </w:p>
    <w:p w:rsidR="00585D18" w:rsidRDefault="00585D18" w:rsidP="004959E2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FF28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FF2828">
        <w:rPr>
          <w:rFonts w:ascii="Times New Roman" w:hAnsi="Times New Roman" w:cs="Times New Roman"/>
          <w:b/>
          <w:bCs/>
        </w:rPr>
        <w:t>Způsob plnění Projektu</w:t>
      </w: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</w:p>
    <w:p w:rsidR="00FF2828" w:rsidRPr="00FF2828" w:rsidRDefault="00FF2828" w:rsidP="00FF2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Úkoly obou Partnerů, které mají jednotliví Partneři zajistit, jsou definovány v</w:t>
      </w:r>
      <w:r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Projektovém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plánu, který je přílohou plné žádosti projektu. Úkoly a předměty plnění v Projektovém plánu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je možno změnit pouze se souhlasem obou Partnerů., tyto změny musí být projednány a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 xml:space="preserve">zaznamenány na </w:t>
      </w:r>
      <w:r w:rsidRPr="00FF2828">
        <w:rPr>
          <w:rFonts w:ascii="Times New Roman" w:hAnsi="Times New Roman" w:cs="Times New Roman"/>
        </w:rPr>
        <w:lastRenderedPageBreak/>
        <w:t>Řídících schůzích projektu. K zamezení pochybnostem, Partneři po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vzájemném odsouhlasení mohou požadovat změnu jakéhokoli parametru Projektu (časový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harmonogram, předměty plnění, rozpočet), žádosti o změnu musí být podány v</w:t>
      </w:r>
      <w:r>
        <w:rPr>
          <w:rFonts w:ascii="Times New Roman" w:hAnsi="Times New Roman" w:cs="Times New Roman"/>
        </w:rPr>
        <w:t> </w:t>
      </w:r>
      <w:r w:rsidRPr="00FF2828">
        <w:rPr>
          <w:rFonts w:ascii="Times New Roman" w:hAnsi="Times New Roman" w:cs="Times New Roman"/>
        </w:rPr>
        <w:t>souladu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s Podmínkami poskytnutí dotace.</w:t>
      </w:r>
    </w:p>
    <w:p w:rsidR="00FF2828" w:rsidRPr="00FF2828" w:rsidRDefault="00FF2828" w:rsidP="00FF2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Úkoly, které jsou v projektovém plánu přiděleny konkrétní osobě, mohou být splněny i jinou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osobou. Jedná-li se o úkoly, které jsou přidělené Asistentovi a/nebo Akademikovi, musí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jejich přidělení jinému pracovníkovi odsouhlasit oba Partneři.</w:t>
      </w:r>
    </w:p>
    <w:p w:rsidR="00FF2828" w:rsidRDefault="00FF2828" w:rsidP="00FF28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Výsledkem plnění bude Závěrečná zpráva obsahující zhodnocení realizace Projektu a dosažení stanovených výstupů a jejich následného využití, tj. zejména zhodnocení dosažených ekonomických a jiných přínosů Projektu, kvalifikovaný odhad přínosů v dalších letech, porovnání s původně očekávanými přínosy a zdůvodnění případných rozdílů, popis Podnikem získaných schopností a dovedností, způsob jejich osvojení zaměstnanci Podniku a jejich následného využití, celkové zhodnocení partnerství podniku se znalostní organizací a přínosu akademických vstupů, vyhodnocení přínosu Asistenta a jeho role v projektu, popis uskutečněných aktivit a splněných úkolů v jednotlivých etapách projektu dle projektového plánu, zdůvodnění provedených změn oproti původnímu plánu</w:t>
      </w:r>
      <w:r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a identifikace překážek a bariér, které se objevily v průběhu realizace. Za přípravu Závěrečné Zprávy odpovídají oba Partneři.</w:t>
      </w:r>
    </w:p>
    <w:p w:rsidR="00585D18" w:rsidRPr="00FF2828" w:rsidRDefault="00585D18" w:rsidP="00585D18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F2828" w:rsidRPr="00FF2828" w:rsidRDefault="00FF2828" w:rsidP="00FF28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F2828" w:rsidRDefault="00FF2828" w:rsidP="00585D1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585D18">
        <w:rPr>
          <w:rFonts w:ascii="Times New Roman" w:hAnsi="Times New Roman" w:cs="Times New Roman"/>
          <w:b/>
          <w:bCs/>
        </w:rPr>
        <w:t>Výdaje projektu</w:t>
      </w:r>
    </w:p>
    <w:p w:rsidR="00585D18" w:rsidRPr="00585D18" w:rsidRDefault="00585D18" w:rsidP="00585D1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FF2828" w:rsidRPr="004959E2" w:rsidRDefault="00FF2828" w:rsidP="004959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9E2">
        <w:rPr>
          <w:rFonts w:ascii="Times New Roman" w:hAnsi="Times New Roman" w:cs="Times New Roman"/>
        </w:rPr>
        <w:t>Na začátku projektu budou způsobilé výdaje rozděleny na část spadající pod Podnik a část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spadající pod Znalostní organizaci. Ve stejném poměru tohoto rozdělení výdajů pak bude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poměrně rozdělena i dotace. Podnik je povinen přeposlat v projektu určenou poměrnou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část dotace Znalostní organizaci na účet specifikovaný v partnerské smlouvě po každé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etapě projektu, a to nejpozději do 10 dnů od data obdržení dotace od poskytovatele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podpory. Podnik současně pošle i zbývající poměrnou část kofinancování ze soukromých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zdrojů dle podmínek programu. Pokud poskytovatel podpory rozhodne o krácení</w:t>
      </w:r>
      <w:r w:rsidR="00585D18" w:rsidRP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způsobilých výdajů na straně Znalostní organizace, pošle Podnik poměrnou část dotace</w:t>
      </w:r>
      <w:r w:rsidR="004959E2">
        <w:rPr>
          <w:rFonts w:ascii="Times New Roman" w:hAnsi="Times New Roman" w:cs="Times New Roman"/>
        </w:rPr>
        <w:t xml:space="preserve"> </w:t>
      </w:r>
      <w:r w:rsidRPr="004959E2">
        <w:rPr>
          <w:rFonts w:ascii="Times New Roman" w:hAnsi="Times New Roman" w:cs="Times New Roman"/>
        </w:rPr>
        <w:t>poníženou o výši zkrácené dotace.</w:t>
      </w:r>
    </w:p>
    <w:p w:rsidR="00585D18" w:rsidRPr="00FF2828" w:rsidRDefault="00585D18" w:rsidP="004959E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FF2828" w:rsidRDefault="00FF2828" w:rsidP="004959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F2828">
        <w:rPr>
          <w:rFonts w:ascii="Times New Roman" w:hAnsi="Times New Roman" w:cs="Times New Roman"/>
        </w:rPr>
        <w:t>V průběhu projektu Znalostní organizace vede evidenci účetních dokladů uhrazených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dodavatelům</w:t>
      </w:r>
      <w:r w:rsidRPr="003A0A05">
        <w:rPr>
          <w:rFonts w:ascii="Times New Roman" w:hAnsi="Times New Roman" w:cs="Times New Roman"/>
        </w:rPr>
        <w:t>/zaměstnancům</w:t>
      </w:r>
      <w:r w:rsidRPr="00FF2828">
        <w:rPr>
          <w:rFonts w:ascii="Times New Roman" w:hAnsi="Times New Roman" w:cs="Times New Roman"/>
        </w:rPr>
        <w:t xml:space="preserve"> s vazbou na projekt, kterou předává Podniku vždy spolu s</w:t>
      </w:r>
      <w:r w:rsidR="00585D18">
        <w:rPr>
          <w:rFonts w:ascii="Times New Roman" w:hAnsi="Times New Roman" w:cs="Times New Roman"/>
        </w:rPr>
        <w:t xml:space="preserve"> </w:t>
      </w:r>
      <w:r w:rsidRPr="00FF2828">
        <w:rPr>
          <w:rFonts w:ascii="Times New Roman" w:hAnsi="Times New Roman" w:cs="Times New Roman"/>
        </w:rPr>
        <w:t>kopií předmětných dokladů a dokladů o jejich úhradě pro potřeby doložení v žádosti o</w:t>
      </w:r>
      <w:r w:rsidR="00585D18">
        <w:rPr>
          <w:rFonts w:ascii="Times New Roman" w:hAnsi="Times New Roman" w:cs="Times New Roman"/>
        </w:rPr>
        <w:t xml:space="preserve"> platbu. Evidence  </w:t>
      </w:r>
      <w:r w:rsidR="009C3937">
        <w:rPr>
          <w:rFonts w:ascii="Times New Roman" w:hAnsi="Times New Roman" w:cs="Times New Roman"/>
        </w:rPr>
        <w:t xml:space="preserve">má minimálně tuto </w:t>
      </w:r>
      <w:r w:rsidR="00585D18">
        <w:rPr>
          <w:rFonts w:ascii="Times New Roman" w:hAnsi="Times New Roman" w:cs="Times New Roman"/>
        </w:rPr>
        <w:t>s</w:t>
      </w:r>
      <w:r w:rsidR="00585D18" w:rsidRPr="00585D18">
        <w:rPr>
          <w:rFonts w:ascii="Times New Roman" w:hAnsi="Times New Roman" w:cs="Times New Roman"/>
        </w:rPr>
        <w:t>trukturu</w:t>
      </w:r>
      <w:r w:rsidR="009C3937">
        <w:rPr>
          <w:rFonts w:ascii="Times New Roman" w:hAnsi="Times New Roman" w:cs="Times New Roman"/>
        </w:rPr>
        <w:t xml:space="preserve"> (kterou mohou dle svých potřeb obě smluvní strany doplnit)</w:t>
      </w:r>
      <w:r w:rsidR="00585D18">
        <w:rPr>
          <w:rFonts w:ascii="Times New Roman" w:hAnsi="Times New Roman" w:cs="Times New Roman"/>
        </w:rPr>
        <w:t>:</w:t>
      </w:r>
    </w:p>
    <w:p w:rsidR="00585D18" w:rsidRPr="00323776" w:rsidRDefault="00585D18" w:rsidP="004959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85D18" w:rsidRPr="00323776" w:rsidTr="00585D18"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Číslo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dokladu</w:t>
            </w: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Dodavatel</w:t>
            </w: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Způsobilé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výdaje</w:t>
            </w: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Zahrnuto do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ŽOP č.</w:t>
            </w: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Částka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výdajů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krácených</w:t>
            </w: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Podíl na</w:t>
            </w:r>
            <w:r w:rsidR="009C3937">
              <w:rPr>
                <w:rFonts w:ascii="Times New Roman" w:hAnsi="Times New Roman" w:cs="Times New Roman"/>
              </w:rPr>
              <w:t xml:space="preserve"> </w:t>
            </w:r>
            <w:r w:rsidRPr="004959E2">
              <w:rPr>
                <w:rFonts w:ascii="Times New Roman" w:hAnsi="Times New Roman" w:cs="Times New Roman"/>
              </w:rPr>
              <w:t>dotaci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převedené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Podnikem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Znalostní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organizaci</w:t>
            </w:r>
          </w:p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dne</w:t>
            </w:r>
          </w:p>
        </w:tc>
      </w:tr>
      <w:tr w:rsidR="00585D18" w:rsidRPr="00323776" w:rsidTr="00585D18"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:rsidR="00585D18" w:rsidRPr="004959E2" w:rsidRDefault="00585D18" w:rsidP="00495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5D18" w:rsidRPr="004959E2" w:rsidRDefault="00585D18" w:rsidP="00495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959E2">
        <w:rPr>
          <w:rFonts w:ascii="Times New Roman" w:hAnsi="Times New Roman" w:cs="Times New Roman"/>
        </w:rPr>
        <w:t>Evidenci využijí smluvní strany k vyúčtování dotace a na vyžádání jsou povinny ji poskytnout auditním a kontrolním orgánům.</w:t>
      </w:r>
    </w:p>
    <w:p w:rsidR="00585D18" w:rsidRDefault="00585D18" w:rsidP="00585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5D18" w:rsidRDefault="00585D18" w:rsidP="00585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Povinnosti Znalostní organizace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Veškeré odchylky od specifikace předmětu plnění mohou být prováděny Znalostní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organizací pouze tehdy, budou-li odsouhlaseny Podnikem a ve stanovených případech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poskytovatelem podpory (viz bod II.1). Jestliže Znalostní organizace provede práce a jiná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plnění nad tento rámec, nemá nárok na jejich zahrnutí do způsobilých výdajů projektu.</w:t>
      </w:r>
    </w:p>
    <w:p w:rsidR="00323776" w:rsidRPr="004959E2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je zodpovědná za poskytnutí odborné podpory Asistentovi 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Podniku při plnění jejich povinností a zavazuje se takovouto podporu poskytnout.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Znalostní organizace souhlasí </w:t>
      </w:r>
      <w:r w:rsidRPr="00323776">
        <w:rPr>
          <w:rFonts w:ascii="Times New Roman" w:hAnsi="Times New Roman" w:cs="Times New Roman"/>
        </w:rPr>
        <w:lastRenderedPageBreak/>
        <w:t>s uvolněním Akademického odborníka v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minimálním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rozsahu poloviny pracovní doby jednoho pracovního dne týdně za účelem shromáždění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nezbytných informací a poskytnutí nezbytné podpory Asistentovi při implementaci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na místě realizace Projektu, tj. v provozovně Podniku. Podpora Asistenta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zahrnuje také identifikaci oblastí, v nichž Asistent potřebuje proškolit, aby mohl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zodpovědně plnit své úkoly v rámci Projektu.</w:t>
      </w:r>
    </w:p>
    <w:p w:rsidR="00323776" w:rsidRPr="004959E2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se rovněž zavazuje nominovat jiného akademického pracovníka v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případech, kdy Akademický odborník není schopen potřebné služby poskytnout z důvodu,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že se jedná o služby v oblastech, které nespadají do jeho oboru a odbornosti.</w:t>
      </w:r>
      <w:r w:rsidR="00323776">
        <w:rPr>
          <w:rFonts w:ascii="Times New Roman" w:hAnsi="Times New Roman" w:cs="Times New Roman"/>
        </w:rPr>
        <w:t xml:space="preserve"> </w:t>
      </w:r>
    </w:p>
    <w:p w:rsidR="00323776" w:rsidRPr="004959E2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bere na vědomí, že podpořený Projekt představuje významnou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akademickou výzvu a zavazuje se věnovat veškeré opodstatněné úsilí následujícím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úkolům:</w:t>
      </w:r>
    </w:p>
    <w:p w:rsidR="00480FB5" w:rsidRPr="004959E2" w:rsidRDefault="00480FB5" w:rsidP="004959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Identifikovat a iniciovat přípravu a publikaci odborných textů vycházejících z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výstupů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Projektu. Příprava a následná publikace musí být v souladu s podmínkami Smlouvy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stanovenými níže. K zamezení pochybnostem, příprava a publikace takovýchto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akademických textů není započítávána do časového fondu Projektu, ačkoliv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shromažďování a analýzu dat nezbytných k podpoře Asistenta a Podniku v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průběhu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do časového fondu započítat lze.</w:t>
      </w:r>
    </w:p>
    <w:p w:rsidR="00323776" w:rsidRPr="004959E2" w:rsidRDefault="00480FB5" w:rsidP="004959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Identifikovat a iniciovat vznik studijních materiálů založených na Projektu, které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organizace následně využije v rámci svých vyučovacích aktivit.</w:t>
      </w:r>
    </w:p>
    <w:p w:rsidR="00323776" w:rsidRPr="004959E2" w:rsidRDefault="00480FB5" w:rsidP="004959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Identifikovat nová výzkumná témata v souvislosti s Projektem, včetně, ale ne pouze,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výzkumného projektu, jehož cílem je získání vyššího akademického titulu Asistentem.</w:t>
      </w:r>
    </w:p>
    <w:p w:rsidR="00480FB5" w:rsidRDefault="00480FB5" w:rsidP="004959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 případech, kdy realizace Projektu vyžaduje služby jiných než akademických pracovníků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univerzity a pokud jsou tyto aktivity zahrnuty ve schváleném projektovém plánu, má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organizace právo požadovat za tyto služby finanční náhradu ve výši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odsouhlasené Podnikem v rámci celkové finanční odměny za služby stanovené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 rozpočtu projektu. Pokud mají dodatečné služby formu školení nebo vzdělávání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prostřednictvím již existujících kurzů nebo vzdělávacích modulů poskytovaných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Univerzitou, tyto může Asistent navštěvovat bez nároku na finanční náhradu z Projektu.</w:t>
      </w:r>
    </w:p>
    <w:p w:rsidR="00E61F67" w:rsidRPr="00323776" w:rsidRDefault="00E61F67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323776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480FB5" w:rsidRPr="00323776">
        <w:rPr>
          <w:rFonts w:ascii="Times New Roman" w:hAnsi="Times New Roman" w:cs="Times New Roman"/>
          <w:b/>
          <w:bCs/>
        </w:rPr>
        <w:t>Povinnosti podniku</w:t>
      </w:r>
    </w:p>
    <w:p w:rsidR="00E61F67" w:rsidRDefault="00E61F67" w:rsidP="00E61F6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E61F67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61F67">
        <w:rPr>
          <w:rFonts w:ascii="Times New Roman" w:hAnsi="Times New Roman" w:cs="Times New Roman"/>
        </w:rPr>
        <w:t>Podnik se zavazuje plně spolupracovat se Znalostní organizací s cílem realizace Projektu</w:t>
      </w:r>
      <w:r w:rsidR="00323776" w:rsidRPr="00E61F67">
        <w:rPr>
          <w:rFonts w:ascii="Times New Roman" w:hAnsi="Times New Roman" w:cs="Times New Roman"/>
        </w:rPr>
        <w:t xml:space="preserve"> </w:t>
      </w:r>
      <w:r w:rsidRPr="00E61F67">
        <w:rPr>
          <w:rFonts w:ascii="Times New Roman" w:hAnsi="Times New Roman" w:cs="Times New Roman"/>
        </w:rPr>
        <w:t>za podmínek stanovených touto Výzvou.</w:t>
      </w:r>
    </w:p>
    <w:p w:rsidR="00480FB5" w:rsidRP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nominuje pracovníka z vedení Podniku (dále jen “Pověřený pracovník podniku”),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jehož místo výkonu práce se shoduje s místem výkonu práce Asistenta; tento pracovník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bude zodpovědný za vedení Asistenta a jeho podporu.</w:t>
      </w:r>
    </w:p>
    <w:p w:rsidR="00480FB5" w:rsidRP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umožní Znalostní organizaci použít data získaná v souvislosti s Projektem za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účelem jejich využití při vlastním výzkumu Znalostní organizace za podmínek stanovených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 této Smlouvě (viz bod VI.8).</w:t>
      </w:r>
    </w:p>
    <w:p w:rsidR="00480FB5" w:rsidRPr="00323776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se zavazuje poskytnout Asistentovi vybavení nezbytné k plnění úkolů v</w:t>
      </w:r>
      <w:r w:rsidR="00323776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rámci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a umožnit Asistentovi i Univerzitě přístup k vybavení, které bylo pořízeno pro účely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Projektu po předchozí dohodě obou Partnerů.</w:t>
      </w:r>
    </w:p>
    <w:p w:rsidR="00046597" w:rsidRDefault="00480FB5" w:rsidP="00E61F6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uvolní dalšího zástupce vedení Podniku, který bude předsedat pravidelným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formálním schůzím k řízení projektu tak, jak je popsáno v části Společné závazky partnerů</w:t>
      </w:r>
      <w:r w:rsidR="00323776">
        <w:rPr>
          <w:rFonts w:ascii="Times New Roman" w:hAnsi="Times New Roman" w:cs="Times New Roman"/>
        </w:rPr>
        <w:t xml:space="preserve"> </w:t>
      </w:r>
    </w:p>
    <w:p w:rsidR="00E61F67" w:rsidRDefault="00E61F67" w:rsidP="00E6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1F67" w:rsidRPr="00E61F67" w:rsidRDefault="00E61F67" w:rsidP="00E61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Společné závazky partnerů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dohodnou na plánu pravidelných a častých setkání zodpovědných pracovníků,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kterých se bude účastnit Pověřený pracovník Podniku, Asistent a Akademický odborník za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účelem koordinace aktivit, a tento plán schůzí budou plnit.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budou spolupracovat při přípravě Řídicích schůzí Projektu, jejichž účelem je</w:t>
      </w:r>
      <w:r w:rsidR="00323776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monitoring postupu Projektu, schvalování záležitostí, u kterých je na základě ustanovení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 xml:space="preserve">této Smlouvy </w:t>
      </w:r>
      <w:r w:rsidRPr="00323776">
        <w:rPr>
          <w:rFonts w:ascii="Times New Roman" w:hAnsi="Times New Roman" w:cs="Times New Roman"/>
        </w:rPr>
        <w:lastRenderedPageBreak/>
        <w:t>schválení nezbytné oběma partnery, příprava společného návrhu změn (viz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bod II2) a dále příprava monitorovacího reportu o postupu Projektu, dosažených výsledcích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 přínosech Projektu. Těchto setkání se budou účastnit minimálně, ale ne výhradně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následující osoby: Asistent, Akademický odborník, Pověřený pracovník podniku, další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zástupce vedení Podniku, který schůzím předsedá. Příprava, frekvence a reporting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 jednotlivých schůzí bude probíhat dle požadavků uvedených v Pokynech pro příjemce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podpory a dalších přílohách výzvy.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Veškerých setkání a řídicích schůzí projektu se může účastnit pověřená osoba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poskytovatele podpory (tzv. poradce znalostního transferu), která může partnerům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poskytnout nezávislou pomoc při implementaci projektu a řešení vzniklých problémů, může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se vyjadřovat ke změnám projektu včetně dílčích změn projektových úkolů, které musí být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schváleny oběma partnery, a dávat v tomto ohledu partnerům doporučení v</w:t>
      </w:r>
      <w:r w:rsidR="00A62091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souladu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parametry programu a principy znalostního transferu. Pověřená osoba je dále oprávněna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 provedení nezávislého hodnocení průběhu projektu a předání veškerých závěrů 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doporučení poskytovateli podpory.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budou podílet na přípravě materiálů, které budou sloužit jako záznam o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záležitostech řešených během setkání a o dohodách uzavřených na těchto setkáních. Tyto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materiály poskytnou poskytovateli podpory ve formě oficiálního záznamu o učiněných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rozhodnutích nebo návrhu změn včetně změn projektových úkolů v Projektovém plánu,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bez těchto záznamů nelze změny úkolů v Projektového plánu považovat za platné.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bere na vědomí, že klíčovým prvkem pro úspěch Projektu jsou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schopnosti a dovednosti Asistenta vykonávat činnosti vyžadované v rámci Projektu 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efektivně využívat podporu Akademického odborníka. Znalostní organizace souhlasí s tím,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že Podnik se bude účastnit výběrového řízení na tuto pozici a rozhodnutí o nabídce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pracovního poměru Asistentovi. Bez společné dohody nebude možné pracovní poměr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Asistentem uzavřít. Znalostní organizace zaměstná Asistenta na dobu trvání Projektu a</w:t>
      </w:r>
      <w:r w:rsidR="00A62091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zajistí mu pracovní podmínky v souladu s běžnými pracovními podmínkami Podniku.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Asistent musí být zaměstnán na plný úvazek a 100% fondu pracovní doby bude věnovat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plnění projektu, který je realizován v provozovně podniku specifikované v žádosti 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podporu. Pro zamezení pochybností, projektové úkoly, které Asistent provádí u Znalostní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organizace, se započítávají do této doby, a to včetně účasti na školicích a vzdělávacích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aktivitách, které odsouhlasí oba Partneři.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zavazují, že vyjma případů, kdy to bylo předem schváleno druhým z Partnerů,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žádný z Partnerů nedá jakékoli třetí straně k dispozici informace získané v souvislosti s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Projektem, informace obsažené v jakémkoli dokumentu nebo korespondenci určeným pro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vnitřní potřebu, nebo jakékoli obchodní nebo podnikatelské informace získané v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souvislosti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plněním této Smlouvy v místě podnikání druhého z Partnerů, v jeho laboratořích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kancelářích. V případě nejasností je nutno s informacemi a materiály zacházet jako s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důvěrnými, dokud není získáno vyjádření druhého z Partnerů.</w:t>
      </w:r>
    </w:p>
    <w:p w:rsidR="00CF5BA5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Default="00480FB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Tento závazek je platný do chvíle, kdy Partner prokáže, že jím získané informace mu již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byly v době jejich získání nebo odhalení známy, nebo že již v té době byly zveřejněny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 jejich zveřejnění následně došlo nikoliv prostřednictvím pochybení tohoto Partnera.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Tyto závazky žádným způsobem neomezují právo Podniku využívat jakékoli informace,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výsledky nebo vynálezy nebo jiné materiály, ke kterým ho opravňují ustanovení této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Smlouvy.</w:t>
      </w:r>
    </w:p>
    <w:p w:rsidR="00CF5BA5" w:rsidRPr="00323776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Default="00480FB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zavazují přijmout veškerá dostupná opatření k minimalizaci rizika nezáměrného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prozrazení důvěrných informací, včetně vhodného a bezpečného ukládání dokumentů,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nákresů, vzorků nebo jiných důvěrných materiálů.</w:t>
      </w:r>
    </w:p>
    <w:p w:rsidR="00CF5BA5" w:rsidRPr="00323776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Default="00480FB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omezí přístup k důvěrným informacím o Podniku pouze na okruh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zaměstnanců, u kterých nutnost obeznámení se s takovýmito informacemi vyplývá ze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závazků této Smlouvy a kteří jsou vázáni povinností zachovávat mlčenlivost srovnatelnou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 povinnostmi vyplývajícími z této Smlouvy.</w:t>
      </w:r>
    </w:p>
    <w:p w:rsidR="00CF5BA5" w:rsidRPr="00323776" w:rsidRDefault="00CF5BA5" w:rsidP="00E61F67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je srozuměn s tím, že Znalostní organizace může mít zájem na využití dat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informací vztahujících se k Projektu k vlastnímu výzkumu, přípravě materiálů s využitím ve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výuce nebo pro publikaci prací v odborných periodicích. Znalostní organizace musí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požádat Podnik o vyjádření, jestli obsah takovéto práce nebo materiálu neodhaluje jakékoli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důvěrné informace z oblasti výstupů projektu, neboť jejich zveřejnění může podle názoru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Podniku omezit využití výstupů Projektu ke komerčním účelům Podniku.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Tato Smlouva žádným způsobem neovlivňuje vlastnická práva vztahující se k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jakémukoli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duševnímu vlastnictví vyplývajícímu z minulosti nebo vztahující se k jiným technologiím,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návrhům, výsledkům, vynálezům, softwaru, datům, technologickým postupům, know-how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nebo materiálům, které nejsou výsledkem Projektu. Práva duševního vlastnictví k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výše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uvedenému zůstávají majetkem té ze stran, která je do společného Projektu přináší (nebo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majetkem poskytovatelů licence k nim).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Partneři se mohou kdykoli dohodnout na uzavření zvláštní dohody či smlouvy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 vytvořenému duševnímu vlastnictví a způsobu jeho ochrany.</w:t>
      </w:r>
    </w:p>
    <w:p w:rsidR="00480FB5" w:rsidRPr="00323776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Jakákoli dohoda či smlouva o duševním vlastnictví musí vždy splňovat alespoň jednu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 následujících podmínek:</w:t>
      </w:r>
    </w:p>
    <w:p w:rsidR="00480FB5" w:rsidRPr="00323776" w:rsidRDefault="00480FB5" w:rsidP="00F56AD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výsledky spolupráce, které nemají za následek vznik práv duševního vlastnictví,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lze veřejně šířit a práva duševního vlastnictví vzniklá z činnosti znalostní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organizace plně náleží této organizaci, nebo</w:t>
      </w:r>
    </w:p>
    <w:p w:rsidR="00480FB5" w:rsidRPr="00323776" w:rsidRDefault="00480FB5" w:rsidP="00F56AD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práva duševního vlastnictví vzniklá z projektu, jakož i související přístupová práva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jsou mezi spolupracující partnerské subjekty rozdělena tak, aby byly náležitě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zohledněny jejich pracovní oblasti, příspěvky a příslušné zájmy, nebo</w:t>
      </w:r>
    </w:p>
    <w:p w:rsidR="00480FB5" w:rsidRPr="00323776" w:rsidRDefault="00480FB5" w:rsidP="00F56AD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obdrží za práva duševního vlastnictví, jež vznikla v</w:t>
      </w:r>
      <w:r w:rsidR="00CF5BA5">
        <w:rPr>
          <w:rFonts w:ascii="Times New Roman" w:hAnsi="Times New Roman" w:cs="Times New Roman"/>
        </w:rPr>
        <w:t> </w:t>
      </w:r>
      <w:r w:rsidRPr="00323776">
        <w:rPr>
          <w:rFonts w:ascii="Times New Roman" w:hAnsi="Times New Roman" w:cs="Times New Roman"/>
        </w:rPr>
        <w:t>důsledku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její činností a jsou postoupena partnerskému podniku nebo k nimž získal podnik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přístupová práva, náhradu odpovídající tržní ceně. Od této náhrady lze odečíst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absolutní výši hodnoty veškerých finančních či nefinančních příspěvků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partnerského podniku na náklady činností výzkumných organizací nebo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výzkumných infrastruktur, jež měly za následek vznik dotčených práv duševního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vlastnictví.</w:t>
      </w:r>
    </w:p>
    <w:p w:rsidR="00480FB5" w:rsidRDefault="00480FB5" w:rsidP="00E61F6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Veškerý zisk z transferu znalostí prováděného organizací pro výzkum a šíření znalostí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musí být znovu investován do primární činnosti této organizace</w:t>
      </w:r>
      <w:r w:rsidR="00CF5BA5" w:rsidRPr="00E61F67">
        <w:footnoteReference w:id="1"/>
      </w:r>
      <w:r w:rsidRPr="00323776">
        <w:rPr>
          <w:rFonts w:ascii="Times New Roman" w:hAnsi="Times New Roman" w:cs="Times New Roman"/>
        </w:rPr>
        <w:t>. Za zisk jsou považovány</w:t>
      </w:r>
      <w:r w:rsidR="00CF5BA5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výnosy z práv duševního vlastnictví, pokud v důsledku aktivit projektu vzniknou.</w:t>
      </w:r>
    </w:p>
    <w:p w:rsidR="00CF5BA5" w:rsidRPr="00323776" w:rsidRDefault="00CF5BA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Trvání smlouvy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780D6A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80D6A">
        <w:rPr>
          <w:rFonts w:ascii="Times New Roman" w:hAnsi="Times New Roman" w:cs="Times New Roman"/>
        </w:rPr>
        <w:t>Tato smlouva se uzavírá na dobu určitou v souladu s dobou trvání projektu.</w:t>
      </w:r>
    </w:p>
    <w:p w:rsidR="00480FB5" w:rsidRPr="00323776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Podnik může v případě, že Znalostní organizace neplní povinnosti stanovené touto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Smlouvou řádně a včas, smlouvu v celém rozsahu vypovědět písemnou formou s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účinností ke konci kalendářního měsíce následujícího po měsíci, v němž byla výpověď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organizaci doručena.</w:t>
      </w:r>
    </w:p>
    <w:p w:rsidR="00480FB5" w:rsidRPr="00323776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Znalostní organizace může v případě, že podnik neplní povinnosti stanovené touto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Smlouvou řádně a včas, smlouvu v celém rozsahu vypovědět s účinností ke konci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kalendářního měsíce následujícího po měsíci, v němž byla výpověď mandantovi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doručena.</w:t>
      </w:r>
    </w:p>
    <w:p w:rsidR="004959E2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V případě neplnění povinností Smlouvy ze strany podniku, odpovídá podnik za škody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způsobené Znalostní organizaci. V případě neplnění povinností Smlouvy ze strany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Znalostní organizace, ztrácí nárok na podporu za uskutečněnou činnost.</w:t>
      </w:r>
      <w:r w:rsidR="004959E2">
        <w:rPr>
          <w:rFonts w:ascii="Times New Roman" w:hAnsi="Times New Roman" w:cs="Times New Roman"/>
        </w:rPr>
        <w:t xml:space="preserve"> </w:t>
      </w:r>
    </w:p>
    <w:p w:rsidR="004959E2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Podpora může být poskytovatelem podpory poskytnuta pouze při splnění Podmínek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poskytnutí dotace a všech podmínek stanovených Smlouvou.</w:t>
      </w:r>
      <w:r w:rsidR="004959E2">
        <w:rPr>
          <w:rFonts w:ascii="Times New Roman" w:hAnsi="Times New Roman" w:cs="Times New Roman"/>
        </w:rPr>
        <w:t xml:space="preserve"> </w:t>
      </w:r>
    </w:p>
    <w:p w:rsidR="00480FB5" w:rsidRPr="00323776" w:rsidRDefault="00480FB5" w:rsidP="00780D6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Pokud partner neplní své povinnosti podle smlouvy a poskytovatel v důsledku toho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rozhodne o ukončení projektu, je partner povinen vrátit příjemci poskytnuté finanční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prostředky, a to způsobem, který stanoví poskytovatel. Smluvní strany se dohodly na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vrácení poskytnuté dotace pro případ, že nejsou plněny podmínky smlouvy nebo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závazných právních předpisů a jiných dokumentů ve vazbě na realizaci projektu.</w:t>
      </w: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Pr="00323776" w:rsidRDefault="00480FB5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80FB5" w:rsidRDefault="00480FB5" w:rsidP="0032377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29"/>
        <w:jc w:val="center"/>
        <w:rPr>
          <w:rFonts w:ascii="Times New Roman" w:hAnsi="Times New Roman" w:cs="Times New Roman"/>
          <w:b/>
          <w:bCs/>
        </w:rPr>
      </w:pPr>
      <w:r w:rsidRPr="00323776">
        <w:rPr>
          <w:rFonts w:ascii="Times New Roman" w:hAnsi="Times New Roman" w:cs="Times New Roman"/>
          <w:b/>
          <w:bCs/>
        </w:rPr>
        <w:t>Závěrečná ustanovení</w:t>
      </w:r>
    </w:p>
    <w:p w:rsidR="00323776" w:rsidRPr="00323776" w:rsidRDefault="00323776" w:rsidP="00323776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:rsidR="00480FB5" w:rsidRPr="00780D6A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80D6A">
        <w:rPr>
          <w:rFonts w:ascii="Times New Roman" w:hAnsi="Times New Roman" w:cs="Times New Roman"/>
        </w:rPr>
        <w:t>Tato smlouva se uzavírá v písemné formě, přičemž veškeré její změny je možno učinit</w:t>
      </w:r>
      <w:r w:rsidR="004959E2" w:rsidRPr="00780D6A">
        <w:rPr>
          <w:rFonts w:ascii="Times New Roman" w:hAnsi="Times New Roman" w:cs="Times New Roman"/>
        </w:rPr>
        <w:t xml:space="preserve"> </w:t>
      </w:r>
      <w:r w:rsidRPr="00780D6A">
        <w:rPr>
          <w:rFonts w:ascii="Times New Roman" w:hAnsi="Times New Roman" w:cs="Times New Roman"/>
        </w:rPr>
        <w:t>jen</w:t>
      </w:r>
      <w:r w:rsidR="00780D6A" w:rsidRPr="00780D6A">
        <w:rPr>
          <w:rFonts w:ascii="Times New Roman" w:hAnsi="Times New Roman" w:cs="Times New Roman"/>
        </w:rPr>
        <w:t xml:space="preserve"> </w:t>
      </w:r>
      <w:r w:rsidRPr="00780D6A">
        <w:rPr>
          <w:rFonts w:ascii="Times New Roman" w:hAnsi="Times New Roman" w:cs="Times New Roman"/>
        </w:rPr>
        <w:t>v písemné formě na základě úplného a vzájemného konsensu všech stran této smlouvy.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Tato smlouva byla sepsána ve třech vyhotoveních, z nichž po jednom obdrží každá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smluvních stran a poskytovatel podpory.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Tato smlouva nabývá platnosti a účinnosti okamžikem jejího podpisu všemi účastníky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Smlouvy.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Smluvní strany na závěr této smlouvy výslovně prohlašují, že jim nejsou známy žádné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okolnosti bránící v uzavření této smlouvy, kterou si řádně a pozorně přečetly a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porozuměly jejímu obsahu. Smlouva je projevem jejich svobodné a pravé vůle a na důkaz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uvedeného připojují v závěru smlouvy podpisy osob oprávněných k podepisování.</w:t>
      </w:r>
    </w:p>
    <w:p w:rsidR="00480FB5" w:rsidRPr="00323776" w:rsidRDefault="00480FB5" w:rsidP="00780D6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23776">
        <w:rPr>
          <w:rFonts w:ascii="Times New Roman" w:hAnsi="Times New Roman" w:cs="Times New Roman"/>
        </w:rPr>
        <w:t>Případné spory smluvních stan budou řešeny u věcně a místně příslušného soudu</w:t>
      </w:r>
      <w:r w:rsidR="004959E2">
        <w:rPr>
          <w:rFonts w:ascii="Times New Roman" w:hAnsi="Times New Roman" w:cs="Times New Roman"/>
        </w:rPr>
        <w:t xml:space="preserve"> </w:t>
      </w:r>
      <w:r w:rsidRPr="00323776">
        <w:rPr>
          <w:rFonts w:ascii="Times New Roman" w:hAnsi="Times New Roman" w:cs="Times New Roman"/>
        </w:rPr>
        <w:t>obecního soudu České republiky.</w:t>
      </w:r>
    </w:p>
    <w:p w:rsidR="00323776" w:rsidRPr="00323776" w:rsidRDefault="00323776" w:rsidP="00323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23776" w:rsidRPr="004959E2" w:rsidRDefault="00323776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0FB5" w:rsidRPr="004959E2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0FB5" w:rsidRPr="004959E2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59E2">
        <w:rPr>
          <w:rFonts w:ascii="Times New Roman" w:hAnsi="Times New Roman" w:cs="Times New Roman"/>
        </w:rPr>
        <w:t>V …………………………………. Dne…………………………….</w:t>
      </w:r>
    </w:p>
    <w:p w:rsidR="00480FB5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959E2" w:rsidRPr="004959E2" w:rsidRDefault="004959E2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80FB5" w:rsidRPr="004959E2" w:rsidRDefault="00480FB5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480FB5" w:rsidRPr="004959E2" w:rsidTr="004959E2">
        <w:tc>
          <w:tcPr>
            <w:tcW w:w="4606" w:type="dxa"/>
          </w:tcPr>
          <w:p w:rsidR="00480FB5" w:rsidRPr="004959E2" w:rsidRDefault="00480FB5" w:rsidP="0048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480FB5" w:rsidRPr="004959E2" w:rsidRDefault="009C3937" w:rsidP="009C3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80FB5" w:rsidRPr="004959E2">
              <w:rPr>
                <w:rFonts w:ascii="Times New Roman" w:hAnsi="Times New Roman" w:cs="Times New Roman"/>
              </w:rPr>
              <w:t>odnik</w:t>
            </w:r>
          </w:p>
        </w:tc>
        <w:tc>
          <w:tcPr>
            <w:tcW w:w="4606" w:type="dxa"/>
          </w:tcPr>
          <w:p w:rsidR="00480FB5" w:rsidRPr="004959E2" w:rsidRDefault="00480FB5" w:rsidP="00480F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480FB5" w:rsidRPr="004959E2" w:rsidRDefault="00480FB5" w:rsidP="009C39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959E2">
              <w:rPr>
                <w:rFonts w:ascii="Times New Roman" w:hAnsi="Times New Roman" w:cs="Times New Roman"/>
              </w:rPr>
              <w:t>Znalostní organizac</w:t>
            </w:r>
            <w:r w:rsidR="009C3937">
              <w:rPr>
                <w:rFonts w:ascii="Times New Roman" w:hAnsi="Times New Roman" w:cs="Times New Roman"/>
              </w:rPr>
              <w:t>e</w:t>
            </w:r>
          </w:p>
        </w:tc>
      </w:tr>
    </w:tbl>
    <w:p w:rsidR="00CF1B47" w:rsidRPr="00FF2828" w:rsidRDefault="00CF1B47" w:rsidP="00480F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CF1B47" w:rsidRPr="00FF28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F9" w:rsidRDefault="001C3BF9" w:rsidP="00585D18">
      <w:pPr>
        <w:spacing w:after="0" w:line="240" w:lineRule="auto"/>
      </w:pPr>
      <w:r>
        <w:separator/>
      </w:r>
    </w:p>
  </w:endnote>
  <w:endnote w:type="continuationSeparator" w:id="0">
    <w:p w:rsidR="001C3BF9" w:rsidRDefault="001C3BF9" w:rsidP="0058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85332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80FB5" w:rsidRPr="00585D18" w:rsidRDefault="00480FB5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585D18">
              <w:rPr>
                <w:rFonts w:ascii="Times New Roman" w:hAnsi="Times New Roman" w:cs="Times New Roman"/>
              </w:rPr>
              <w:t xml:space="preserve">Stránka 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5D18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8302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585D18">
              <w:rPr>
                <w:rFonts w:ascii="Times New Roman" w:hAnsi="Times New Roman" w:cs="Times New Roman"/>
              </w:rPr>
              <w:t xml:space="preserve"> z 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585D18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83021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585D18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480FB5" w:rsidRDefault="00480F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F9" w:rsidRDefault="001C3BF9" w:rsidP="00585D18">
      <w:pPr>
        <w:spacing w:after="0" w:line="240" w:lineRule="auto"/>
      </w:pPr>
      <w:r>
        <w:separator/>
      </w:r>
    </w:p>
  </w:footnote>
  <w:footnote w:type="continuationSeparator" w:id="0">
    <w:p w:rsidR="001C3BF9" w:rsidRDefault="001C3BF9" w:rsidP="00585D18">
      <w:pPr>
        <w:spacing w:after="0" w:line="240" w:lineRule="auto"/>
      </w:pPr>
      <w:r>
        <w:continuationSeparator/>
      </w:r>
    </w:p>
  </w:footnote>
  <w:footnote w:id="1">
    <w:p w:rsidR="00CF5BA5" w:rsidRPr="00CF5BA5" w:rsidRDefault="00CF5BA5" w:rsidP="00CF5B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CF5BA5">
        <w:rPr>
          <w:rFonts w:ascii="Times New Roman" w:hAnsi="Times New Roman" w:cs="Times New Roman"/>
          <w:sz w:val="16"/>
          <w:szCs w:val="16"/>
        </w:rPr>
        <w:t xml:space="preserve">Za </w:t>
      </w:r>
      <w:r w:rsidRPr="00CF5BA5">
        <w:rPr>
          <w:rFonts w:ascii="Times New Roman" w:hAnsi="Times New Roman" w:cs="Times New Roman"/>
          <w:b/>
          <w:bCs/>
          <w:sz w:val="16"/>
          <w:szCs w:val="16"/>
        </w:rPr>
        <w:t xml:space="preserve">primární činnosti </w:t>
      </w:r>
      <w:r w:rsidRPr="00CF5BA5">
        <w:rPr>
          <w:rFonts w:ascii="Times New Roman" w:hAnsi="Times New Roman" w:cs="Times New Roman"/>
          <w:sz w:val="16"/>
          <w:szCs w:val="16"/>
        </w:rPr>
        <w:t>výzkumných organizací se považují:</w:t>
      </w:r>
    </w:p>
    <w:p w:rsidR="00CF5BA5" w:rsidRPr="00CF5BA5" w:rsidRDefault="00CF5BA5" w:rsidP="00CF5B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5BA5">
        <w:rPr>
          <w:rFonts w:ascii="Times New Roman" w:hAnsi="Times New Roman" w:cs="Times New Roman"/>
          <w:sz w:val="16"/>
          <w:szCs w:val="16"/>
        </w:rPr>
        <w:t>vzdělávání s cílem zvýšit počty a zlepšit kvalifikaci lidských zdrojů, přičemž se jedná o veřejné vzdělávání organizované v rámci státního vzdělávacího systému, jež je z velké části nebo zcela financováno ze státních prostředků a je státem kontrolováno,</w:t>
      </w:r>
    </w:p>
    <w:p w:rsidR="00CF5BA5" w:rsidRPr="00CF5BA5" w:rsidRDefault="00CF5BA5" w:rsidP="00CF5B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5BA5">
        <w:rPr>
          <w:rFonts w:ascii="Times New Roman" w:hAnsi="Times New Roman" w:cs="Times New Roman"/>
          <w:sz w:val="16"/>
          <w:szCs w:val="16"/>
        </w:rPr>
        <w:t>nezávislý výzkum a vývoj (VaV) s cílem získat nové poznatky a lépe pochopit dané téma, včetně kooperativního VaV, pokud je spolupráce, do níž je výzkumná organizace nebo výzkumná infrastruktura zapojena, účinná. Poskytování služeb v oblasti VaV prováděných jménem podniků se nepovažují za nezávislý VaV,</w:t>
      </w:r>
    </w:p>
    <w:p w:rsidR="00CF5BA5" w:rsidRPr="00CF5BA5" w:rsidRDefault="00CF5BA5" w:rsidP="00CF5BA5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F5BA5">
        <w:rPr>
          <w:rFonts w:ascii="Times New Roman" w:hAnsi="Times New Roman" w:cs="Times New Roman"/>
          <w:sz w:val="16"/>
          <w:szCs w:val="16"/>
        </w:rPr>
        <w:t>veřejné šíření výsledků výzkumu na nevýlučném a nediskriminačním základě, například prostřednictvím výuky, databází s otevřeným přístupem, veřejně přístupných publikací či otevřeného softwaru.</w:t>
      </w:r>
    </w:p>
    <w:p w:rsidR="00CF5BA5" w:rsidRDefault="00CF5BA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B5" w:rsidRDefault="00480FB5">
    <w:pPr>
      <w:pStyle w:val="Zhlav"/>
    </w:pPr>
    <w:r w:rsidRPr="00585D18">
      <w:rPr>
        <w:noProof/>
        <w:lang w:eastAsia="cs-CZ"/>
      </w:rPr>
      <w:drawing>
        <wp:inline distT="0" distB="0" distL="0" distR="0" wp14:anchorId="3F84E91E" wp14:editId="68EFFF9C">
          <wp:extent cx="1781175" cy="55566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555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585D18">
      <w:rPr>
        <w:noProof/>
        <w:lang w:eastAsia="cs-CZ"/>
      </w:rPr>
      <w:drawing>
        <wp:inline distT="0" distB="0" distL="0" distR="0" wp14:anchorId="5A2DEA19" wp14:editId="2E7AA689">
          <wp:extent cx="1076325" cy="57621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6325" cy="576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FB5" w:rsidRDefault="00480F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A85"/>
    <w:multiLevelType w:val="hybridMultilevel"/>
    <w:tmpl w:val="2FE4A74A"/>
    <w:lvl w:ilvl="0" w:tplc="D21C3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3EE1"/>
    <w:multiLevelType w:val="hybridMultilevel"/>
    <w:tmpl w:val="DA8CC586"/>
    <w:lvl w:ilvl="0" w:tplc="3080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83B80"/>
    <w:multiLevelType w:val="hybridMultilevel"/>
    <w:tmpl w:val="D5BAC9B0"/>
    <w:lvl w:ilvl="0" w:tplc="30AEE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C0A27"/>
    <w:multiLevelType w:val="hybridMultilevel"/>
    <w:tmpl w:val="58AC4F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8726E0"/>
    <w:multiLevelType w:val="hybridMultilevel"/>
    <w:tmpl w:val="1AD6E1BC"/>
    <w:lvl w:ilvl="0" w:tplc="4E2EC4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4105F"/>
    <w:multiLevelType w:val="hybridMultilevel"/>
    <w:tmpl w:val="9E768E22"/>
    <w:lvl w:ilvl="0" w:tplc="96969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6B42C9"/>
    <w:multiLevelType w:val="hybridMultilevel"/>
    <w:tmpl w:val="AED490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F14FB"/>
    <w:multiLevelType w:val="hybridMultilevel"/>
    <w:tmpl w:val="0BBC6924"/>
    <w:lvl w:ilvl="0" w:tplc="D2D4B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B19BC"/>
    <w:multiLevelType w:val="hybridMultilevel"/>
    <w:tmpl w:val="D87819D2"/>
    <w:lvl w:ilvl="0" w:tplc="210086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15B3A"/>
    <w:multiLevelType w:val="hybridMultilevel"/>
    <w:tmpl w:val="2AB4AA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95A75"/>
    <w:multiLevelType w:val="hybridMultilevel"/>
    <w:tmpl w:val="F34A1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155E87"/>
    <w:multiLevelType w:val="hybridMultilevel"/>
    <w:tmpl w:val="424E3CD4"/>
    <w:lvl w:ilvl="0" w:tplc="6CCC5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6C"/>
    <w:rsid w:val="00046597"/>
    <w:rsid w:val="000C2B6C"/>
    <w:rsid w:val="00154FBE"/>
    <w:rsid w:val="001C3BF9"/>
    <w:rsid w:val="002059E1"/>
    <w:rsid w:val="00212231"/>
    <w:rsid w:val="00265575"/>
    <w:rsid w:val="00323776"/>
    <w:rsid w:val="00381D6D"/>
    <w:rsid w:val="003A0A05"/>
    <w:rsid w:val="00403F6E"/>
    <w:rsid w:val="00480FB5"/>
    <w:rsid w:val="004959E2"/>
    <w:rsid w:val="004B17F9"/>
    <w:rsid w:val="00575335"/>
    <w:rsid w:val="00585D18"/>
    <w:rsid w:val="005C71CA"/>
    <w:rsid w:val="006011BD"/>
    <w:rsid w:val="0060510E"/>
    <w:rsid w:val="006975C0"/>
    <w:rsid w:val="006B2055"/>
    <w:rsid w:val="006F5D16"/>
    <w:rsid w:val="00780D6A"/>
    <w:rsid w:val="007C5A87"/>
    <w:rsid w:val="007F5D99"/>
    <w:rsid w:val="008B6CF8"/>
    <w:rsid w:val="008C084B"/>
    <w:rsid w:val="008D4591"/>
    <w:rsid w:val="009032B9"/>
    <w:rsid w:val="009C3937"/>
    <w:rsid w:val="00A62091"/>
    <w:rsid w:val="00A74D4F"/>
    <w:rsid w:val="00AA6477"/>
    <w:rsid w:val="00AF1B03"/>
    <w:rsid w:val="00CF1B47"/>
    <w:rsid w:val="00CF5BA5"/>
    <w:rsid w:val="00E61F67"/>
    <w:rsid w:val="00F53EA1"/>
    <w:rsid w:val="00F56ADC"/>
    <w:rsid w:val="00F83021"/>
    <w:rsid w:val="00FD5235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8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D18"/>
  </w:style>
  <w:style w:type="paragraph" w:styleId="Zpat">
    <w:name w:val="footer"/>
    <w:basedOn w:val="Normln"/>
    <w:link w:val="Zpat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D18"/>
  </w:style>
  <w:style w:type="paragraph" w:styleId="Textbubliny">
    <w:name w:val="Balloon Text"/>
    <w:basedOn w:val="Normln"/>
    <w:link w:val="TextbublinyChar"/>
    <w:uiPriority w:val="99"/>
    <w:semiHidden/>
    <w:unhideWhenUsed/>
    <w:rsid w:val="0058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B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B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BA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753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3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3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3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3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8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D18"/>
  </w:style>
  <w:style w:type="paragraph" w:styleId="Zpat">
    <w:name w:val="footer"/>
    <w:basedOn w:val="Normln"/>
    <w:link w:val="ZpatChar"/>
    <w:uiPriority w:val="99"/>
    <w:unhideWhenUsed/>
    <w:rsid w:val="0058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D18"/>
  </w:style>
  <w:style w:type="paragraph" w:styleId="Textbubliny">
    <w:name w:val="Balloon Text"/>
    <w:basedOn w:val="Normln"/>
    <w:link w:val="TextbublinyChar"/>
    <w:uiPriority w:val="99"/>
    <w:semiHidden/>
    <w:unhideWhenUsed/>
    <w:rsid w:val="0058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D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8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B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B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5BA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753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3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3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3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5130-6D78-4832-A3E3-B72AD88B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2638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Blanka GREBEŇOVÁ</cp:lastModifiedBy>
  <cp:revision>2</cp:revision>
  <cp:lastPrinted>2016-12-15T13:07:00Z</cp:lastPrinted>
  <dcterms:created xsi:type="dcterms:W3CDTF">2017-01-17T08:03:00Z</dcterms:created>
  <dcterms:modified xsi:type="dcterms:W3CDTF">2017-01-17T08:03:00Z</dcterms:modified>
</cp:coreProperties>
</file>