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E1" w:rsidRPr="00FF2828" w:rsidRDefault="000C2B6C" w:rsidP="00FF28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F2828">
        <w:rPr>
          <w:rFonts w:ascii="Times New Roman" w:hAnsi="Times New Roman" w:cs="Times New Roman"/>
          <w:sz w:val="40"/>
          <w:szCs w:val="40"/>
        </w:rPr>
        <w:t>Partnerská smlouva</w:t>
      </w:r>
    </w:p>
    <w:p w:rsidR="00FF2828" w:rsidRPr="00FF2828" w:rsidRDefault="00FF2828" w:rsidP="00FF2828">
      <w:pPr>
        <w:spacing w:after="0" w:line="240" w:lineRule="auto"/>
        <w:rPr>
          <w:rFonts w:ascii="Times New Roman" w:hAnsi="Times New Roman" w:cs="Times New Roman"/>
        </w:rPr>
      </w:pP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2828">
        <w:rPr>
          <w:rFonts w:ascii="Times New Roman" w:hAnsi="Times New Roman" w:cs="Times New Roman"/>
          <w:b/>
          <w:bCs/>
        </w:rPr>
        <w:t>Podnik</w:t>
      </w:r>
      <w:r w:rsidR="00FF2828" w:rsidRPr="00FF2828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FC7BC8" w:rsidRPr="00FC7BC8">
        <w:rPr>
          <w:rFonts w:ascii="Times New Roman" w:hAnsi="Times New Roman" w:cs="Times New Roman"/>
          <w:bCs/>
        </w:rPr>
        <w:t>SoftHouse</w:t>
      </w:r>
      <w:proofErr w:type="spellEnd"/>
      <w:r w:rsidR="00FC7BC8" w:rsidRPr="00FC7BC8">
        <w:rPr>
          <w:rFonts w:ascii="Times New Roman" w:hAnsi="Times New Roman" w:cs="Times New Roman"/>
          <w:bCs/>
        </w:rPr>
        <w:t>, s.r.o.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zastoupená </w:t>
      </w:r>
      <w:r w:rsidR="00FC7BC8">
        <w:rPr>
          <w:rFonts w:ascii="Times New Roman" w:hAnsi="Times New Roman" w:cs="Times New Roman"/>
        </w:rPr>
        <w:t>Janem Dobiášem</w:t>
      </w:r>
      <w:r w:rsidRPr="00FF2828">
        <w:rPr>
          <w:rFonts w:ascii="Times New Roman" w:hAnsi="Times New Roman" w:cs="Times New Roman"/>
        </w:rPr>
        <w:t>, jednatelem společnosti</w:t>
      </w:r>
    </w:p>
    <w:p w:rsidR="00FC7BC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se sídlem </w:t>
      </w:r>
      <w:r w:rsidR="00FC7BC8" w:rsidRPr="00FC7BC8">
        <w:rPr>
          <w:rFonts w:ascii="Times New Roman" w:hAnsi="Times New Roman" w:cs="Times New Roman"/>
        </w:rPr>
        <w:t xml:space="preserve">Plzeň, Na Radosti 50/4, PSČ 31213 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zapsaná u </w:t>
      </w:r>
      <w:r w:rsidR="00FC7BC8">
        <w:rPr>
          <w:rFonts w:ascii="Times New Roman" w:hAnsi="Times New Roman" w:cs="Times New Roman"/>
        </w:rPr>
        <w:t>Krajského soudu v Plzni</w:t>
      </w:r>
      <w:r w:rsidRPr="00FF2828">
        <w:rPr>
          <w:rFonts w:ascii="Times New Roman" w:hAnsi="Times New Roman" w:cs="Times New Roman"/>
        </w:rPr>
        <w:t xml:space="preserve">, oddíl C, vložka </w:t>
      </w:r>
      <w:r w:rsidR="00FC7BC8">
        <w:rPr>
          <w:rFonts w:ascii="Times New Roman" w:hAnsi="Times New Roman" w:cs="Times New Roman"/>
        </w:rPr>
        <w:t>16659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IČ: </w:t>
      </w:r>
      <w:r w:rsidR="00FC7BC8" w:rsidRPr="00FC7BC8">
        <w:rPr>
          <w:rFonts w:ascii="Times New Roman" w:hAnsi="Times New Roman" w:cs="Times New Roman"/>
        </w:rPr>
        <w:t>26379945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DIČ: CZ</w:t>
      </w:r>
      <w:r w:rsidR="00FC7BC8" w:rsidRPr="00FC7BC8">
        <w:t xml:space="preserve"> </w:t>
      </w:r>
      <w:r w:rsidR="00FC7BC8" w:rsidRPr="00FC7BC8">
        <w:rPr>
          <w:rFonts w:ascii="Times New Roman" w:hAnsi="Times New Roman" w:cs="Times New Roman"/>
        </w:rPr>
        <w:t>26379945</w:t>
      </w:r>
    </w:p>
    <w:p w:rsidR="00546086" w:rsidRDefault="000C2B6C" w:rsidP="00546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Bankovní spojení: </w:t>
      </w:r>
      <w:proofErr w:type="spellStart"/>
      <w:r w:rsidR="00546086" w:rsidRPr="009219C4">
        <w:rPr>
          <w:rFonts w:ascii="Times New Roman" w:hAnsi="Times New Roman" w:cs="Times New Roman"/>
        </w:rPr>
        <w:t>Raiffeisenbank</w:t>
      </w:r>
      <w:proofErr w:type="spellEnd"/>
      <w:r w:rsidR="00546086" w:rsidRPr="009219C4">
        <w:rPr>
          <w:rFonts w:ascii="Times New Roman" w:hAnsi="Times New Roman" w:cs="Times New Roman"/>
        </w:rPr>
        <w:t xml:space="preserve"> a.s.</w:t>
      </w:r>
      <w:r w:rsidR="00546086" w:rsidRPr="00FF2828">
        <w:rPr>
          <w:rFonts w:ascii="Times New Roman" w:hAnsi="Times New Roman" w:cs="Times New Roman"/>
        </w:rPr>
        <w:t>, pobočka P</w:t>
      </w:r>
      <w:r w:rsidR="00546086">
        <w:rPr>
          <w:rFonts w:ascii="Times New Roman" w:hAnsi="Times New Roman" w:cs="Times New Roman"/>
        </w:rPr>
        <w:t>lzeň</w:t>
      </w:r>
      <w:r w:rsidR="00546086" w:rsidRPr="00FF2828">
        <w:rPr>
          <w:rFonts w:ascii="Times New Roman" w:hAnsi="Times New Roman" w:cs="Times New Roman"/>
        </w:rPr>
        <w:t xml:space="preserve">, číslo účtu: </w:t>
      </w:r>
      <w:r w:rsidR="00546086" w:rsidRPr="009219C4">
        <w:rPr>
          <w:rFonts w:ascii="Times New Roman" w:hAnsi="Times New Roman" w:cs="Times New Roman"/>
        </w:rPr>
        <w:t>1823301001/5500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2828">
        <w:rPr>
          <w:rFonts w:ascii="Times New Roman" w:hAnsi="Times New Roman" w:cs="Times New Roman"/>
          <w:b/>
          <w:bCs/>
        </w:rPr>
        <w:t>Znalostní organizace</w:t>
      </w:r>
      <w:r w:rsidR="00FF2828" w:rsidRPr="00FF2828">
        <w:rPr>
          <w:rFonts w:ascii="Times New Roman" w:hAnsi="Times New Roman" w:cs="Times New Roman"/>
          <w:b/>
          <w:bCs/>
        </w:rPr>
        <w:t xml:space="preserve">: </w:t>
      </w:r>
      <w:r w:rsidRPr="00FF2828">
        <w:rPr>
          <w:rFonts w:ascii="Times New Roman" w:hAnsi="Times New Roman" w:cs="Times New Roman"/>
          <w:bCs/>
        </w:rPr>
        <w:t>Západočeská univerzita v Plzni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zastoupená doc. RNDr. Tomášem Kaiserem, Ph.D., prorektorem pro výzkum a vývoj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se sídlem Univerzitní 8, 306 14 Plzeň 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IČ: 49777513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DIČ: CZ49777513</w:t>
      </w:r>
    </w:p>
    <w:p w:rsidR="000C2B6C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Bankovní spojení:</w:t>
      </w:r>
      <w:r w:rsidR="00FF2828" w:rsidRPr="00FF2828">
        <w:rPr>
          <w:rFonts w:ascii="Times New Roman" w:hAnsi="Times New Roman" w:cs="Times New Roman"/>
        </w:rPr>
        <w:t xml:space="preserve"> Komerční banka a.s., pobočka Plzeň – město, č. účtu: 4811530257/0100</w:t>
      </w:r>
    </w:p>
    <w:p w:rsidR="00585D18" w:rsidRPr="00FF2828" w:rsidRDefault="00585D1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828">
        <w:rPr>
          <w:rFonts w:ascii="Times New Roman" w:hAnsi="Times New Roman" w:cs="Times New Roman"/>
          <w:b/>
          <w:bCs/>
        </w:rPr>
        <w:t>Preambule: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Partnerský Podnik a partnerská Znalostní organizace (dále “Partneři”) se dohodly na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spolupráci v rámci projektu (dále jen “Projekt”) schváleného k podpoře na základě výzvy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programu Partnerství znalostního transferu z Operačního programu Podnikání a Inovace pro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konkurenceschopnost Ministerstva průmyslu a obchodu (dále jen „OPPIK“). Partneři se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dohodli na délce trvání Projektu, jeho cílech a na způsobech jeho implementace a za tímto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účelem uzavírají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585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F2828">
        <w:rPr>
          <w:rFonts w:ascii="Times New Roman" w:hAnsi="Times New Roman" w:cs="Times New Roman"/>
        </w:rPr>
        <w:t xml:space="preserve">t u t o </w:t>
      </w:r>
      <w:r w:rsidR="00585D18">
        <w:rPr>
          <w:rFonts w:ascii="Times New Roman" w:hAnsi="Times New Roman" w:cs="Times New Roman"/>
        </w:rPr>
        <w:t xml:space="preserve">   </w:t>
      </w:r>
      <w:r w:rsidRPr="00FF2828">
        <w:rPr>
          <w:rFonts w:ascii="Times New Roman" w:hAnsi="Times New Roman" w:cs="Times New Roman"/>
        </w:rPr>
        <w:t>p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a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r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t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n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e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r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</w:t>
      </w:r>
      <w:r w:rsidR="00585D18"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k</w:t>
      </w:r>
      <w:r w:rsidR="00585D18"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o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 xml:space="preserve">u </w:t>
      </w:r>
      <w:r w:rsidR="00585D18">
        <w:rPr>
          <w:rFonts w:ascii="Times New Roman" w:hAnsi="Times New Roman" w:cs="Times New Roman"/>
        </w:rPr>
        <w:t xml:space="preserve">   </w:t>
      </w:r>
      <w:r w:rsidRPr="00FF2828">
        <w:rPr>
          <w:rFonts w:ascii="Times New Roman" w:hAnsi="Times New Roman" w:cs="Times New Roman"/>
        </w:rPr>
        <w:t>s m l o u v u:</w:t>
      </w:r>
      <w:proofErr w:type="gramEnd"/>
    </w:p>
    <w:p w:rsidR="00585D18" w:rsidRPr="00FF2828" w:rsidRDefault="00585D18" w:rsidP="00585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FF28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FF2828">
        <w:rPr>
          <w:rFonts w:ascii="Times New Roman" w:hAnsi="Times New Roman" w:cs="Times New Roman"/>
          <w:b/>
          <w:bCs/>
        </w:rPr>
        <w:t>Účel a předmět smlouvy</w:t>
      </w:r>
    </w:p>
    <w:p w:rsidR="00FF2828" w:rsidRPr="00FF2828" w:rsidRDefault="00FF2828" w:rsidP="00FF282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Účelem této smlouvy je upravit vztahy mezi Znalostní organizací a Podnikem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souvislosti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 realizací společného Projektu, vypořádání finančních vztahů a dotace.</w:t>
      </w:r>
    </w:p>
    <w:p w:rsid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Znalostní organizace se zavazuje, že na základě svých zkušeností zrealizuje Projekt v souladu s podanou žádostí o podporu a k dosažení stanoveného cíle. Hlavním cílem Projektu je transfer znalostí a dovedností do Podniku dle stanoveného projektového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záměru.</w:t>
      </w:r>
    </w:p>
    <w:p w:rsidR="00FF2828" w:rsidRP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Znalostní organizace se zavazuje:</w:t>
      </w:r>
    </w:p>
    <w:p w:rsidR="00FF2828" w:rsidRPr="00FF2828" w:rsidRDefault="00FF2828" w:rsidP="00585D1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zaměstnat absolventa s dostatečnou kvalifikací (dále “Asistent znalostního transferu” nebo „Asistent“) za účelem vykonávání pracovních úkolů potřebných pro úspěšnou realizaci Projektu tak, jak byly dohodnuty s Podnikem, a to nejpozději do 6 měsíců od data zahájení Projektu,</w:t>
      </w:r>
    </w:p>
    <w:p w:rsidR="00FF2828" w:rsidRDefault="00FF2828" w:rsidP="00585D1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spolupracovat s Podnikem při implementaci Projektu a poskytnout Asistentovi a Podniku dostatečnou podporu pro realizaci Projektu. Tato spolupráce zahrnuje nominaci alespoň jednoho akademického pracovníka za účelem vykonávání odborného dohledu nad Projektem (dále “Akademický odborník”), který plní úkoly Znalostní organizace v rámci Projektu.</w:t>
      </w:r>
    </w:p>
    <w:p w:rsidR="00585D18" w:rsidRDefault="00585D18" w:rsidP="004959E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F2828">
        <w:rPr>
          <w:rFonts w:ascii="Times New Roman" w:hAnsi="Times New Roman" w:cs="Times New Roman"/>
          <w:b/>
          <w:bCs/>
        </w:rPr>
        <w:t>Způsob plnění Projektu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Úkoly obou Partnerů, které mají jednotliví Partneři zajistit, jsou definovány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Projektovém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plánu, který je přílohou plné žádosti projektu. Úkoly a předměty plnění v Projektovém plánu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je možno změnit pouze se souhlasem obou Partnerů., tyto změny musí být projednány a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 xml:space="preserve">zaznamenány na </w:t>
      </w:r>
      <w:r w:rsidRPr="00FF2828">
        <w:rPr>
          <w:rFonts w:ascii="Times New Roman" w:hAnsi="Times New Roman" w:cs="Times New Roman"/>
        </w:rPr>
        <w:lastRenderedPageBreak/>
        <w:t>Řídících schůzích projektu. K zamezení pochybnostem, Partneři po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vzájemném odsouhlasení mohou požadovat změnu jakéhokoli parametru Projektu (časový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harmonogram, předměty plnění, rozpočet), žádosti o změnu musí být podány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souladu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 Podmínkami poskytnutí dotace.</w:t>
      </w:r>
    </w:p>
    <w:p w:rsidR="00FF2828" w:rsidRP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Úkoly, které jsou v projektovém plánu přiděleny konkrétní osobě, mohou být splněny i jinou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osobou. Jedná-li se o úkoly, které jsou přidělené Asistentovi a/nebo Akademikovi, musí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jejich přidělení jinému pracovníkovi odsouhlasit oba Partneři.</w:t>
      </w:r>
    </w:p>
    <w:p w:rsid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Výsledkem plnění bude Závěrečná zpráva obsahující zhodnocení realizace Projektu a dosažení stanovených výstupů a jejich následného využití, tj. zejména zhodnocení dosažených ekonomických a jiných přínosů Projektu, kvalifikovaný odhad přínosů v dalších letech, porovnání s původně očekávanými přínosy a zdůvodnění případných rozdílů, popis Podnikem získaných schopností a dovedností, způsob jejich osvojení zaměstnanci Podniku a jejich následného využití, celkové zhodnocení partnerství podniku se znalostní organizací a přínosu akademických vstupů, vyhodnocení přínosu Asistenta a jeho role v projektu, popis uskutečněných aktivit a splněných úkolů v jednotlivých etapách projektu dle projektového plánu, zdůvodnění provedených změn oproti původnímu plánu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a identifikace překážek a bariér, které se objevily v průběhu realizace. Za přípravu Závěrečné Zprávy odpovídají oba Partneři.</w:t>
      </w:r>
    </w:p>
    <w:p w:rsidR="00585D18" w:rsidRPr="00FF2828" w:rsidRDefault="00585D18" w:rsidP="00585D1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585D1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585D18">
        <w:rPr>
          <w:rFonts w:ascii="Times New Roman" w:hAnsi="Times New Roman" w:cs="Times New Roman"/>
          <w:b/>
          <w:bCs/>
        </w:rPr>
        <w:t>Výdaje projektu</w:t>
      </w:r>
    </w:p>
    <w:p w:rsidR="00585D18" w:rsidRPr="00585D18" w:rsidRDefault="00585D18" w:rsidP="00585D1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FF2828" w:rsidRPr="004959E2" w:rsidRDefault="00FF282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Na začátku projektu budou způsobilé výdaje rozděleny na část spadající pod Podnik a část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spadající pod Znalostní organizaci. Ve stejném poměru tohoto rozdělení výdajů pak bude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poměrně rozdělena i dotace. Podnik je povinen přeposlat v projektu určenou poměrnou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část dotace Znalostní organizaci na účet specifikovaný v partnerské smlouvě po každé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etapě projektu, a to nejpozději do 10 dnů od data obdržení dotace od poskytovatele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podpory. Podnik současně pošle i zbývající poměrnou část kofinancování ze soukromých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zdrojů dle podmínek programu. Pokud poskytovatel podpory rozhodne o krácení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způsobilých výdajů na straně Znalostní organizace, pošle Podnik poměrnou část dotace</w:t>
      </w:r>
      <w:r w:rsid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poníženou o výši zkrácené dotace.</w:t>
      </w:r>
    </w:p>
    <w:p w:rsidR="00585D18" w:rsidRPr="00FF2828" w:rsidRDefault="00585D18" w:rsidP="004959E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F2828" w:rsidRDefault="00FF282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V průběhu projektu Znalostní organizace vede evidenci účetních dokladů uhrazených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dodavatelům/zaměstnancům s vazbou na projekt, kterou předává Podniku vždy spolu s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kopií předmětných dokladů a dokladů o jejich úhradě pro potřeby doložení v žádosti o</w:t>
      </w:r>
      <w:r w:rsidR="00585D18">
        <w:rPr>
          <w:rFonts w:ascii="Times New Roman" w:hAnsi="Times New Roman" w:cs="Times New Roman"/>
        </w:rPr>
        <w:t xml:space="preserve"> platbu. Evidence bude mít následující s</w:t>
      </w:r>
      <w:r w:rsidR="00585D18" w:rsidRPr="00585D18">
        <w:rPr>
          <w:rFonts w:ascii="Times New Roman" w:hAnsi="Times New Roman" w:cs="Times New Roman"/>
        </w:rPr>
        <w:t>trukturu</w:t>
      </w:r>
      <w:r w:rsidR="00585D18">
        <w:rPr>
          <w:rFonts w:ascii="Times New Roman" w:hAnsi="Times New Roman" w:cs="Times New Roman"/>
        </w:rPr>
        <w:t>:</w:t>
      </w:r>
    </w:p>
    <w:p w:rsidR="00585D18" w:rsidRPr="00323776" w:rsidRDefault="00585D1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85D18" w:rsidRPr="00323776" w:rsidTr="00585D18"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Číslo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dokladu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Dodavatel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Způsobilé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výdaje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 xml:space="preserve">Zahrnuto </w:t>
            </w:r>
            <w:proofErr w:type="gramStart"/>
            <w:r w:rsidRPr="004959E2">
              <w:rPr>
                <w:rFonts w:ascii="Times New Roman" w:hAnsi="Times New Roman" w:cs="Times New Roman"/>
              </w:rPr>
              <w:t>do</w:t>
            </w:r>
            <w:proofErr w:type="gramEnd"/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ŽOP č.</w:t>
            </w: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Částka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výdajů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krácených</w:t>
            </w: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 xml:space="preserve">Podíl </w:t>
            </w:r>
            <w:proofErr w:type="spellStart"/>
            <w:r w:rsidRPr="004959E2">
              <w:rPr>
                <w:rFonts w:ascii="Times New Roman" w:hAnsi="Times New Roman" w:cs="Times New Roman"/>
              </w:rPr>
              <w:t>nadotaci</w:t>
            </w:r>
            <w:proofErr w:type="spellEnd"/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převedené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Podnikem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Znalostní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organizaci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dne</w:t>
            </w:r>
          </w:p>
        </w:tc>
      </w:tr>
      <w:tr w:rsidR="00585D18" w:rsidRPr="00323776" w:rsidTr="00585D18"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D18" w:rsidRPr="004959E2" w:rsidRDefault="00585D18" w:rsidP="00495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Evidenci využijí smluvní strany k vyúčtování dotace a na vyžádání jsou povinny ji poskytnout auditním a kontrolním orgánům.</w:t>
      </w:r>
    </w:p>
    <w:p w:rsidR="00585D18" w:rsidRDefault="00585D18" w:rsidP="0058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5D18" w:rsidRDefault="00585D18" w:rsidP="0058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Povinnosti Znalostní organizace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Veškeré odchylky od specifikace předmětu plnění mohou být prováděny Znalostní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organizací pouze tehdy, budou-li odsouhlaseny Podnikem a ve stanovených případech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poskytovatelem podpory (viz bod </w:t>
      </w:r>
      <w:proofErr w:type="gramStart"/>
      <w:r w:rsidRPr="00323776">
        <w:rPr>
          <w:rFonts w:ascii="Times New Roman" w:hAnsi="Times New Roman" w:cs="Times New Roman"/>
        </w:rPr>
        <w:t>II.1).</w:t>
      </w:r>
      <w:proofErr w:type="gramEnd"/>
      <w:r w:rsidRPr="00323776">
        <w:rPr>
          <w:rFonts w:ascii="Times New Roman" w:hAnsi="Times New Roman" w:cs="Times New Roman"/>
        </w:rPr>
        <w:t xml:space="preserve"> Jestliže Znalostní organizace provede práce a jiná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plnění nad tento rámec, nemá nárok na jejich zahrnutí do způsobilých výdajů projektu.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je zodpovědná za poskytnutí odborné podpory Asistentovi 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Podniku při plnění jejich povinností a zavazuje se takovouto podporu poskytnout.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Znalostní organizace souhlasí </w:t>
      </w:r>
      <w:r w:rsidRPr="00323776">
        <w:rPr>
          <w:rFonts w:ascii="Times New Roman" w:hAnsi="Times New Roman" w:cs="Times New Roman"/>
        </w:rPr>
        <w:lastRenderedPageBreak/>
        <w:t>s uvolněním Akademického odborníka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minimálním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rozsahu poloviny pracovní doby jednoho pracovního dne týdně za účelem shromáždění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nezbytných informací a poskytnutí nezbytné podpory Asistentovi při implementaci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na místě realizace Projektu, tj. v provozovně Podniku. Podpora Asistenta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zahrnuje také identifikaci oblastí, v nichž Asistent potřebuje proškolit, aby mohl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zodpovědně plnit své úkoly v rámci Projektu.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se rovněž zavazuje nominovat jiného akademického pracovníka v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případech, kdy Akademický odborník není schopen potřebné služby poskytnout z důvodu,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že se jedná o služby v oblastech, které nespadají do jeho oboru a odbornosti.</w:t>
      </w:r>
      <w:r w:rsidR="00323776">
        <w:rPr>
          <w:rFonts w:ascii="Times New Roman" w:hAnsi="Times New Roman" w:cs="Times New Roman"/>
        </w:rPr>
        <w:t xml:space="preserve"> 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bere na vědomí, že podpořený Projekt představuje významnou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akademickou výzvu a zavazuje se věnovat veškeré opodstatněné úsilí následujícím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úkolům:</w:t>
      </w:r>
    </w:p>
    <w:p w:rsidR="00480FB5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a iniciovat přípravu a publikaci odborných textů vycházejících z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výstupů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Projektu. Příprava a následná publikace musí být v souladu s podmínkami Smlouvy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stanovenými níže. K zamezení pochybnostem, příprava a publikace takovýchto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akademických textů není započítávána do časového fondu Projektu, ačkoliv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shromažďování a analýzu dat nezbytných k podpoře Asistenta a Podniku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průběhu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do časového fondu započítat lze.</w:t>
      </w:r>
    </w:p>
    <w:p w:rsidR="00323776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a iniciovat vznik studijních materiálů založených na Projektu, které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 následně využije v rámci svých vyučovacích aktivit.</w:t>
      </w:r>
    </w:p>
    <w:p w:rsidR="00323776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nová výzkumná témata v souvislosti s Projektem, včetně, ale ne pouze,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výzkumného projektu, jehož cílem je získání vyššího akademického titulu Asistentem.</w:t>
      </w:r>
    </w:p>
    <w:p w:rsidR="00480FB5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 případech, kdy realizace Projektu vyžaduje služby jiných než akademických pracovníků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univerzity a pokud jsou tyto aktivity zahrnuty ve schváleném projektovém plánu, má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 právo požadovat za tyto služby finanční náhradu ve výši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odsouhlasené Podnikem v rámci celkové finanční odměny za služby stanovené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 rozpočtu projektu. Pokud mají dodatečné služby formu školení nebo vzdělávání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prostřednictvím již existujících kurzů nebo vzdělávacích modulů poskytovaných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Univerzitou, tyto může Asistent navštěvovat bez nároku na finanční náhradu z Projektu.</w:t>
      </w:r>
    </w:p>
    <w:p w:rsidR="00E61F67" w:rsidRPr="00323776" w:rsidRDefault="00E61F67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323776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80FB5" w:rsidRPr="00323776">
        <w:rPr>
          <w:rFonts w:ascii="Times New Roman" w:hAnsi="Times New Roman" w:cs="Times New Roman"/>
          <w:b/>
          <w:bCs/>
        </w:rPr>
        <w:t>Povinnosti podniku</w:t>
      </w:r>
    </w:p>
    <w:p w:rsidR="00E61F67" w:rsidRDefault="00E61F67" w:rsidP="00E61F6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E61F67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61F67">
        <w:rPr>
          <w:rFonts w:ascii="Times New Roman" w:hAnsi="Times New Roman" w:cs="Times New Roman"/>
        </w:rPr>
        <w:t>Podnik se zavazuje plně spolupracovat se Znalostní organizací s cílem realizace Projektu</w:t>
      </w:r>
      <w:r w:rsidR="00323776" w:rsidRPr="00E61F67">
        <w:rPr>
          <w:rFonts w:ascii="Times New Roman" w:hAnsi="Times New Roman" w:cs="Times New Roman"/>
        </w:rPr>
        <w:t xml:space="preserve"> </w:t>
      </w:r>
      <w:r w:rsidRPr="00E61F67">
        <w:rPr>
          <w:rFonts w:ascii="Times New Roman" w:hAnsi="Times New Roman" w:cs="Times New Roman"/>
        </w:rPr>
        <w:t>za podmínek stanovených touto Výzvou.</w:t>
      </w:r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23776">
        <w:rPr>
          <w:rFonts w:ascii="Times New Roman" w:hAnsi="Times New Roman" w:cs="Times New Roman"/>
        </w:rPr>
        <w:t>Podnik</w:t>
      </w:r>
      <w:proofErr w:type="gramEnd"/>
      <w:r w:rsidRPr="00323776">
        <w:rPr>
          <w:rFonts w:ascii="Times New Roman" w:hAnsi="Times New Roman" w:cs="Times New Roman"/>
        </w:rPr>
        <w:t xml:space="preserve"> nominuje </w:t>
      </w:r>
      <w:proofErr w:type="gramStart"/>
      <w:r w:rsidRPr="00323776">
        <w:rPr>
          <w:rFonts w:ascii="Times New Roman" w:hAnsi="Times New Roman" w:cs="Times New Roman"/>
        </w:rPr>
        <w:t>pracovníka</w:t>
      </w:r>
      <w:proofErr w:type="gramEnd"/>
      <w:r w:rsidRPr="00323776">
        <w:rPr>
          <w:rFonts w:ascii="Times New Roman" w:hAnsi="Times New Roman" w:cs="Times New Roman"/>
        </w:rPr>
        <w:t xml:space="preserve"> z vedení Podniku (dále jen “Pověřený pracovník podniku”),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jehož místo výkonu práce se shoduje s místem výkonu práce Asistenta; tento pracovník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bude zodpovědný za vedení Asistenta a jeho podporu.</w:t>
      </w:r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umožní Znalostní organizaci použít data získaná v souvislosti s Projektem za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účelem jejich využití při vlastním výzkumu Znalostní organizace za podmínek stanovených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v této Smlouvě (viz bod </w:t>
      </w:r>
      <w:proofErr w:type="gramStart"/>
      <w:r w:rsidRPr="00323776">
        <w:rPr>
          <w:rFonts w:ascii="Times New Roman" w:hAnsi="Times New Roman" w:cs="Times New Roman"/>
        </w:rPr>
        <w:t>VI.8).</w:t>
      </w:r>
      <w:proofErr w:type="gramEnd"/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se zavazuje poskytnout Asistentovi vybavení nezbytné k plnění úkolů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rámci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a umožnit Asistentovi i Univerzitě přístup k vybavení, které bylo pořízeno pro účely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po předchozí dohodě obou Partnerů.</w:t>
      </w:r>
    </w:p>
    <w:p w:rsid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uvolní dalšího zástupce vedení Podniku, který bude předsedat pravidelným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formálním schůzím k řízení projektu tak, jak je popsáno v části Společné závazky partnerů</w:t>
      </w:r>
      <w:r w:rsidR="00323776">
        <w:rPr>
          <w:rFonts w:ascii="Times New Roman" w:hAnsi="Times New Roman" w:cs="Times New Roman"/>
        </w:rPr>
        <w:t xml:space="preserve"> </w:t>
      </w:r>
    </w:p>
    <w:p w:rsidR="00E61F67" w:rsidRDefault="00E61F67" w:rsidP="00E6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1F67" w:rsidRPr="00E61F67" w:rsidRDefault="00E61F67" w:rsidP="00E6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Společné závazky partnerů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dohodnou na plánu pravidelných a častých setkání zodpovědných pracovníků,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kterých se bude účastnit Pověřený pracovník Podniku, Asistent a Akademický odborník za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účelem koordinace aktivit, a tento plán schůzí budou plnit.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budou spolupracovat při přípravě Řídicích schůzí Projektu, jejichž účelem je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monitoring postupu Projektu, schvalování záležitostí, u kterých je na základě ustanovení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této Smlouvy </w:t>
      </w:r>
      <w:r w:rsidRPr="00323776">
        <w:rPr>
          <w:rFonts w:ascii="Times New Roman" w:hAnsi="Times New Roman" w:cs="Times New Roman"/>
        </w:rPr>
        <w:lastRenderedPageBreak/>
        <w:t>schválení nezbytné oběma partnery, příprava společného návrhu změn (viz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bod II2) a dále příprava monitorovacího reportu o postupu Projektu, dosažených výsledcích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 přínosech Projektu. Těchto setkání se budou účastnit minimálně, ale ne výhradně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následující osoby: Asistent, Akademický odborník, Pověřený pracovník podniku, další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zástupce vedení Podniku, který schůzím předsedá. Příprava, frekvence a reporting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 jednotlivých schůzí bude probíhat dle požadavků uvedených v Pokynech pro příjemce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podpory a dalších přílohách výzvy.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Veškerých setkání a řídicích schůzí projektu se může účastnit pověřená osoba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poskytovatele podpory (tzv. poradce znalostního transferu), která může partnerům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poskytnout nezávislou pomoc při implementaci projektu a řešení vzniklých problémů, může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se vyjadřovat ke změnám projektu včetně dílčích změn projektových úkolů, které musí být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schváleny oběma partnery, a dávat v tomto ohledu partnerům doporučení v</w:t>
      </w:r>
      <w:r w:rsidR="00A62091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souladu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parametry programu a principy znalostního transferu. Pověřená osoba je dále oprávněna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provedení nezávislého hodnocení průběhu projektu a předání veškerých závěrů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doporučení poskytovateli podpory.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budou podílet na přípravě materiálů, které budou sloužit jako záznam o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záležitostech řešených během setkání a o dohodách uzavřených na těchto setkáních. Tyto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materiály poskytnou poskytovateli podpory ve formě oficiálního záznamu o učiněných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rozhodnutích nebo návrhu změn včetně změn projektových úkolů v Projektovém plánu,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bez těchto záznamů nelze změny </w:t>
      </w:r>
      <w:proofErr w:type="gramStart"/>
      <w:r w:rsidRPr="00323776">
        <w:rPr>
          <w:rFonts w:ascii="Times New Roman" w:hAnsi="Times New Roman" w:cs="Times New Roman"/>
        </w:rPr>
        <w:t>úkolů v Projektového</w:t>
      </w:r>
      <w:proofErr w:type="gramEnd"/>
      <w:r w:rsidRPr="00323776">
        <w:rPr>
          <w:rFonts w:ascii="Times New Roman" w:hAnsi="Times New Roman" w:cs="Times New Roman"/>
        </w:rPr>
        <w:t xml:space="preserve"> plánu </w:t>
      </w:r>
      <w:proofErr w:type="gramStart"/>
      <w:r w:rsidRPr="00323776">
        <w:rPr>
          <w:rFonts w:ascii="Times New Roman" w:hAnsi="Times New Roman" w:cs="Times New Roman"/>
        </w:rPr>
        <w:t>považovat</w:t>
      </w:r>
      <w:proofErr w:type="gramEnd"/>
      <w:r w:rsidRPr="00323776">
        <w:rPr>
          <w:rFonts w:ascii="Times New Roman" w:hAnsi="Times New Roman" w:cs="Times New Roman"/>
        </w:rPr>
        <w:t xml:space="preserve"> za platné.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bere na vědomí, že klíčovým prvkem pro úspěch Projektu jsou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schopnosti a dovednosti Asistenta vykonávat činnosti vyžadované v rámci Projektu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efektivně využívat podporu Akademického odborníka. Znalostní organizace souhlasí s tím,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že Podnik se bude účastnit výběrového řízení na tuto pozici a rozhodnutí o nabídce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pracovního poměru Asistentovi. Bez společné dohody nebude možné pracovní poměr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Asistentem uzavřít. Znalostní organizace zaměstná Asistenta na dobu trvání Projektu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zajistí mu pracovní podmínky v souladu s běžnými pracovními podmínkami Podniku.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Asistent musí být zaměstnán na plný úvazek a 100% fondu pracovní doby bude věnovat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plnění projektu, který je realizován v provozovně podniku specifikované v žádosti 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podporu. Pro zamezení pochybností, projektové úkoly, které Asistent provádí u Znalostní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organizace, se započítávají do této doby, a to včetně účasti na školicích a vzdělávacích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aktivitách, které odsouhlasí oba Partneři.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zavazují, že vyjma případů, kdy to bylo předem schváleno druhým z Partnerů,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žádný z Partnerů nedá jakékoli třetí straně k dispozici informace získané v souvislosti s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Projektem, informace obsažené v jakémkoli dokumentu nebo korespondenci určeným pro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vnitřní potřebu, nebo jakékoli obchodní nebo podnikatelské informace získané v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souvislosti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plněním této Smlouvy v místě podnikání druhého z Partnerů, v jeho laboratořích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kancelářích. V případě nejasností je nutno s informacemi a materiály zacházet jako s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důvěrnými, dokud není získáno vyjádření druhého z Partnerů.</w:t>
      </w:r>
    </w:p>
    <w:p w:rsidR="00CF5BA5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Tento závazek je platný do chvíle, kdy Partner prokáže, že jím získané informace mu již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byly v době jejich získání nebo odhalení známy, nebo že již v té době byly zveřejněny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jejich zveřejnění následně došlo nikoliv prostřednictvím pochybení tohoto Partnera.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Tyto závazky žádným způsobem neomezují právo Podniku využívat jakékoli informace,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výsledky nebo vynálezy nebo jiné materiály, ke kterým ho opravňují ustanovení této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Smlouvy.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zavazují přijmout veškerá dostupná opatření k minimalizaci rizika nezáměrného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prozrazení důvěrných informací, včetně vhodného a bezpečného ukládání dokumentů,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nákresů, vzorků nebo jiných důvěrných materiálů.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omezí přístup k důvěrným informacím o Podniku pouze na okruh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zaměstnanců, u kterých nutnost obeznámení se s takovýmito informacemi vyplývá ze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závazků této Smlouvy a kteří jsou vázáni povinností zachovávat mlčenlivost srovnatelnou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povinnostmi vyplývajícími z této Smlouvy.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lastRenderedPageBreak/>
        <w:t>Podnik je srozuměn s tím, že Znalostní organizace může mít zájem na využití dat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informací vztahujících se k Projektu k vlastnímu výzkumu, přípravě materiálů s využitím ve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výuce nebo pro publikaci prací v odborných periodicích. Znalostní organizace musí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požádat Podnik o vyjádření, jestli obsah takovéto práce nebo materiálu neodhaluje jakékoli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důvěrné informace z oblasti výstupů projektu, neboť jejich zveřejnění může podle názoru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Podniku omezit využití výstupů Projektu ke komerčním účelům Podniku.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žádným způsobem neovlivňuje vlastnická práva vztahující se k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jakémukoli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duševnímu vlastnictví vyplývajícímu z minulosti nebo vztahující se k jiným technologiím,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návrhům, výsledkům, vynálezům, softwaru, datům, technologickým postupům, know-how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nebo materiálům, které nejsou výsledkem Projektu. Práva duševního vlastnictví k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výše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uvedenému zůstávají majetkem té ze stran, která je do společného Projektu přináší (nebo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majetkem poskytovatelů licence k nim).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mohou kdykoli dohodnout na uzavření zvláštní dohody či smlouvy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vytvořenému duševnímu vlastnictví a způsobu jeho ochrany.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Jakákoli dohoda či smlouva o duševním vlastnictví musí vždy splňovat alespoň jednu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 následujících podmínek:</w:t>
      </w:r>
    </w:p>
    <w:p w:rsidR="00480FB5" w:rsidRPr="00323776" w:rsidRDefault="00480FB5" w:rsidP="00780D6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výsledky spolupráce, které nemají za následek vznik práv duševního vlastnictví,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lze veřejně šířit a práva duševního vlastnictví vzniklá z činnosti znalostní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organizace plně náleží této organizaci, nebo</w:t>
      </w:r>
    </w:p>
    <w:p w:rsidR="00480FB5" w:rsidRPr="00323776" w:rsidRDefault="00480FB5" w:rsidP="00780D6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práva duševního vlastnictví vzniklá z projektu, jakož i související přístupová práva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jsou mezi spolupracující partnerské subjekty rozdělena tak, aby byly náležitě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zohledněny jejich pracovní oblasti, příspěvky a příslušné zájmy, nebo</w:t>
      </w:r>
    </w:p>
    <w:p w:rsidR="00480FB5" w:rsidRPr="00323776" w:rsidRDefault="00480FB5" w:rsidP="00780D6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obdrží za práva duševního vlastnictví, jež vznikla v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důsledku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její činností a jsou postoupena partnerskému podniku nebo k nimž získal podnik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přístupová práva, náhradu odpovídající tržní ceně. Od této náhrady lze odečíst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absolutní výši hodnoty veškerých finančních či nefinančních příspěvků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partnerského podniku na náklady činností výzkumných organizací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výzkumných infrastruktur, jež měly za následek vznik dotčených práv duševního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vlastnictví.</w:t>
      </w:r>
    </w:p>
    <w:p w:rsidR="00480FB5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Veškerý zisk z transferu znalostí prováděného organizací pro výzkum a šíření znalostí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musí být znovu investován do primární činnosti této organizace</w:t>
      </w:r>
      <w:r w:rsidR="00CF5BA5" w:rsidRPr="00E61F67">
        <w:footnoteReference w:id="1"/>
      </w:r>
      <w:r w:rsidRPr="00323776">
        <w:rPr>
          <w:rFonts w:ascii="Times New Roman" w:hAnsi="Times New Roman" w:cs="Times New Roman"/>
        </w:rPr>
        <w:t>. Za zisk jsou považovány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výnosy z práv duševního vlastnictví, pokud v důsledku aktivit projektu vzniknou.</w:t>
      </w:r>
    </w:p>
    <w:p w:rsidR="00CF5BA5" w:rsidRPr="00323776" w:rsidRDefault="00CF5BA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Trvání smlouvy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780D6A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0D6A">
        <w:rPr>
          <w:rFonts w:ascii="Times New Roman" w:hAnsi="Times New Roman" w:cs="Times New Roman"/>
        </w:rPr>
        <w:t>Tato smlouva se uzavírá na dobu určitou v souladu s dobou trvání projektu.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může v případě, že Znalostní organizace neplní povinnosti stanovené touto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Smlouvou řádně a včas, smlouvu v celém rozsahu vypovědět písemnou formou s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účinností ke konci kalendářního měsíce následujícího po měsíci, v němž byla výpověď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organizaci doručena.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může v případě, že podnik neplní povinnosti stanovené touto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Smlouvou řádně a včas, smlouvu v celém rozsahu vypovědět s účinností ke konci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kalendářního měsíce následujícího po měsíci, v němž byla výpověď mandantovi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doručena.</w:t>
      </w:r>
    </w:p>
    <w:p w:rsidR="004959E2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 případě neplnění povinností Smlouvy ze strany podniku, odpovídá podnik za škody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způsobené Znalostní organizaci. V případě neplnění povinností Smlouvy ze strany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organizace, ztrácí nárok na podporu za uskutečněnou činnost.</w:t>
      </w:r>
      <w:r w:rsidR="004959E2">
        <w:rPr>
          <w:rFonts w:ascii="Times New Roman" w:hAnsi="Times New Roman" w:cs="Times New Roman"/>
        </w:rPr>
        <w:t xml:space="preserve"> </w:t>
      </w:r>
    </w:p>
    <w:p w:rsidR="004959E2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lastRenderedPageBreak/>
        <w:t>Podpora může být poskytovatelem podpory poskytnuta pouze při splnění Podmínek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poskytnutí dotace a všech podmínek stanovených Smlouvou.</w:t>
      </w:r>
      <w:r w:rsidR="004959E2">
        <w:rPr>
          <w:rFonts w:ascii="Times New Roman" w:hAnsi="Times New Roman" w:cs="Times New Roman"/>
        </w:rPr>
        <w:t xml:space="preserve"> 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Pokud partner neplní své povinnosti podle smlouvy a poskytovatel v důsledku toho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rozhodne o ukončení projektu, je partner povinen vrátit příjemci poskytnuté finanční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prostředky, a to způsobem, který stanoví poskytovatel. Smluvní strany se dohodly na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vrácení poskytnuté dotace pro případ, že nejsou plněny podmínky smlouvy nebo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závazných právních předpisů a jiných dokumentů ve vazbě na realizaci projektu.</w:t>
      </w: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Závěrečná ustanovení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780D6A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0D6A">
        <w:rPr>
          <w:rFonts w:ascii="Times New Roman" w:hAnsi="Times New Roman" w:cs="Times New Roman"/>
        </w:rPr>
        <w:t>Tato smlouva se uzavírá v písemné formě, přičemž veškeré její změny je možno učinit</w:t>
      </w:r>
      <w:r w:rsidR="004959E2" w:rsidRPr="00780D6A">
        <w:rPr>
          <w:rFonts w:ascii="Times New Roman" w:hAnsi="Times New Roman" w:cs="Times New Roman"/>
        </w:rPr>
        <w:t xml:space="preserve"> </w:t>
      </w:r>
      <w:r w:rsidRPr="00780D6A">
        <w:rPr>
          <w:rFonts w:ascii="Times New Roman" w:hAnsi="Times New Roman" w:cs="Times New Roman"/>
        </w:rPr>
        <w:t>jen</w:t>
      </w:r>
      <w:r w:rsidR="00780D6A" w:rsidRPr="00780D6A">
        <w:rPr>
          <w:rFonts w:ascii="Times New Roman" w:hAnsi="Times New Roman" w:cs="Times New Roman"/>
        </w:rPr>
        <w:t xml:space="preserve"> </w:t>
      </w:r>
      <w:r w:rsidRPr="00780D6A">
        <w:rPr>
          <w:rFonts w:ascii="Times New Roman" w:hAnsi="Times New Roman" w:cs="Times New Roman"/>
        </w:rPr>
        <w:t>v písemné formě na základě úplného a vzájemného konsensu všech stran této smlouvy.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byla sepsána ve třech vyhotoveních, z nichž po jednom obdrží každá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smluvních stran a poskytovatel podpory.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nabývá platnosti a účinnosti okamžikem jejího podpisu všemi účastníky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Smluvní strany na závěr této smlouvy výslovně prohlašují, že jim nejsou známy žádné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okolnosti bránící v uzavření této smlouvy, kterou si řádně a pozorně přečetly a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porozuměly jejímu obsahu. Smlouva je projevem jejich svobodné a pravé vůle a na důkaz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uvedeného připojují v závěru smlouvy podpisy osob oprávněných k podepisování.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Případné spory smluvních stan budou řešeny u věcně a místně příslušného soudu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obecního soudu České republiky.</w:t>
      </w:r>
    </w:p>
    <w:p w:rsidR="00323776" w:rsidRPr="00323776" w:rsidRDefault="00323776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3776" w:rsidRPr="004959E2" w:rsidRDefault="00323776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V …………………………………. Dne…………………………….</w:t>
      </w:r>
    </w:p>
    <w:p w:rsidR="00480FB5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P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80FB5" w:rsidRPr="004959E2" w:rsidTr="004959E2">
        <w:tc>
          <w:tcPr>
            <w:tcW w:w="4606" w:type="dxa"/>
          </w:tcPr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Za podnik</w:t>
            </w:r>
          </w:p>
        </w:tc>
        <w:tc>
          <w:tcPr>
            <w:tcW w:w="4606" w:type="dxa"/>
          </w:tcPr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Za znalostní organizaci</w:t>
            </w:r>
          </w:p>
        </w:tc>
      </w:tr>
    </w:tbl>
    <w:p w:rsidR="00480FB5" w:rsidRPr="00FF2828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80FB5" w:rsidRPr="00FF2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45" w:rsidRDefault="00A84645" w:rsidP="00585D18">
      <w:pPr>
        <w:spacing w:after="0" w:line="240" w:lineRule="auto"/>
      </w:pPr>
      <w:r>
        <w:separator/>
      </w:r>
    </w:p>
  </w:endnote>
  <w:endnote w:type="continuationSeparator" w:id="0">
    <w:p w:rsidR="00A84645" w:rsidRDefault="00A84645" w:rsidP="0058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5332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80FB5" w:rsidRPr="00585D18" w:rsidRDefault="00480FB5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585D18">
              <w:rPr>
                <w:rFonts w:ascii="Times New Roman" w:hAnsi="Times New Roman" w:cs="Times New Roman"/>
              </w:rPr>
              <w:t xml:space="preserve">Stránka 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5D1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64BD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5D18">
              <w:rPr>
                <w:rFonts w:ascii="Times New Roman" w:hAnsi="Times New Roman" w:cs="Times New Roman"/>
              </w:rPr>
              <w:t xml:space="preserve"> z 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5D1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64BD9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480FB5" w:rsidRDefault="00480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45" w:rsidRDefault="00A84645" w:rsidP="00585D18">
      <w:pPr>
        <w:spacing w:after="0" w:line="240" w:lineRule="auto"/>
      </w:pPr>
      <w:r>
        <w:separator/>
      </w:r>
    </w:p>
  </w:footnote>
  <w:footnote w:type="continuationSeparator" w:id="0">
    <w:p w:rsidR="00A84645" w:rsidRDefault="00A84645" w:rsidP="00585D18">
      <w:pPr>
        <w:spacing w:after="0" w:line="240" w:lineRule="auto"/>
      </w:pPr>
      <w:r>
        <w:continuationSeparator/>
      </w:r>
    </w:p>
  </w:footnote>
  <w:footnote w:id="1">
    <w:p w:rsidR="00CF5BA5" w:rsidRPr="00CF5BA5" w:rsidRDefault="00CF5BA5" w:rsidP="00CF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F5BA5">
        <w:rPr>
          <w:rFonts w:ascii="Times New Roman" w:hAnsi="Times New Roman" w:cs="Times New Roman"/>
          <w:sz w:val="16"/>
          <w:szCs w:val="16"/>
        </w:rPr>
        <w:t xml:space="preserve">Za </w:t>
      </w:r>
      <w:r w:rsidRPr="00CF5BA5">
        <w:rPr>
          <w:rFonts w:ascii="Times New Roman" w:hAnsi="Times New Roman" w:cs="Times New Roman"/>
          <w:b/>
          <w:bCs/>
          <w:sz w:val="16"/>
          <w:szCs w:val="16"/>
        </w:rPr>
        <w:t xml:space="preserve">primární činnosti </w:t>
      </w:r>
      <w:r w:rsidRPr="00CF5BA5">
        <w:rPr>
          <w:rFonts w:ascii="Times New Roman" w:hAnsi="Times New Roman" w:cs="Times New Roman"/>
          <w:sz w:val="16"/>
          <w:szCs w:val="16"/>
        </w:rPr>
        <w:t>výzkumných organizací se považují: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vzdělávání s cílem zvýšit počty a zlepšit kvalifikaci lidských zdrojů, přičemž se jedná o veřejné vzdělávání organizované v rámci státního vzdělávacího systému, jež je z velké části nebo zcela financováno ze státních prostředků a je státem kontrolováno,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nezávislý výzkum a vývoj (</w:t>
      </w:r>
      <w:proofErr w:type="spellStart"/>
      <w:r w:rsidRPr="00CF5BA5">
        <w:rPr>
          <w:rFonts w:ascii="Times New Roman" w:hAnsi="Times New Roman" w:cs="Times New Roman"/>
          <w:sz w:val="16"/>
          <w:szCs w:val="16"/>
        </w:rPr>
        <w:t>VaV</w:t>
      </w:r>
      <w:proofErr w:type="spellEnd"/>
      <w:r w:rsidRPr="00CF5BA5">
        <w:rPr>
          <w:rFonts w:ascii="Times New Roman" w:hAnsi="Times New Roman" w:cs="Times New Roman"/>
          <w:sz w:val="16"/>
          <w:szCs w:val="16"/>
        </w:rPr>
        <w:t xml:space="preserve">) s cílem získat nové poznatky a lépe pochopit dané téma, včetně kooperativního </w:t>
      </w:r>
      <w:proofErr w:type="spellStart"/>
      <w:r w:rsidRPr="00CF5BA5">
        <w:rPr>
          <w:rFonts w:ascii="Times New Roman" w:hAnsi="Times New Roman" w:cs="Times New Roman"/>
          <w:sz w:val="16"/>
          <w:szCs w:val="16"/>
        </w:rPr>
        <w:t>VaV</w:t>
      </w:r>
      <w:proofErr w:type="spellEnd"/>
      <w:r w:rsidRPr="00CF5BA5">
        <w:rPr>
          <w:rFonts w:ascii="Times New Roman" w:hAnsi="Times New Roman" w:cs="Times New Roman"/>
          <w:sz w:val="16"/>
          <w:szCs w:val="16"/>
        </w:rPr>
        <w:t xml:space="preserve">, pokud je spolupráce, do níž je výzkumná organizace nebo výzkumná infrastruktura zapojena, účinná. Poskytování služeb v oblasti </w:t>
      </w:r>
      <w:proofErr w:type="spellStart"/>
      <w:r w:rsidRPr="00CF5BA5">
        <w:rPr>
          <w:rFonts w:ascii="Times New Roman" w:hAnsi="Times New Roman" w:cs="Times New Roman"/>
          <w:sz w:val="16"/>
          <w:szCs w:val="16"/>
        </w:rPr>
        <w:t>VaV</w:t>
      </w:r>
      <w:proofErr w:type="spellEnd"/>
      <w:r w:rsidRPr="00CF5BA5">
        <w:rPr>
          <w:rFonts w:ascii="Times New Roman" w:hAnsi="Times New Roman" w:cs="Times New Roman"/>
          <w:sz w:val="16"/>
          <w:szCs w:val="16"/>
        </w:rPr>
        <w:t xml:space="preserve"> prováděných jménem podniků se nepovažují za nezávislý </w:t>
      </w:r>
      <w:proofErr w:type="spellStart"/>
      <w:r w:rsidRPr="00CF5BA5">
        <w:rPr>
          <w:rFonts w:ascii="Times New Roman" w:hAnsi="Times New Roman" w:cs="Times New Roman"/>
          <w:sz w:val="16"/>
          <w:szCs w:val="16"/>
        </w:rPr>
        <w:t>VaV</w:t>
      </w:r>
      <w:proofErr w:type="spellEnd"/>
      <w:r w:rsidRPr="00CF5BA5">
        <w:rPr>
          <w:rFonts w:ascii="Times New Roman" w:hAnsi="Times New Roman" w:cs="Times New Roman"/>
          <w:sz w:val="16"/>
          <w:szCs w:val="16"/>
        </w:rPr>
        <w:t>,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veřejné šíření výsledků výzkumu na nevýlučném a nediskriminačním základě, například prostřednictvím výuky, databází s otevřeným přístupem, veřejně přístupných publikací či otevřeného softwaru.</w:t>
      </w:r>
    </w:p>
    <w:p w:rsidR="00CF5BA5" w:rsidRDefault="00CF5B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B5" w:rsidRDefault="00480FB5">
    <w:pPr>
      <w:pStyle w:val="Zhlav"/>
    </w:pPr>
    <w:r w:rsidRPr="00585D18">
      <w:rPr>
        <w:noProof/>
        <w:lang w:eastAsia="cs-CZ"/>
      </w:rPr>
      <w:drawing>
        <wp:inline distT="0" distB="0" distL="0" distR="0" wp14:anchorId="3F84E91E" wp14:editId="68EFFF9C">
          <wp:extent cx="1781175" cy="55566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555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85D18">
      <w:rPr>
        <w:noProof/>
        <w:lang w:eastAsia="cs-CZ"/>
      </w:rPr>
      <w:drawing>
        <wp:inline distT="0" distB="0" distL="0" distR="0" wp14:anchorId="5A2DEA19" wp14:editId="2E7AA689">
          <wp:extent cx="1076325" cy="57621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6325" cy="576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FB5" w:rsidRDefault="00480F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A85"/>
    <w:multiLevelType w:val="hybridMultilevel"/>
    <w:tmpl w:val="2FE4A74A"/>
    <w:lvl w:ilvl="0" w:tplc="D21C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3EE1"/>
    <w:multiLevelType w:val="hybridMultilevel"/>
    <w:tmpl w:val="DA8CC586"/>
    <w:lvl w:ilvl="0" w:tplc="3080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83B80"/>
    <w:multiLevelType w:val="hybridMultilevel"/>
    <w:tmpl w:val="D5BAC9B0"/>
    <w:lvl w:ilvl="0" w:tplc="30AEE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C0A27"/>
    <w:multiLevelType w:val="hybridMultilevel"/>
    <w:tmpl w:val="58AC4F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8726E0"/>
    <w:multiLevelType w:val="hybridMultilevel"/>
    <w:tmpl w:val="1AD6E1BC"/>
    <w:lvl w:ilvl="0" w:tplc="4E2E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4105F"/>
    <w:multiLevelType w:val="hybridMultilevel"/>
    <w:tmpl w:val="9E768E22"/>
    <w:lvl w:ilvl="0" w:tplc="96969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42C9"/>
    <w:multiLevelType w:val="hybridMultilevel"/>
    <w:tmpl w:val="AED490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F14FB"/>
    <w:multiLevelType w:val="hybridMultilevel"/>
    <w:tmpl w:val="0BBC6924"/>
    <w:lvl w:ilvl="0" w:tplc="D2D4B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B19BC"/>
    <w:multiLevelType w:val="hybridMultilevel"/>
    <w:tmpl w:val="D87819D2"/>
    <w:lvl w:ilvl="0" w:tplc="21008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15B3A"/>
    <w:multiLevelType w:val="hybridMultilevel"/>
    <w:tmpl w:val="2AB4AA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95A75"/>
    <w:multiLevelType w:val="hybridMultilevel"/>
    <w:tmpl w:val="F34A1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55E87"/>
    <w:multiLevelType w:val="hybridMultilevel"/>
    <w:tmpl w:val="424E3CD4"/>
    <w:lvl w:ilvl="0" w:tplc="6CCC5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6C"/>
    <w:rsid w:val="000C2B6C"/>
    <w:rsid w:val="002059E1"/>
    <w:rsid w:val="002C2F1C"/>
    <w:rsid w:val="00323776"/>
    <w:rsid w:val="00480FB5"/>
    <w:rsid w:val="004959E2"/>
    <w:rsid w:val="00546086"/>
    <w:rsid w:val="00585D18"/>
    <w:rsid w:val="00764BD9"/>
    <w:rsid w:val="00780D6A"/>
    <w:rsid w:val="00A62091"/>
    <w:rsid w:val="00A84645"/>
    <w:rsid w:val="00CA7A97"/>
    <w:rsid w:val="00CF5BA5"/>
    <w:rsid w:val="00E61F67"/>
    <w:rsid w:val="00F53EA1"/>
    <w:rsid w:val="00FC7BC8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D18"/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D18"/>
  </w:style>
  <w:style w:type="paragraph" w:styleId="Textbubliny">
    <w:name w:val="Balloon Text"/>
    <w:basedOn w:val="Normln"/>
    <w:link w:val="TextbublinyChar"/>
    <w:uiPriority w:val="99"/>
    <w:semiHidden/>
    <w:unhideWhenUsed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B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D18"/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D18"/>
  </w:style>
  <w:style w:type="paragraph" w:styleId="Textbubliny">
    <w:name w:val="Balloon Text"/>
    <w:basedOn w:val="Normln"/>
    <w:link w:val="TextbublinyChar"/>
    <w:uiPriority w:val="99"/>
    <w:semiHidden/>
    <w:unhideWhenUsed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5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B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46F5-C95E-4F65-BEE5-E1DDAE9C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2628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Pavel Kral</cp:lastModifiedBy>
  <cp:revision>8</cp:revision>
  <cp:lastPrinted>2016-12-20T12:14:00Z</cp:lastPrinted>
  <dcterms:created xsi:type="dcterms:W3CDTF">2015-12-23T09:12:00Z</dcterms:created>
  <dcterms:modified xsi:type="dcterms:W3CDTF">2016-12-20T12:15:00Z</dcterms:modified>
</cp:coreProperties>
</file>