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88C" w:rsidRDefault="004F288C">
      <w:pPr>
        <w:spacing w:line="1" w:lineRule="exact"/>
      </w:pPr>
    </w:p>
    <w:p w:rsidR="004F288C" w:rsidRDefault="00E57D7B">
      <w:pPr>
        <w:pStyle w:val="Zhlavnebozpat0"/>
        <w:framePr w:wrap="none" w:vAnchor="page" w:hAnchor="page" w:x="1611" w:y="609"/>
        <w:shd w:val="clear" w:color="auto" w:fill="auto"/>
      </w:pPr>
      <w:r>
        <w:rPr>
          <w:lang w:val="en-US" w:eastAsia="en-US" w:bidi="en-US"/>
        </w:rPr>
        <w:t xml:space="preserve">Wood </w:t>
      </w:r>
      <w:r>
        <w:t>&amp; P</w:t>
      </w:r>
      <w:r w:rsidR="00B33482">
        <w:t>a</w:t>
      </w:r>
      <w:bookmarkStart w:id="0" w:name="_GoBack"/>
      <w:bookmarkEnd w:id="0"/>
      <w:r>
        <w:t>per</w:t>
      </w:r>
    </w:p>
    <w:p w:rsidR="004F288C" w:rsidRDefault="00E57D7B">
      <w:pPr>
        <w:framePr w:wrap="none" w:vAnchor="page" w:hAnchor="page" w:x="9809" w:y="503"/>
        <w:rPr>
          <w:sz w:val="2"/>
          <w:szCs w:val="2"/>
        </w:rPr>
      </w:pPr>
      <w:r>
        <w:rPr>
          <w:noProof/>
          <w:lang w:bidi="ar-SA"/>
        </w:rPr>
        <w:drawing>
          <wp:inline distT="0" distB="0" distL="0" distR="0">
            <wp:extent cx="829310" cy="3898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829310" cy="389890"/>
                    </a:xfrm>
                    <a:prstGeom prst="rect">
                      <a:avLst/>
                    </a:prstGeom>
                  </pic:spPr>
                </pic:pic>
              </a:graphicData>
            </a:graphic>
          </wp:inline>
        </w:drawing>
      </w:r>
    </w:p>
    <w:p w:rsidR="004F288C" w:rsidRDefault="00E57D7B">
      <w:pPr>
        <w:pStyle w:val="Titulekobrzku0"/>
        <w:framePr w:wrap="none" w:vAnchor="page" w:hAnchor="page" w:x="10213" w:y="1089"/>
        <w:shd w:val="clear" w:color="auto" w:fill="auto"/>
        <w:rPr>
          <w:sz w:val="11"/>
          <w:szCs w:val="11"/>
        </w:rPr>
      </w:pPr>
      <w:r>
        <w:rPr>
          <w:b/>
          <w:bCs/>
          <w:sz w:val="11"/>
          <w:szCs w:val="11"/>
        </w:rPr>
        <w:t>25128</w:t>
      </w:r>
    </w:p>
    <w:p w:rsidR="004F288C" w:rsidRDefault="00E57D7B">
      <w:pPr>
        <w:pStyle w:val="Titulektabulky0"/>
        <w:framePr w:w="6614" w:h="494" w:hRule="exact" w:wrap="none" w:vAnchor="page" w:hAnchor="page" w:x="2667" w:y="1444"/>
        <w:shd w:val="clear" w:color="auto" w:fill="auto"/>
        <w:rPr>
          <w:sz w:val="22"/>
          <w:szCs w:val="22"/>
        </w:rPr>
      </w:pPr>
      <w:r>
        <w:rPr>
          <w:b/>
          <w:bCs/>
          <w:i w:val="0"/>
          <w:iCs w:val="0"/>
          <w:sz w:val="22"/>
          <w:szCs w:val="22"/>
        </w:rPr>
        <w:t>Kupní smlouva č. 20/PL927</w:t>
      </w:r>
    </w:p>
    <w:p w:rsidR="004F288C" w:rsidRDefault="00E57D7B">
      <w:pPr>
        <w:pStyle w:val="Titulektabulky0"/>
        <w:framePr w:w="6614" w:h="494" w:hRule="exact" w:wrap="none" w:vAnchor="page" w:hAnchor="page" w:x="2667" w:y="1444"/>
        <w:shd w:val="clear" w:color="auto" w:fill="auto"/>
      </w:pPr>
      <w:r>
        <w:rPr>
          <w:i w:val="0"/>
          <w:iCs w:val="0"/>
        </w:rPr>
        <w:t xml:space="preserve">uzavřená dle § </w:t>
      </w:r>
      <w:r>
        <w:t>2079 a násl. zákona č. 89/2012 Sb. občanského zákoníku, v účinném znění</w:t>
      </w:r>
    </w:p>
    <w:tbl>
      <w:tblPr>
        <w:tblOverlap w:val="never"/>
        <w:tblW w:w="0" w:type="auto"/>
        <w:tblLayout w:type="fixed"/>
        <w:tblCellMar>
          <w:left w:w="10" w:type="dxa"/>
          <w:right w:w="10" w:type="dxa"/>
        </w:tblCellMar>
        <w:tblLook w:val="0000" w:firstRow="0" w:lastRow="0" w:firstColumn="0" w:lastColumn="0" w:noHBand="0" w:noVBand="0"/>
      </w:tblPr>
      <w:tblGrid>
        <w:gridCol w:w="1210"/>
        <w:gridCol w:w="3662"/>
        <w:gridCol w:w="1478"/>
        <w:gridCol w:w="3974"/>
      </w:tblGrid>
      <w:tr w:rsidR="004F288C">
        <w:tblPrEx>
          <w:tblCellMar>
            <w:top w:w="0" w:type="dxa"/>
            <w:bottom w:w="0" w:type="dxa"/>
          </w:tblCellMar>
        </w:tblPrEx>
        <w:trPr>
          <w:trHeight w:hRule="exact" w:val="221"/>
        </w:trPr>
        <w:tc>
          <w:tcPr>
            <w:tcW w:w="1210" w:type="dxa"/>
            <w:shd w:val="clear" w:color="auto" w:fill="FFFFFF"/>
          </w:tcPr>
          <w:p w:rsidR="004F288C" w:rsidRDefault="00E57D7B">
            <w:pPr>
              <w:pStyle w:val="Jin0"/>
              <w:framePr w:w="10325" w:h="1949" w:wrap="none" w:vAnchor="page" w:hAnchor="page" w:x="766" w:y="2155"/>
              <w:shd w:val="clear" w:color="auto" w:fill="auto"/>
              <w:spacing w:after="0" w:line="240" w:lineRule="auto"/>
              <w:rPr>
                <w:sz w:val="16"/>
                <w:szCs w:val="16"/>
              </w:rPr>
            </w:pPr>
            <w:r>
              <w:rPr>
                <w:b/>
                <w:bCs/>
                <w:smallCaps/>
                <w:sz w:val="16"/>
                <w:szCs w:val="16"/>
              </w:rPr>
              <w:t>Kuduíící:</w:t>
            </w:r>
          </w:p>
        </w:tc>
        <w:tc>
          <w:tcPr>
            <w:tcW w:w="3662"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lang w:val="en-US" w:eastAsia="en-US" w:bidi="en-US"/>
              </w:rPr>
              <w:t xml:space="preserve">WOOD </w:t>
            </w:r>
            <w:r>
              <w:rPr>
                <w:b/>
                <w:bCs/>
                <w:sz w:val="14"/>
                <w:szCs w:val="14"/>
              </w:rPr>
              <w:t xml:space="preserve">&amp; </w:t>
            </w:r>
            <w:r>
              <w:rPr>
                <w:b/>
                <w:bCs/>
                <w:sz w:val="14"/>
                <w:szCs w:val="14"/>
                <w:lang w:val="en-US" w:eastAsia="en-US" w:bidi="en-US"/>
              </w:rPr>
              <w:t xml:space="preserve">PAPER </w:t>
            </w:r>
            <w:r>
              <w:rPr>
                <w:b/>
                <w:bCs/>
                <w:sz w:val="14"/>
                <w:szCs w:val="14"/>
              </w:rPr>
              <w:t>a.s.</w:t>
            </w:r>
          </w:p>
        </w:tc>
        <w:tc>
          <w:tcPr>
            <w:tcW w:w="1478" w:type="dxa"/>
            <w:shd w:val="clear" w:color="auto" w:fill="FFFFFF"/>
          </w:tcPr>
          <w:p w:rsidR="004F288C" w:rsidRDefault="00E57D7B">
            <w:pPr>
              <w:pStyle w:val="Jin0"/>
              <w:framePr w:w="10325" w:h="1949" w:wrap="none" w:vAnchor="page" w:hAnchor="page" w:x="766" w:y="2155"/>
              <w:shd w:val="clear" w:color="auto" w:fill="auto"/>
              <w:spacing w:after="0" w:line="240" w:lineRule="auto"/>
              <w:jc w:val="center"/>
              <w:rPr>
                <w:sz w:val="14"/>
                <w:szCs w:val="14"/>
              </w:rPr>
            </w:pPr>
            <w:r>
              <w:rPr>
                <w:b/>
                <w:bCs/>
                <w:sz w:val="14"/>
                <w:szCs w:val="14"/>
              </w:rPr>
              <w:t>Prodávající:</w:t>
            </w:r>
          </w:p>
        </w:tc>
        <w:tc>
          <w:tcPr>
            <w:tcW w:w="3974"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Lesy města Dvůr Králové n./Lab. s.r</w:t>
            </w:r>
          </w:p>
        </w:tc>
      </w:tr>
      <w:tr w:rsidR="004F288C">
        <w:tblPrEx>
          <w:tblCellMar>
            <w:top w:w="0" w:type="dxa"/>
            <w:bottom w:w="0" w:type="dxa"/>
          </w:tblCellMar>
        </w:tblPrEx>
        <w:trPr>
          <w:trHeight w:hRule="exact" w:val="226"/>
        </w:trPr>
        <w:tc>
          <w:tcPr>
            <w:tcW w:w="1210" w:type="dxa"/>
            <w:tcBorders>
              <w:top w:val="single" w:sz="4" w:space="0" w:color="auto"/>
            </w:tcBorders>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Zastoupený:</w:t>
            </w:r>
          </w:p>
        </w:tc>
        <w:tc>
          <w:tcPr>
            <w:tcW w:w="3662"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lang w:val="en-US" w:eastAsia="en-US" w:bidi="en-US"/>
              </w:rPr>
              <w:t xml:space="preserve">Ing. </w:t>
            </w:r>
            <w:r>
              <w:rPr>
                <w:sz w:val="14"/>
                <w:szCs w:val="14"/>
              </w:rPr>
              <w:t>Tomášem Paříkem</w:t>
            </w:r>
          </w:p>
        </w:tc>
        <w:tc>
          <w:tcPr>
            <w:tcW w:w="1478" w:type="dxa"/>
            <w:tcBorders>
              <w:top w:val="single" w:sz="4" w:space="0" w:color="auto"/>
            </w:tcBorders>
            <w:shd w:val="clear" w:color="auto" w:fill="FFFFFF"/>
            <w:vAlign w:val="bottom"/>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Zastoupený:</w:t>
            </w:r>
          </w:p>
        </w:tc>
        <w:tc>
          <w:tcPr>
            <w:tcW w:w="3974"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Bc. Petr Kupský</w:t>
            </w:r>
          </w:p>
        </w:tc>
      </w:tr>
      <w:tr w:rsidR="004F288C">
        <w:tblPrEx>
          <w:tblCellMar>
            <w:top w:w="0" w:type="dxa"/>
            <w:bottom w:w="0" w:type="dxa"/>
          </w:tblCellMar>
        </w:tblPrEx>
        <w:trPr>
          <w:trHeight w:hRule="exact" w:val="211"/>
        </w:trPr>
        <w:tc>
          <w:tcPr>
            <w:tcW w:w="1210"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Bank, spojení:</w:t>
            </w:r>
          </w:p>
        </w:tc>
        <w:tc>
          <w:tcPr>
            <w:tcW w:w="3662"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lang w:val="en-US" w:eastAsia="en-US" w:bidi="en-US"/>
              </w:rPr>
              <w:t xml:space="preserve">Raiffeisenbank, </w:t>
            </w:r>
            <w:r>
              <w:rPr>
                <w:sz w:val="14"/>
                <w:szCs w:val="14"/>
              </w:rPr>
              <w:t>a. s., č.ú. 1</w:t>
            </w:r>
            <w:r>
              <w:rPr>
                <w:sz w:val="14"/>
                <w:szCs w:val="14"/>
                <w:lang w:val="en-US" w:eastAsia="en-US" w:bidi="en-US"/>
              </w:rPr>
              <w:t xml:space="preserve">0f </w:t>
            </w:r>
            <w:r>
              <w:rPr>
                <w:sz w:val="14"/>
                <w:szCs w:val="14"/>
              </w:rPr>
              <w:t>1010209/5500</w:t>
            </w:r>
          </w:p>
        </w:tc>
        <w:tc>
          <w:tcPr>
            <w:tcW w:w="1478"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Bank, spojení:</w:t>
            </w:r>
          </w:p>
        </w:tc>
        <w:tc>
          <w:tcPr>
            <w:tcW w:w="3974"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ČSOB a.s., č.ú. 226038589/0300</w:t>
            </w:r>
          </w:p>
        </w:tc>
      </w:tr>
      <w:tr w:rsidR="004F288C">
        <w:tblPrEx>
          <w:tblCellMar>
            <w:top w:w="0" w:type="dxa"/>
            <w:bottom w:w="0" w:type="dxa"/>
          </w:tblCellMar>
        </w:tblPrEx>
        <w:trPr>
          <w:trHeight w:hRule="exact" w:val="221"/>
        </w:trPr>
        <w:tc>
          <w:tcPr>
            <w:tcW w:w="1210"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IČO/DIČ:</w:t>
            </w:r>
          </w:p>
        </w:tc>
        <w:tc>
          <w:tcPr>
            <w:tcW w:w="3662"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26229854/ CZ26229854</w:t>
            </w:r>
          </w:p>
        </w:tc>
        <w:tc>
          <w:tcPr>
            <w:tcW w:w="1478" w:type="dxa"/>
            <w:shd w:val="clear" w:color="auto" w:fill="FFFFFF"/>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IČO/DIČ:</w:t>
            </w:r>
          </w:p>
        </w:tc>
        <w:tc>
          <w:tcPr>
            <w:tcW w:w="3974"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27553884/CZ27553884</w:t>
            </w:r>
          </w:p>
        </w:tc>
      </w:tr>
      <w:tr w:rsidR="004F288C">
        <w:tblPrEx>
          <w:tblCellMar>
            <w:top w:w="0" w:type="dxa"/>
            <w:bottom w:w="0" w:type="dxa"/>
          </w:tblCellMar>
        </w:tblPrEx>
        <w:trPr>
          <w:trHeight w:hRule="exact" w:val="245"/>
        </w:trPr>
        <w:tc>
          <w:tcPr>
            <w:tcW w:w="1210"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 xml:space="preserve">Zápis v </w:t>
            </w:r>
            <w:r>
              <w:rPr>
                <w:b/>
                <w:bCs/>
                <w:sz w:val="14"/>
                <w:szCs w:val="14"/>
                <w:lang w:val="en-US" w:eastAsia="en-US" w:bidi="en-US"/>
              </w:rPr>
              <w:t>OR:</w:t>
            </w:r>
          </w:p>
        </w:tc>
        <w:tc>
          <w:tcPr>
            <w:tcW w:w="3662"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 xml:space="preserve">u KS v Brně, </w:t>
            </w:r>
            <w:r>
              <w:rPr>
                <w:sz w:val="14"/>
                <w:szCs w:val="14"/>
                <w:lang w:val="en-US" w:eastAsia="en-US" w:bidi="en-US"/>
              </w:rPr>
              <w:t xml:space="preserve">odd. </w:t>
            </w:r>
            <w:r>
              <w:rPr>
                <w:sz w:val="14"/>
                <w:szCs w:val="14"/>
              </w:rPr>
              <w:t>B, vložka 3439, 24.11.2000</w:t>
            </w:r>
          </w:p>
        </w:tc>
        <w:tc>
          <w:tcPr>
            <w:tcW w:w="1478" w:type="dxa"/>
            <w:shd w:val="clear" w:color="auto" w:fill="FFFFFF"/>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 xml:space="preserve">Zápis v </w:t>
            </w:r>
            <w:r>
              <w:rPr>
                <w:b/>
                <w:bCs/>
                <w:sz w:val="14"/>
                <w:szCs w:val="14"/>
                <w:lang w:val="en-US" w:eastAsia="en-US" w:bidi="en-US"/>
              </w:rPr>
              <w:t>OR:</w:t>
            </w:r>
          </w:p>
        </w:tc>
        <w:tc>
          <w:tcPr>
            <w:tcW w:w="3974"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C 25764 vedená u Krajského soudu v Hradci Králové</w:t>
            </w:r>
          </w:p>
        </w:tc>
      </w:tr>
      <w:tr w:rsidR="004F288C">
        <w:tblPrEx>
          <w:tblCellMar>
            <w:top w:w="0" w:type="dxa"/>
            <w:bottom w:w="0" w:type="dxa"/>
          </w:tblCellMar>
        </w:tblPrEx>
        <w:trPr>
          <w:trHeight w:hRule="exact" w:val="283"/>
        </w:trPr>
        <w:tc>
          <w:tcPr>
            <w:tcW w:w="1210"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Telefon/Fax:</w:t>
            </w:r>
          </w:p>
        </w:tc>
        <w:tc>
          <w:tcPr>
            <w:tcW w:w="3662" w:type="dxa"/>
            <w:shd w:val="clear" w:color="auto" w:fill="FFFFFF"/>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+420-546 418 211/+420-546 418 214</w:t>
            </w:r>
          </w:p>
        </w:tc>
        <w:tc>
          <w:tcPr>
            <w:tcW w:w="1478" w:type="dxa"/>
            <w:shd w:val="clear" w:color="auto" w:fill="FFFFFF"/>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Telefon/Fax:</w:t>
            </w:r>
          </w:p>
        </w:tc>
        <w:tc>
          <w:tcPr>
            <w:tcW w:w="3974" w:type="dxa"/>
            <w:shd w:val="clear" w:color="auto" w:fill="FFFFFF"/>
          </w:tcPr>
          <w:p w:rsidR="004F288C" w:rsidRDefault="004F288C">
            <w:pPr>
              <w:framePr w:w="10325" w:h="1949" w:wrap="none" w:vAnchor="page" w:hAnchor="page" w:x="766" w:y="2155"/>
              <w:rPr>
                <w:sz w:val="10"/>
                <w:szCs w:val="10"/>
              </w:rPr>
            </w:pPr>
          </w:p>
        </w:tc>
      </w:tr>
      <w:tr w:rsidR="004F288C">
        <w:tblPrEx>
          <w:tblCellMar>
            <w:top w:w="0" w:type="dxa"/>
            <w:bottom w:w="0" w:type="dxa"/>
          </w:tblCellMar>
        </w:tblPrEx>
        <w:trPr>
          <w:trHeight w:hRule="exact" w:val="302"/>
        </w:trPr>
        <w:tc>
          <w:tcPr>
            <w:tcW w:w="1210"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E-mail:</w:t>
            </w:r>
          </w:p>
        </w:tc>
        <w:tc>
          <w:tcPr>
            <w:tcW w:w="3662"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hyperlink r:id="rId8" w:history="1">
              <w:r>
                <w:rPr>
                  <w:sz w:val="14"/>
                  <w:szCs w:val="14"/>
                  <w:lang w:val="en-US" w:eastAsia="en-US" w:bidi="en-US"/>
                </w:rPr>
                <w:t>jiri.placek@wood-paper.cz</w:t>
              </w:r>
            </w:hyperlink>
          </w:p>
        </w:tc>
        <w:tc>
          <w:tcPr>
            <w:tcW w:w="1478"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ind w:firstLine="280"/>
              <w:rPr>
                <w:sz w:val="14"/>
                <w:szCs w:val="14"/>
              </w:rPr>
            </w:pPr>
            <w:r>
              <w:rPr>
                <w:b/>
                <w:bCs/>
                <w:sz w:val="14"/>
                <w:szCs w:val="14"/>
              </w:rPr>
              <w:t>E-mail:</w:t>
            </w:r>
          </w:p>
        </w:tc>
        <w:tc>
          <w:tcPr>
            <w:tcW w:w="3974" w:type="dxa"/>
            <w:shd w:val="clear" w:color="auto" w:fill="FFFFFF"/>
          </w:tcPr>
          <w:p w:rsidR="004F288C" w:rsidRDefault="004F288C">
            <w:pPr>
              <w:framePr w:w="10325" w:h="1949" w:wrap="none" w:vAnchor="page" w:hAnchor="page" w:x="766" w:y="2155"/>
              <w:rPr>
                <w:sz w:val="10"/>
                <w:szCs w:val="10"/>
              </w:rPr>
            </w:pPr>
          </w:p>
        </w:tc>
      </w:tr>
      <w:tr w:rsidR="004F288C">
        <w:tblPrEx>
          <w:tblCellMar>
            <w:top w:w="0" w:type="dxa"/>
            <w:bottom w:w="0" w:type="dxa"/>
          </w:tblCellMar>
        </w:tblPrEx>
        <w:trPr>
          <w:trHeight w:hRule="exact" w:val="240"/>
        </w:trPr>
        <w:tc>
          <w:tcPr>
            <w:tcW w:w="1210"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b/>
                <w:bCs/>
                <w:sz w:val="14"/>
                <w:szCs w:val="14"/>
              </w:rPr>
              <w:t>Adresa:</w:t>
            </w:r>
          </w:p>
        </w:tc>
        <w:tc>
          <w:tcPr>
            <w:tcW w:w="3662"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Hlína 138, 664 91 Ivančice</w:t>
            </w:r>
          </w:p>
        </w:tc>
        <w:tc>
          <w:tcPr>
            <w:tcW w:w="1478"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ind w:firstLine="280"/>
              <w:jc w:val="both"/>
              <w:rPr>
                <w:sz w:val="14"/>
                <w:szCs w:val="14"/>
              </w:rPr>
            </w:pPr>
            <w:r>
              <w:rPr>
                <w:b/>
                <w:bCs/>
                <w:sz w:val="14"/>
                <w:szCs w:val="14"/>
              </w:rPr>
              <w:t>Adresa:</w:t>
            </w:r>
          </w:p>
        </w:tc>
        <w:tc>
          <w:tcPr>
            <w:tcW w:w="3974" w:type="dxa"/>
            <w:shd w:val="clear" w:color="auto" w:fill="FFFFFF"/>
            <w:vAlign w:val="bottom"/>
          </w:tcPr>
          <w:p w:rsidR="004F288C" w:rsidRDefault="00E57D7B">
            <w:pPr>
              <w:pStyle w:val="Jin0"/>
              <w:framePr w:w="10325" w:h="1949" w:wrap="none" w:vAnchor="page" w:hAnchor="page" w:x="766" w:y="2155"/>
              <w:shd w:val="clear" w:color="auto" w:fill="auto"/>
              <w:spacing w:after="0" w:line="240" w:lineRule="auto"/>
              <w:rPr>
                <w:sz w:val="14"/>
                <w:szCs w:val="14"/>
              </w:rPr>
            </w:pPr>
            <w:r>
              <w:rPr>
                <w:sz w:val="14"/>
                <w:szCs w:val="14"/>
              </w:rPr>
              <w:t>Raisova 2824,544 01 Dvůr Králové nad Labem, CZ</w:t>
            </w:r>
          </w:p>
        </w:tc>
      </w:tr>
    </w:tbl>
    <w:p w:rsidR="004F288C" w:rsidRDefault="00E57D7B" w:rsidP="00B33482">
      <w:pPr>
        <w:pStyle w:val="Nadpis10"/>
        <w:framePr w:w="10387" w:h="1176" w:hRule="exact" w:wrap="none" w:vAnchor="page" w:hAnchor="page" w:x="766" w:y="4286"/>
        <w:shd w:val="clear" w:color="auto" w:fill="auto"/>
        <w:spacing w:line="259" w:lineRule="auto"/>
      </w:pPr>
      <w:bookmarkStart w:id="1" w:name="bookmark0"/>
      <w:bookmarkStart w:id="2" w:name="bookmark1"/>
      <w:r>
        <w:t>Konečný příjemce</w:t>
      </w:r>
      <w:r>
        <w:rPr>
          <w:u w:val="none"/>
        </w:rPr>
        <w:t xml:space="preserve"> </w:t>
      </w:r>
      <w:r w:rsidR="00B33482">
        <w:rPr>
          <w:u w:val="none"/>
        </w:rPr>
        <w:t>xxxxx</w:t>
      </w:r>
      <w:bookmarkEnd w:id="1"/>
      <w:bookmarkEnd w:id="2"/>
    </w:p>
    <w:p w:rsidR="004F288C" w:rsidRDefault="00E57D7B">
      <w:pPr>
        <w:pStyle w:val="Zkladntext1"/>
        <w:framePr w:w="10387" w:h="1176" w:hRule="exact" w:wrap="none" w:vAnchor="page" w:hAnchor="page" w:x="766" w:y="4286"/>
        <w:shd w:val="clear" w:color="auto" w:fill="auto"/>
        <w:tabs>
          <w:tab w:val="left" w:pos="1450"/>
        </w:tabs>
        <w:spacing w:after="0" w:line="259" w:lineRule="auto"/>
      </w:pPr>
      <w:r>
        <w:rPr>
          <w:u w:val="single"/>
        </w:rPr>
        <w:t>M</w:t>
      </w:r>
      <w:r>
        <w:rPr>
          <w:u w:val="single"/>
        </w:rPr>
        <w:t>ísto plnění:</w:t>
      </w:r>
      <w:r w:rsidR="00B33482">
        <w:rPr>
          <w:u w:val="single"/>
        </w:rPr>
        <w:t xml:space="preserve">          xxxxxx</w:t>
      </w:r>
    </w:p>
    <w:p w:rsidR="004F288C" w:rsidRDefault="00E57D7B">
      <w:pPr>
        <w:pStyle w:val="Nadpis10"/>
        <w:framePr w:w="10387" w:h="1397" w:hRule="exact" w:wrap="none" w:vAnchor="page" w:hAnchor="page" w:x="766" w:y="5639"/>
        <w:shd w:val="clear" w:color="auto" w:fill="auto"/>
        <w:spacing w:line="254" w:lineRule="auto"/>
        <w:ind w:right="81"/>
      </w:pPr>
      <w:bookmarkStart w:id="3" w:name="bookmark2"/>
      <w:bookmarkStart w:id="4" w:name="bookmark3"/>
      <w:r>
        <w:t>Předmět Plnění, množství a cena pro 1. čtvrtletí 2020:</w:t>
      </w:r>
      <w:bookmarkEnd w:id="3"/>
      <w:bookmarkEnd w:id="4"/>
    </w:p>
    <w:p w:rsidR="004F288C" w:rsidRDefault="00E57D7B">
      <w:pPr>
        <w:pStyle w:val="Zkladntext1"/>
        <w:framePr w:w="10387" w:h="1397" w:hRule="exact" w:wrap="none" w:vAnchor="page" w:hAnchor="page" w:x="766" w:y="5639"/>
        <w:shd w:val="clear" w:color="auto" w:fill="auto"/>
        <w:spacing w:after="0" w:line="254" w:lineRule="auto"/>
        <w:ind w:right="81"/>
      </w:pPr>
      <w:r>
        <w:t xml:space="preserve">Prodávající </w:t>
      </w:r>
      <w:r>
        <w:t>se zavazuje za podmínek stanovených této smlouvě odevzdat kupujícímu dříví a převést na něj vlastnické</w:t>
      </w:r>
      <w:r>
        <w:br/>
        <w:t>právo k prodávanému dříví a kupující se zavazuje za sjednaných podmínek dříví převzít a zaplatit za něj prodávajícímu</w:t>
      </w:r>
      <w:r>
        <w:br/>
        <w:t>sjednanou kupní cenu. Pro splnění d</w:t>
      </w:r>
      <w:r>
        <w:t>odávky je rozhodující datum a výsledek přejímky u konečného příjemce v místě</w:t>
      </w:r>
      <w:r>
        <w:br/>
        <w:t>plnění označeném v předchozím ustanovení této smlouvy.</w:t>
      </w:r>
    </w:p>
    <w:p w:rsidR="004F288C" w:rsidRDefault="00E57D7B">
      <w:pPr>
        <w:pStyle w:val="Zkladntext1"/>
        <w:framePr w:w="10387" w:h="1397" w:hRule="exact" w:wrap="none" w:vAnchor="page" w:hAnchor="page" w:x="766" w:y="5639"/>
        <w:shd w:val="clear" w:color="auto" w:fill="auto"/>
        <w:spacing w:after="0" w:line="254" w:lineRule="auto"/>
        <w:ind w:right="81"/>
      </w:pPr>
      <w:r>
        <w:rPr>
          <w:u w:val="single"/>
        </w:rPr>
        <w:t>Prodávající podpisem této smlouvy prohlašuje, že dříví, které je předmětem této smlouvy, je</w:t>
      </w:r>
      <w:r>
        <w:t xml:space="preserve"> českého původu.</w:t>
      </w:r>
    </w:p>
    <w:tbl>
      <w:tblPr>
        <w:tblOverlap w:val="never"/>
        <w:tblW w:w="0" w:type="auto"/>
        <w:tblLayout w:type="fixed"/>
        <w:tblCellMar>
          <w:left w:w="10" w:type="dxa"/>
          <w:right w:w="10" w:type="dxa"/>
        </w:tblCellMar>
        <w:tblLook w:val="0000" w:firstRow="0" w:lastRow="0" w:firstColumn="0" w:lastColumn="0" w:noHBand="0" w:noVBand="0"/>
      </w:tblPr>
      <w:tblGrid>
        <w:gridCol w:w="2141"/>
        <w:gridCol w:w="1699"/>
        <w:gridCol w:w="811"/>
        <w:gridCol w:w="677"/>
        <w:gridCol w:w="1282"/>
        <w:gridCol w:w="1310"/>
      </w:tblGrid>
      <w:tr w:rsidR="004F288C">
        <w:tblPrEx>
          <w:tblCellMar>
            <w:top w:w="0" w:type="dxa"/>
            <w:bottom w:w="0" w:type="dxa"/>
          </w:tblCellMar>
        </w:tblPrEx>
        <w:trPr>
          <w:trHeight w:hRule="exact" w:val="322"/>
        </w:trPr>
        <w:tc>
          <w:tcPr>
            <w:tcW w:w="3840" w:type="dxa"/>
            <w:gridSpan w:val="2"/>
            <w:tcBorders>
              <w:top w:val="single" w:sz="4" w:space="0" w:color="auto"/>
            </w:tcBorders>
            <w:shd w:val="clear" w:color="auto" w:fill="FFFFFF"/>
          </w:tcPr>
          <w:p w:rsidR="004F288C" w:rsidRDefault="00E57D7B">
            <w:pPr>
              <w:pStyle w:val="Jin0"/>
              <w:framePr w:w="7920" w:h="970" w:wrap="none" w:vAnchor="page" w:hAnchor="page" w:x="776" w:y="6993"/>
              <w:shd w:val="clear" w:color="auto" w:fill="auto"/>
              <w:spacing w:after="0" w:line="240" w:lineRule="auto"/>
              <w:rPr>
                <w:sz w:val="22"/>
                <w:szCs w:val="22"/>
              </w:rPr>
            </w:pPr>
            <w:r>
              <w:rPr>
                <w:b/>
                <w:bCs/>
                <w:sz w:val="22"/>
                <w:szCs w:val="22"/>
              </w:rPr>
              <w:t>Sortiment</w:t>
            </w:r>
          </w:p>
        </w:tc>
        <w:tc>
          <w:tcPr>
            <w:tcW w:w="1488" w:type="dxa"/>
            <w:gridSpan w:val="2"/>
            <w:tcBorders>
              <w:top w:val="single" w:sz="4" w:space="0" w:color="auto"/>
              <w:left w:val="single" w:sz="4" w:space="0" w:color="auto"/>
            </w:tcBorders>
            <w:shd w:val="clear" w:color="auto" w:fill="FFFFFF"/>
          </w:tcPr>
          <w:p w:rsidR="004F288C" w:rsidRDefault="00E57D7B">
            <w:pPr>
              <w:pStyle w:val="Jin0"/>
              <w:framePr w:w="7920" w:h="970" w:wrap="none" w:vAnchor="page" w:hAnchor="page" w:x="776" w:y="6993"/>
              <w:shd w:val="clear" w:color="auto" w:fill="auto"/>
              <w:spacing w:after="0" w:line="240" w:lineRule="auto"/>
              <w:rPr>
                <w:sz w:val="22"/>
                <w:szCs w:val="22"/>
              </w:rPr>
            </w:pPr>
            <w:r>
              <w:rPr>
                <w:b/>
                <w:bCs/>
                <w:sz w:val="22"/>
                <w:szCs w:val="22"/>
              </w:rPr>
              <w:t>Množst</w:t>
            </w:r>
            <w:r>
              <w:rPr>
                <w:b/>
                <w:bCs/>
                <w:sz w:val="22"/>
                <w:szCs w:val="22"/>
              </w:rPr>
              <w:t>ví</w:t>
            </w:r>
          </w:p>
        </w:tc>
        <w:tc>
          <w:tcPr>
            <w:tcW w:w="2592" w:type="dxa"/>
            <w:gridSpan w:val="2"/>
            <w:tcBorders>
              <w:top w:val="single" w:sz="4" w:space="0" w:color="auto"/>
              <w:left w:val="single" w:sz="4" w:space="0" w:color="auto"/>
              <w:right w:val="single" w:sz="4" w:space="0" w:color="auto"/>
            </w:tcBorders>
            <w:shd w:val="clear" w:color="auto" w:fill="FFFFFF"/>
          </w:tcPr>
          <w:p w:rsidR="004F288C" w:rsidRDefault="00E57D7B">
            <w:pPr>
              <w:pStyle w:val="Jin0"/>
              <w:framePr w:w="7920" w:h="970" w:wrap="none" w:vAnchor="page" w:hAnchor="page" w:x="776" w:y="6993"/>
              <w:shd w:val="clear" w:color="auto" w:fill="auto"/>
              <w:spacing w:after="0" w:line="240" w:lineRule="auto"/>
              <w:rPr>
                <w:sz w:val="22"/>
                <w:szCs w:val="22"/>
              </w:rPr>
            </w:pPr>
            <w:r>
              <w:rPr>
                <w:b/>
                <w:bCs/>
                <w:sz w:val="22"/>
                <w:szCs w:val="22"/>
              </w:rPr>
              <w:t>Cena</w:t>
            </w:r>
          </w:p>
        </w:tc>
      </w:tr>
      <w:tr w:rsidR="004F288C">
        <w:tblPrEx>
          <w:tblCellMar>
            <w:top w:w="0" w:type="dxa"/>
            <w:bottom w:w="0" w:type="dxa"/>
          </w:tblCellMar>
        </w:tblPrEx>
        <w:trPr>
          <w:trHeight w:hRule="exact" w:val="648"/>
        </w:trPr>
        <w:tc>
          <w:tcPr>
            <w:tcW w:w="2141" w:type="dxa"/>
            <w:tcBorders>
              <w:top w:val="single" w:sz="4" w:space="0" w:color="auto"/>
              <w:bottom w:val="single" w:sz="4" w:space="0" w:color="auto"/>
            </w:tcBorders>
            <w:shd w:val="clear" w:color="auto" w:fill="FFFFFF"/>
          </w:tcPr>
          <w:p w:rsidR="004F288C" w:rsidRDefault="00B33482" w:rsidP="00B33482">
            <w:pPr>
              <w:pStyle w:val="Jin0"/>
              <w:framePr w:w="7920" w:h="970" w:wrap="none" w:vAnchor="page" w:hAnchor="page" w:x="776" w:y="6993"/>
              <w:shd w:val="clear" w:color="auto" w:fill="auto"/>
              <w:spacing w:after="0" w:line="293" w:lineRule="auto"/>
              <w:rPr>
                <w:sz w:val="22"/>
                <w:szCs w:val="22"/>
              </w:rPr>
            </w:pPr>
            <w:r>
              <w:rPr>
                <w:sz w:val="22"/>
                <w:szCs w:val="22"/>
              </w:rPr>
              <w:t>xxxxxxxxxxxx</w:t>
            </w:r>
          </w:p>
        </w:tc>
        <w:tc>
          <w:tcPr>
            <w:tcW w:w="1699" w:type="dxa"/>
            <w:tcBorders>
              <w:top w:val="single" w:sz="4" w:space="0" w:color="auto"/>
              <w:left w:val="single" w:sz="4" w:space="0" w:color="auto"/>
              <w:bottom w:val="single" w:sz="4" w:space="0" w:color="auto"/>
            </w:tcBorders>
            <w:shd w:val="clear" w:color="auto" w:fill="FFFFFF"/>
            <w:vAlign w:val="center"/>
          </w:tcPr>
          <w:p w:rsidR="004F288C" w:rsidRDefault="00B33482">
            <w:pPr>
              <w:pStyle w:val="Jin0"/>
              <w:framePr w:w="7920" w:h="970" w:wrap="none" w:vAnchor="page" w:hAnchor="page" w:x="776" w:y="6993"/>
              <w:shd w:val="clear" w:color="auto" w:fill="auto"/>
              <w:spacing w:after="0" w:line="240" w:lineRule="auto"/>
              <w:rPr>
                <w:sz w:val="22"/>
                <w:szCs w:val="22"/>
              </w:rPr>
            </w:pPr>
            <w:r>
              <w:rPr>
                <w:sz w:val="22"/>
                <w:szCs w:val="22"/>
              </w:rPr>
              <w:t>xxxx</w:t>
            </w:r>
          </w:p>
        </w:tc>
        <w:tc>
          <w:tcPr>
            <w:tcW w:w="811" w:type="dxa"/>
            <w:tcBorders>
              <w:top w:val="single" w:sz="4" w:space="0" w:color="auto"/>
              <w:left w:val="single" w:sz="4" w:space="0" w:color="auto"/>
              <w:bottom w:val="single" w:sz="4" w:space="0" w:color="auto"/>
            </w:tcBorders>
            <w:shd w:val="clear" w:color="auto" w:fill="FFFFFF"/>
            <w:vAlign w:val="center"/>
          </w:tcPr>
          <w:p w:rsidR="004F288C" w:rsidRDefault="00B33482">
            <w:pPr>
              <w:pStyle w:val="Jin0"/>
              <w:framePr w:w="7920" w:h="970" w:wrap="none" w:vAnchor="page" w:hAnchor="page" w:x="776" w:y="6993"/>
              <w:shd w:val="clear" w:color="auto" w:fill="auto"/>
              <w:spacing w:after="0" w:line="240" w:lineRule="auto"/>
              <w:rPr>
                <w:sz w:val="22"/>
                <w:szCs w:val="22"/>
              </w:rPr>
            </w:pPr>
            <w:r>
              <w:rPr>
                <w:sz w:val="22"/>
                <w:szCs w:val="22"/>
              </w:rPr>
              <w:t>xxx</w:t>
            </w:r>
          </w:p>
        </w:tc>
        <w:tc>
          <w:tcPr>
            <w:tcW w:w="677" w:type="dxa"/>
            <w:tcBorders>
              <w:top w:val="single" w:sz="4" w:space="0" w:color="auto"/>
              <w:left w:val="single" w:sz="4" w:space="0" w:color="auto"/>
              <w:bottom w:val="single" w:sz="4" w:space="0" w:color="auto"/>
            </w:tcBorders>
            <w:shd w:val="clear" w:color="auto" w:fill="FFFFFF"/>
            <w:vAlign w:val="center"/>
          </w:tcPr>
          <w:p w:rsidR="004F288C" w:rsidRDefault="00E57D7B">
            <w:pPr>
              <w:pStyle w:val="Jin0"/>
              <w:framePr w:w="7920" w:h="970" w:wrap="none" w:vAnchor="page" w:hAnchor="page" w:x="776" w:y="6993"/>
              <w:shd w:val="clear" w:color="auto" w:fill="auto"/>
              <w:spacing w:after="0" w:line="240" w:lineRule="auto"/>
              <w:rPr>
                <w:sz w:val="22"/>
                <w:szCs w:val="22"/>
              </w:rPr>
            </w:pPr>
            <w:r>
              <w:rPr>
                <w:sz w:val="22"/>
                <w:szCs w:val="22"/>
              </w:rPr>
              <w:t>m3</w:t>
            </w:r>
          </w:p>
        </w:tc>
        <w:tc>
          <w:tcPr>
            <w:tcW w:w="1282" w:type="dxa"/>
            <w:tcBorders>
              <w:top w:val="single" w:sz="4" w:space="0" w:color="auto"/>
              <w:left w:val="single" w:sz="4" w:space="0" w:color="auto"/>
              <w:bottom w:val="single" w:sz="4" w:space="0" w:color="auto"/>
            </w:tcBorders>
            <w:shd w:val="clear" w:color="auto" w:fill="FFFFFF"/>
            <w:vAlign w:val="center"/>
          </w:tcPr>
          <w:p w:rsidR="004F288C" w:rsidRDefault="00B33482">
            <w:pPr>
              <w:pStyle w:val="Jin0"/>
              <w:framePr w:w="7920" w:h="970" w:wrap="none" w:vAnchor="page" w:hAnchor="page" w:x="776" w:y="6993"/>
              <w:shd w:val="clear" w:color="auto" w:fill="auto"/>
              <w:spacing w:after="0" w:line="240" w:lineRule="auto"/>
              <w:rPr>
                <w:sz w:val="22"/>
                <w:szCs w:val="22"/>
              </w:rPr>
            </w:pPr>
            <w:r>
              <w:rPr>
                <w:sz w:val="22"/>
                <w:szCs w:val="22"/>
              </w:rPr>
              <w:t>xxx</w:t>
            </w:r>
          </w:p>
        </w:tc>
        <w:tc>
          <w:tcPr>
            <w:tcW w:w="1310" w:type="dxa"/>
            <w:tcBorders>
              <w:top w:val="single" w:sz="4" w:space="0" w:color="auto"/>
              <w:left w:val="single" w:sz="4" w:space="0" w:color="auto"/>
              <w:bottom w:val="single" w:sz="4" w:space="0" w:color="auto"/>
              <w:right w:val="single" w:sz="4" w:space="0" w:color="auto"/>
            </w:tcBorders>
            <w:shd w:val="clear" w:color="auto" w:fill="FFFFFF"/>
            <w:vAlign w:val="center"/>
          </w:tcPr>
          <w:p w:rsidR="004F288C" w:rsidRDefault="00E57D7B">
            <w:pPr>
              <w:pStyle w:val="Jin0"/>
              <w:framePr w:w="7920" w:h="970" w:wrap="none" w:vAnchor="page" w:hAnchor="page" w:x="776" w:y="6993"/>
              <w:shd w:val="clear" w:color="auto" w:fill="auto"/>
              <w:spacing w:after="0" w:line="240" w:lineRule="auto"/>
              <w:rPr>
                <w:sz w:val="22"/>
                <w:szCs w:val="22"/>
              </w:rPr>
            </w:pPr>
            <w:r>
              <w:rPr>
                <w:sz w:val="22"/>
                <w:szCs w:val="22"/>
              </w:rPr>
              <w:t>€/m3</w:t>
            </w:r>
          </w:p>
        </w:tc>
      </w:tr>
    </w:tbl>
    <w:p w:rsidR="004F288C" w:rsidRDefault="00E57D7B">
      <w:pPr>
        <w:pStyle w:val="Zkladntext1"/>
        <w:framePr w:w="10387" w:h="931" w:hRule="exact" w:wrap="none" w:vAnchor="page" w:hAnchor="page" w:x="766" w:y="7943"/>
        <w:shd w:val="clear" w:color="auto" w:fill="auto"/>
        <w:spacing w:after="0"/>
        <w:ind w:left="10" w:right="9"/>
      </w:pPr>
      <w:r>
        <w:rPr>
          <w:b/>
          <w:bCs/>
        </w:rPr>
        <w:t xml:space="preserve">Kupní cena je stanovena za jednotku daného sortimentu dříví na vagóně </w:t>
      </w:r>
      <w:r>
        <w:t>v uceleném vlaku v železniční stanici</w:t>
      </w:r>
      <w:r>
        <w:br/>
        <w:t xml:space="preserve">prodávajícího (rozumí se železniční stanice obsluhovaná dopravcem ČD </w:t>
      </w:r>
      <w:r>
        <w:rPr>
          <w:lang w:val="en-US" w:eastAsia="en-US" w:bidi="en-US"/>
        </w:rPr>
        <w:t xml:space="preserve">Cargo </w:t>
      </w:r>
      <w:r>
        <w:t>a.s., IČ 281 96 678, se sídlem</w:t>
      </w:r>
      <w:r>
        <w:br/>
        <w:t>Jankovcova 1569/2c , 170 00 Praha. Což znamená, že náklady spojené s nakládkou dříví do vagónu nese prodávající a</w:t>
      </w:r>
      <w:r>
        <w:br/>
        <w:t>náklady na přepr</w:t>
      </w:r>
      <w:r w:rsidR="00B33482">
        <w:tab/>
      </w:r>
      <w:r>
        <w:t>avu po železnici do místa plnění, nese kupující v rozsahu a za podmínek stanovených v této smlo</w:t>
      </w:r>
      <w:r>
        <w:t>uvě.</w:t>
      </w:r>
    </w:p>
    <w:p w:rsidR="004F288C" w:rsidRDefault="00E57D7B">
      <w:pPr>
        <w:pStyle w:val="Zkladntext1"/>
        <w:framePr w:w="10387" w:h="480" w:hRule="exact" w:wrap="none" w:vAnchor="page" w:hAnchor="page" w:x="766" w:y="9052"/>
        <w:shd w:val="clear" w:color="auto" w:fill="auto"/>
        <w:spacing w:after="0" w:line="240" w:lineRule="auto"/>
      </w:pPr>
      <w:r>
        <w:t>Přechod vlastnického práva na kupujícího nastává a nebezpečí škody na dříví přechází na kupujícího v okamžiku ukončení přejímky dříví osobou pověřenou prováděním přejímky v místě plnění.</w:t>
      </w:r>
    </w:p>
    <w:p w:rsidR="004F288C" w:rsidRDefault="00E57D7B">
      <w:pPr>
        <w:pStyle w:val="Nadpis10"/>
        <w:framePr w:w="10387" w:h="1584" w:hRule="exact" w:wrap="none" w:vAnchor="page" w:hAnchor="page" w:x="766" w:y="9710"/>
        <w:shd w:val="clear" w:color="auto" w:fill="auto"/>
        <w:spacing w:line="240" w:lineRule="auto"/>
      </w:pPr>
      <w:bookmarkStart w:id="5" w:name="bookmark4"/>
      <w:bookmarkStart w:id="6" w:name="bookmark5"/>
      <w:r>
        <w:t>Kvalitativní požadavky:</w:t>
      </w:r>
      <w:bookmarkEnd w:id="5"/>
      <w:bookmarkEnd w:id="6"/>
    </w:p>
    <w:p w:rsidR="00B33482" w:rsidRDefault="00B33482" w:rsidP="00B33482">
      <w:pPr>
        <w:pStyle w:val="Zkladntext1"/>
        <w:framePr w:w="10387" w:h="1584" w:hRule="exact" w:wrap="none" w:vAnchor="page" w:hAnchor="page" w:x="766" w:y="9710"/>
        <w:shd w:val="clear" w:color="auto" w:fill="auto"/>
        <w:spacing w:after="0" w:line="240" w:lineRule="auto"/>
        <w:rPr>
          <w:i/>
          <w:iCs/>
        </w:rPr>
      </w:pPr>
      <w:r>
        <w:rPr>
          <w:i/>
          <w:iCs/>
        </w:rPr>
        <w:t>xxxxxxxxx</w:t>
      </w:r>
    </w:p>
    <w:p w:rsidR="004F288C" w:rsidRDefault="00E57D7B" w:rsidP="00B33482">
      <w:pPr>
        <w:pStyle w:val="Zkladntext1"/>
        <w:framePr w:w="10387" w:h="1584" w:hRule="exact" w:wrap="none" w:vAnchor="page" w:hAnchor="page" w:x="766" w:y="9710"/>
        <w:shd w:val="clear" w:color="auto" w:fill="auto"/>
        <w:spacing w:after="0" w:line="240" w:lineRule="auto"/>
      </w:pPr>
      <w:r>
        <w:t>Vlákninové dříví v kůře nebo odkorněné, délka 2,5m; 3m; 4m</w:t>
      </w:r>
    </w:p>
    <w:p w:rsidR="004F288C" w:rsidRDefault="00E57D7B">
      <w:pPr>
        <w:pStyle w:val="Zkladntext1"/>
        <w:framePr w:w="10387" w:h="1584" w:hRule="exact" w:wrap="none" w:vAnchor="page" w:hAnchor="page" w:x="766" w:y="9710"/>
        <w:numPr>
          <w:ilvl w:val="0"/>
          <w:numId w:val="1"/>
        </w:numPr>
        <w:shd w:val="clear" w:color="auto" w:fill="auto"/>
        <w:tabs>
          <w:tab w:val="left" w:pos="257"/>
        </w:tabs>
        <w:spacing w:after="0" w:line="240" w:lineRule="auto"/>
      </w:pPr>
      <w:r>
        <w:t xml:space="preserve">čep 7 </w:t>
      </w:r>
      <w:r>
        <w:rPr>
          <w:lang w:val="en-US" w:eastAsia="en-US" w:bidi="en-US"/>
        </w:rPr>
        <w:t xml:space="preserve">cm </w:t>
      </w:r>
      <w:r>
        <w:t xml:space="preserve">(b k.), </w:t>
      </w:r>
      <w:r>
        <w:rPr>
          <w:lang w:val="en-US" w:eastAsia="en-US" w:bidi="en-US"/>
        </w:rPr>
        <w:t xml:space="preserve">max. </w:t>
      </w:r>
      <w:r>
        <w:t>průměr 65 cm (měřeno bez kůry)</w:t>
      </w:r>
    </w:p>
    <w:p w:rsidR="004F288C" w:rsidRDefault="00E57D7B">
      <w:pPr>
        <w:pStyle w:val="Zkladntext1"/>
        <w:framePr w:w="10387" w:h="1584" w:hRule="exact" w:wrap="none" w:vAnchor="page" w:hAnchor="page" w:x="766" w:y="9710"/>
        <w:numPr>
          <w:ilvl w:val="0"/>
          <w:numId w:val="1"/>
        </w:numPr>
        <w:shd w:val="clear" w:color="auto" w:fill="auto"/>
        <w:tabs>
          <w:tab w:val="left" w:pos="257"/>
        </w:tabs>
        <w:spacing w:after="0" w:line="240" w:lineRule="auto"/>
      </w:pPr>
      <w:r>
        <w:t>rovně krácené dříví, hladce odvětvené, bez zlomů a štěpin</w:t>
      </w:r>
    </w:p>
    <w:p w:rsidR="004F288C" w:rsidRDefault="00E57D7B">
      <w:pPr>
        <w:pStyle w:val="Zkladntext1"/>
        <w:framePr w:w="10387" w:h="1584" w:hRule="exact" w:wrap="none" w:vAnchor="page" w:hAnchor="page" w:x="766" w:y="9710"/>
        <w:numPr>
          <w:ilvl w:val="0"/>
          <w:numId w:val="1"/>
        </w:numPr>
        <w:shd w:val="clear" w:color="auto" w:fill="auto"/>
        <w:tabs>
          <w:tab w:val="left" w:pos="257"/>
        </w:tabs>
        <w:spacing w:after="0" w:line="240" w:lineRule="auto"/>
      </w:pPr>
      <w:r>
        <w:t>zabarvení a tvrdá hniloba je přípustná, měkká hniloba není povolena</w:t>
      </w:r>
    </w:p>
    <w:p w:rsidR="004F288C" w:rsidRDefault="00E57D7B">
      <w:pPr>
        <w:pStyle w:val="Zkladntext1"/>
        <w:framePr w:w="10387" w:h="1584" w:hRule="exact" w:wrap="none" w:vAnchor="page" w:hAnchor="page" w:x="766" w:y="9710"/>
        <w:numPr>
          <w:ilvl w:val="0"/>
          <w:numId w:val="1"/>
        </w:numPr>
        <w:shd w:val="clear" w:color="auto" w:fill="auto"/>
        <w:tabs>
          <w:tab w:val="left" w:pos="257"/>
        </w:tabs>
        <w:spacing w:after="0" w:line="240" w:lineRule="auto"/>
      </w:pPr>
      <w:r>
        <w:t>napadení</w:t>
      </w:r>
      <w:r>
        <w:t xml:space="preserve"> dřevokazným hmyzem je přípustné</w:t>
      </w:r>
    </w:p>
    <w:p w:rsidR="004F288C" w:rsidRDefault="00E57D7B">
      <w:pPr>
        <w:pStyle w:val="Nadpis10"/>
        <w:framePr w:w="10387" w:h="1824" w:hRule="exact" w:wrap="none" w:vAnchor="page" w:hAnchor="page" w:x="766" w:y="11476"/>
        <w:shd w:val="clear" w:color="auto" w:fill="auto"/>
        <w:spacing w:line="254" w:lineRule="auto"/>
      </w:pPr>
      <w:bookmarkStart w:id="7" w:name="bookmark6"/>
      <w:bookmarkStart w:id="8" w:name="bookmark7"/>
      <w:r>
        <w:t>Způsob přejímky:</w:t>
      </w:r>
      <w:bookmarkEnd w:id="7"/>
      <w:bookmarkEnd w:id="8"/>
    </w:p>
    <w:p w:rsidR="004F288C" w:rsidRDefault="00E57D7B">
      <w:pPr>
        <w:pStyle w:val="Zkladntext1"/>
        <w:framePr w:w="10387" w:h="1824" w:hRule="exact" w:wrap="none" w:vAnchor="page" w:hAnchor="page" w:x="766" w:y="11476"/>
        <w:numPr>
          <w:ilvl w:val="0"/>
          <w:numId w:val="1"/>
        </w:numPr>
        <w:shd w:val="clear" w:color="auto" w:fill="auto"/>
        <w:tabs>
          <w:tab w:val="left" w:pos="257"/>
        </w:tabs>
        <w:spacing w:after="0" w:line="254" w:lineRule="auto"/>
        <w:ind w:left="320" w:hanging="320"/>
      </w:pPr>
      <w:r>
        <w:t>přejímka prostorová, ze změřeného objemu bude odečteno 2,5% a výsledné prm budou přepočteny na m3 koeficienty: délka 2,5m - 0,67 ; délka 3m - 0,64 ; délka 4m - 0,62</w:t>
      </w:r>
    </w:p>
    <w:p w:rsidR="004F288C" w:rsidRDefault="00E57D7B">
      <w:pPr>
        <w:pStyle w:val="Zkladntext1"/>
        <w:framePr w:w="10387" w:h="1824" w:hRule="exact" w:wrap="none" w:vAnchor="page" w:hAnchor="page" w:x="766" w:y="11476"/>
        <w:numPr>
          <w:ilvl w:val="0"/>
          <w:numId w:val="1"/>
        </w:numPr>
        <w:shd w:val="clear" w:color="auto" w:fill="auto"/>
        <w:tabs>
          <w:tab w:val="left" w:pos="257"/>
        </w:tabs>
        <w:spacing w:after="0" w:line="254" w:lineRule="auto"/>
        <w:ind w:left="320" w:hanging="320"/>
      </w:pPr>
      <w:r>
        <w:t>kupující a prodávající se dohodli, že pro</w:t>
      </w:r>
      <w:r>
        <w:t xml:space="preserve"> stanovení množství a kvality odevzdaného dříví a pro fakturaci je rozhodující výsledek přejímky dříví u konečného příjemce (místo plnění)</w:t>
      </w:r>
    </w:p>
    <w:p w:rsidR="004F288C" w:rsidRDefault="00E57D7B">
      <w:pPr>
        <w:pStyle w:val="Zkladntext1"/>
        <w:framePr w:w="10387" w:h="1824" w:hRule="exact" w:wrap="none" w:vAnchor="page" w:hAnchor="page" w:x="766" w:y="11476"/>
        <w:numPr>
          <w:ilvl w:val="0"/>
          <w:numId w:val="1"/>
        </w:numPr>
        <w:shd w:val="clear" w:color="auto" w:fill="auto"/>
        <w:tabs>
          <w:tab w:val="left" w:pos="257"/>
        </w:tabs>
        <w:spacing w:after="0" w:line="254" w:lineRule="auto"/>
        <w:ind w:left="320" w:hanging="320"/>
      </w:pPr>
      <w:r>
        <w:t>pro případ dodání dříví neodpovídajícího podmínkám platí, že dříví nebylo dodáno řádně a včas; za takové dříví nenále</w:t>
      </w:r>
      <w:r>
        <w:t>ží prodávajícímu žádná úhrada a takové dříví nebude fakturováno ani zahrnuto do sjednaného množství pro dodání dle této smlouvy; kupující není povinen takové dříví výslovně odmítnout ani vrátit prodávajícímu</w:t>
      </w:r>
    </w:p>
    <w:p w:rsidR="004F288C" w:rsidRDefault="00E57D7B">
      <w:pPr>
        <w:pStyle w:val="Nadpis10"/>
        <w:framePr w:w="10387" w:h="2477" w:hRule="exact" w:wrap="none" w:vAnchor="page" w:hAnchor="page" w:x="766" w:y="13473"/>
        <w:shd w:val="clear" w:color="auto" w:fill="auto"/>
        <w:spacing w:line="254" w:lineRule="auto"/>
      </w:pPr>
      <w:bookmarkStart w:id="9" w:name="bookmark8"/>
      <w:bookmarkStart w:id="10" w:name="bookmark9"/>
      <w:r>
        <w:t>Způsob nakládky:</w:t>
      </w:r>
      <w:bookmarkEnd w:id="9"/>
      <w:bookmarkEnd w:id="10"/>
    </w:p>
    <w:p w:rsidR="004F288C" w:rsidRDefault="00E57D7B">
      <w:pPr>
        <w:pStyle w:val="Zkladntext1"/>
        <w:framePr w:w="10387" w:h="2477" w:hRule="exact" w:wrap="none" w:vAnchor="page" w:hAnchor="page" w:x="766" w:y="13473"/>
        <w:shd w:val="clear" w:color="auto" w:fill="auto"/>
        <w:spacing w:after="0" w:line="254" w:lineRule="auto"/>
      </w:pPr>
      <w:r>
        <w:t xml:space="preserve">Prodávající se zavazuje ložit </w:t>
      </w:r>
      <w:r>
        <w:t>dříví do čtyřosých vysokostěnných vagónů a to především vagónů typu Eas. Pro nakládku není možné používat vagóny typu Laaps. Dodávky po železnici ve vagonech Ros, Roos, Sps, Rns-z, Rnoos-z, Snps je možné realizovat pouze po předchozí domluvě mezi smluvními</w:t>
      </w:r>
      <w:r>
        <w:t xml:space="preserve"> stranami.</w:t>
      </w:r>
    </w:p>
    <w:p w:rsidR="004F288C" w:rsidRDefault="00E57D7B">
      <w:pPr>
        <w:pStyle w:val="Zkladntext1"/>
        <w:framePr w:w="10387" w:h="2477" w:hRule="exact" w:wrap="none" w:vAnchor="page" w:hAnchor="page" w:x="766" w:y="13473"/>
        <w:shd w:val="clear" w:color="auto" w:fill="auto"/>
        <w:spacing w:after="0" w:line="254" w:lineRule="auto"/>
      </w:pPr>
      <w:r>
        <w:t>Dříví musí být naloženo podle mezinárodních drážních předpisů a to nejméně do výše bočnic, nebo do oblouku nad vagón (až 90 cm nad vagón ve středu oblouku) jištěné popruhy (nakládací směrnice 2.1)</w:t>
      </w:r>
    </w:p>
    <w:p w:rsidR="004F288C" w:rsidRDefault="00E57D7B">
      <w:pPr>
        <w:pStyle w:val="Zkladntext1"/>
        <w:framePr w:w="10387" w:h="2477" w:hRule="exact" w:wrap="none" w:vAnchor="page" w:hAnchor="page" w:x="766" w:y="13473"/>
        <w:shd w:val="clear" w:color="auto" w:fill="auto"/>
        <w:spacing w:after="0" w:line="254" w:lineRule="auto"/>
      </w:pPr>
      <w:r>
        <w:t>Při nakládce se nesmí používat drát ani jiné kov</w:t>
      </w:r>
      <w:r>
        <w:t xml:space="preserve">ové předměty, ze dříví je nutno odstranit plastové štítky. Společnost </w:t>
      </w:r>
      <w:r>
        <w:rPr>
          <w:lang w:val="en-US" w:eastAsia="en-US" w:bidi="en-US"/>
        </w:rPr>
        <w:t xml:space="preserve">Wood </w:t>
      </w:r>
      <w:r>
        <w:t xml:space="preserve">&amp; </w:t>
      </w:r>
      <w:r>
        <w:rPr>
          <w:lang w:val="en-US" w:eastAsia="en-US" w:bidi="en-US"/>
        </w:rPr>
        <w:t xml:space="preserve">Paper </w:t>
      </w:r>
      <w:r>
        <w:t>a.s. poskytne popruhy pro zabezpečení dříví nad stěny vagónů</w:t>
      </w:r>
    </w:p>
    <w:p w:rsidR="004F288C" w:rsidRDefault="00E57D7B">
      <w:pPr>
        <w:pStyle w:val="Zkladntext1"/>
        <w:framePr w:w="10387" w:h="2477" w:hRule="exact" w:wrap="none" w:vAnchor="page" w:hAnchor="page" w:x="766" w:y="13473"/>
        <w:shd w:val="clear" w:color="auto" w:fill="auto"/>
        <w:spacing w:after="0" w:line="254" w:lineRule="auto"/>
      </w:pPr>
      <w:r>
        <w:rPr>
          <w:b/>
          <w:bCs/>
          <w:u w:val="single"/>
        </w:rPr>
        <w:t>Přepravní dispozice:</w:t>
      </w:r>
    </w:p>
    <w:p w:rsidR="004F288C" w:rsidRDefault="00E57D7B">
      <w:pPr>
        <w:pStyle w:val="Zkladntext1"/>
        <w:framePr w:w="10387" w:h="2477" w:hRule="exact" w:wrap="none" w:vAnchor="page" w:hAnchor="page" w:x="766" w:y="13473"/>
        <w:shd w:val="clear" w:color="auto" w:fill="auto"/>
        <w:spacing w:after="0" w:line="254" w:lineRule="auto"/>
      </w:pPr>
      <w:r>
        <w:t>Prodávající se zavazuje na svůj náklad připravit dříví určené k přepravě na odvozní místo a</w:t>
      </w:r>
      <w:r>
        <w:t xml:space="preserve"> zajistit nakládku. Kupující s prodávajícím se dohodli, že pro přepravu předmětu smlouvy konanou po železnici je závazný Tarif pro přepravu</w:t>
      </w:r>
    </w:p>
    <w:p w:rsidR="004F288C" w:rsidRDefault="004F288C">
      <w:pPr>
        <w:framePr w:wrap="none" w:vAnchor="page" w:hAnchor="page" w:x="11009" w:y="16113"/>
        <w:rPr>
          <w:sz w:val="2"/>
          <w:szCs w:val="2"/>
        </w:rPr>
      </w:pPr>
    </w:p>
    <w:p w:rsidR="004F288C" w:rsidRDefault="004F288C">
      <w:pPr>
        <w:spacing w:line="1" w:lineRule="exact"/>
        <w:sectPr w:rsidR="004F288C">
          <w:pgSz w:w="11900" w:h="16840"/>
          <w:pgMar w:top="470" w:right="360" w:bottom="360" w:left="360" w:header="0" w:footer="3" w:gutter="0"/>
          <w:cols w:space="720"/>
          <w:noEndnote/>
          <w:docGrid w:linePitch="360"/>
        </w:sectPr>
      </w:pPr>
    </w:p>
    <w:p w:rsidR="004F288C" w:rsidRDefault="004F288C">
      <w:pPr>
        <w:spacing w:line="1" w:lineRule="exact"/>
      </w:pPr>
    </w:p>
    <w:p w:rsidR="004F288C" w:rsidRDefault="00E57D7B">
      <w:pPr>
        <w:pStyle w:val="Zhlavnebozpat0"/>
        <w:framePr w:w="10426" w:h="528" w:hRule="exact" w:wrap="none" w:vAnchor="page" w:hAnchor="page" w:x="788" w:y="551"/>
        <w:shd w:val="clear" w:color="auto" w:fill="auto"/>
        <w:ind w:firstLine="360"/>
      </w:pPr>
      <w:r>
        <w:t xml:space="preserve"> </w:t>
      </w:r>
      <w:r>
        <w:rPr>
          <w:lang w:val="en-US" w:eastAsia="en-US" w:bidi="en-US"/>
        </w:rPr>
        <w:t>Wood &amp; Paper</w:t>
      </w:r>
    </w:p>
    <w:p w:rsidR="004F288C" w:rsidRDefault="00E57D7B">
      <w:pPr>
        <w:pStyle w:val="Zkladntext1"/>
        <w:framePr w:w="10426" w:h="14419" w:hRule="exact" w:wrap="none" w:vAnchor="page" w:hAnchor="page" w:x="788" w:y="1401"/>
        <w:shd w:val="clear" w:color="auto" w:fill="auto"/>
        <w:spacing w:after="0" w:line="262" w:lineRule="auto"/>
      </w:pPr>
      <w:r>
        <w:t xml:space="preserve">ozových zásilek ČD </w:t>
      </w:r>
      <w:r>
        <w:rPr>
          <w:lang w:val="en-US" w:eastAsia="en-US" w:bidi="en-US"/>
        </w:rPr>
        <w:t xml:space="preserve">Cargo, </w:t>
      </w:r>
      <w:r>
        <w:t xml:space="preserve">a.s. (dále jen TVZ) vyhlášený společností ČD </w:t>
      </w:r>
      <w:r>
        <w:rPr>
          <w:lang w:val="en-US" w:eastAsia="en-US" w:bidi="en-US"/>
        </w:rPr>
        <w:t xml:space="preserve">Cargo </w:t>
      </w:r>
      <w:r>
        <w:t xml:space="preserve">a.s. Jankovcova 1569/2c ,170 00 Praha 7, IČ 281 96 678, dále jen jako dopravce. Smluvní strany berou na vědomí, že aktuální znění TVZ je přístupné na internetových stránkách společnosti </w:t>
      </w:r>
      <w:r>
        <w:rPr>
          <w:lang w:val="en-US" w:eastAsia="en-US" w:bidi="en-US"/>
        </w:rPr>
        <w:t xml:space="preserve">CD Cargo </w:t>
      </w:r>
      <w:r>
        <w:t xml:space="preserve">a.s. </w:t>
      </w:r>
      <w:r>
        <w:rPr>
          <w:lang w:val="en-US" w:eastAsia="en-US" w:bidi="en-US"/>
        </w:rPr>
        <w:t xml:space="preserve">(link </w:t>
      </w:r>
      <w:hyperlink r:id="rId9" w:history="1">
        <w:r>
          <w:rPr>
            <w:lang w:val="en-US" w:eastAsia="en-US" w:bidi="en-US"/>
          </w:rPr>
          <w:t>www.cd.car</w:t>
        </w:r>
        <w:r>
          <w:rPr>
            <w:lang w:val="en-US" w:eastAsia="en-US" w:bidi="en-US"/>
          </w:rPr>
          <w:t>go.cz</w:t>
        </w:r>
      </w:hyperlink>
      <w:r>
        <w:rPr>
          <w:lang w:val="en-US" w:eastAsia="en-US" w:bidi="en-US"/>
        </w:rPr>
        <w:t xml:space="preserve"> </w:t>
      </w:r>
      <w:r>
        <w:t>v záložce "Zákaznická podpora - tarify - vnitrostátní tarify"). Smluvní strany prohlašují, že před podpisem kupní smlouvy se s aktuálním zněním TVZ seznámily, s jeho obsahem souhlasí a zároveň se zavazují v případě změn TVZ se s novým zněním sezná</w:t>
      </w:r>
      <w:r>
        <w:t>mit a toto znění dodržovat.</w:t>
      </w:r>
    </w:p>
    <w:p w:rsidR="004F288C" w:rsidRDefault="00E57D7B">
      <w:pPr>
        <w:pStyle w:val="Zkladntext1"/>
        <w:framePr w:w="10426" w:h="14419" w:hRule="exact" w:wrap="none" w:vAnchor="page" w:hAnchor="page" w:x="788" w:y="1401"/>
        <w:shd w:val="clear" w:color="auto" w:fill="auto"/>
        <w:spacing w:after="0"/>
      </w:pPr>
      <w:r>
        <w:t>Kupující hradí pouze dovozné za obyčejnou vozovou zásilku na základě platné váhy zboží uvedené na nákladním listu CIM nebo váhy, zjištěnou dopravcem během přepravy. Vzniknou-li v souvislosti s přepravou dříví z odvozního místa d</w:t>
      </w:r>
      <w:r>
        <w:t>o místa plnění náklady související s přepravou mimo dovozné (především doplňující a vedlejší poplatky, tarifní příplatky, prostoje vozu, úpravy nákladu na cestě, veškeré částky za ohrožení bezpečnosti provozu dle bodu 25 §4 TVZ způsobené překročením nejvyš</w:t>
      </w:r>
      <w:r>
        <w:t>ší přípustné hmotnosti vozu a dalších hmotnostních omezení a ostatní náklady související s přepravou smluvní dodávky nebo vzniklé porušením sjednaných podmínek v této smlouvě), má kupující proti prodávajícímu nárok na náhradu takto vynaložených nákladů. Pr</w:t>
      </w:r>
      <w:r>
        <w:t>odávající odpovídá za správnost údajů vyplněných v nákladním listu, a to nejen během přepravy, ale i po přepravě. Prodávající se zavazuje být odesílatelem na nákladním listu a je povinen vyplnit nákladní list CIM podle pokynů kupujícího (vzor nákladního li</w:t>
      </w:r>
      <w:r>
        <w:t xml:space="preserve">stu CIM zaslaný emailem) nebo doplnit údaje do před-vyplněného nákladního listu CIM platného pro dohodnuté smluvní období, který obdrží od kupujícího. Prodávající je povinen nakládat předmět smlouvy do vagónů do jejich předepsané </w:t>
      </w:r>
      <w:r>
        <w:rPr>
          <w:lang w:val="en-US" w:eastAsia="en-US" w:bidi="en-US"/>
        </w:rPr>
        <w:t xml:space="preserve">max. </w:t>
      </w:r>
      <w:r>
        <w:t xml:space="preserve">únosnosti uvedené na </w:t>
      </w:r>
      <w:r>
        <w:t xml:space="preserve">vagonu dle typu vagónu a železniční tratě v místě nakládky. Bude-li kontrolním vážením smluvní dodávky zjištěno, že deklarovaná hmotnost zboží v nákladním listu CIM je nižší než skutečná hmotnost zboží ve vagónu nebo je vyšší než předepsaná </w:t>
      </w:r>
      <w:r>
        <w:rPr>
          <w:lang w:val="en-US" w:eastAsia="en-US" w:bidi="en-US"/>
        </w:rPr>
        <w:t xml:space="preserve">max. </w:t>
      </w:r>
      <w:r>
        <w:t>únosnost v</w:t>
      </w:r>
      <w:r>
        <w:t>agónu, mohou být prodávajícímu přeúčtovány všechny vícenáklady s tím spojené. Kupující si vyhrazuje právo vyúčtovat prodávajícímu všechny náklady vzniklé z důvodu porušení podmínek ujednaných v této smlouvě nebo porušením podmínek dle platné TVZ.</w:t>
      </w:r>
    </w:p>
    <w:p w:rsidR="004F288C" w:rsidRDefault="00E57D7B">
      <w:pPr>
        <w:pStyle w:val="Zkladntext1"/>
        <w:framePr w:w="10426" w:h="14419" w:hRule="exact" w:wrap="none" w:vAnchor="page" w:hAnchor="page" w:x="788" w:y="1401"/>
        <w:shd w:val="clear" w:color="auto" w:fill="auto"/>
        <w:spacing w:after="0"/>
      </w:pPr>
      <w:r>
        <w:t xml:space="preserve">Prodávající bere na vědomí, že dopravce ČD </w:t>
      </w:r>
      <w:r>
        <w:rPr>
          <w:lang w:val="en-US" w:eastAsia="en-US" w:bidi="en-US"/>
        </w:rPr>
        <w:t xml:space="preserve">Cargo </w:t>
      </w:r>
      <w:r>
        <w:t xml:space="preserve">vyhlašuje od 1.1.2014 ve vytipovaných železničních stanicích </w:t>
      </w:r>
      <w:r>
        <w:rPr>
          <w:b/>
          <w:bCs/>
        </w:rPr>
        <w:t xml:space="preserve">„Zvláštní přepravní podmínky“(dále </w:t>
      </w:r>
      <w:r>
        <w:t>ZPP), na základě kterých je stanoven minimální počet vozů podaných k přepravě k jedné obsluze stanice a výše po</w:t>
      </w:r>
      <w:r>
        <w:t>platku doplňujícího (PD) ke každému vozu uvedenému v nákladním listu (kč/vůz) v případě nesplnění minimálního počtů vozů. Prodávající se dohodl s kupujícím, že přebírá odpovědnost, hradí tyto PD a souhlasí s přeúčtováním ze strany kupujícího v případě nesp</w:t>
      </w:r>
      <w:r>
        <w:t xml:space="preserve">lnění stanovených podmínek. ZPP včetně přílohy s vytipovanými stanicemi jsou přílohou k této smlouvě. Platné „Zvláštní přepravní podmínky společnosti ČD </w:t>
      </w:r>
      <w:r>
        <w:rPr>
          <w:lang w:val="en-US" w:eastAsia="en-US" w:bidi="en-US"/>
        </w:rPr>
        <w:t xml:space="preserve">Cargo“ </w:t>
      </w:r>
      <w:r>
        <w:t xml:space="preserve">jsou ke stažení na internetových stránkách kupujícího </w:t>
      </w:r>
      <w:hyperlink r:id="rId10" w:history="1">
        <w:r>
          <w:rPr>
            <w:u w:val="single"/>
            <w:lang w:val="en-US" w:eastAsia="en-US" w:bidi="en-US"/>
          </w:rPr>
          <w:t>www.wo</w:t>
        </w:r>
        <w:r>
          <w:rPr>
            <w:u w:val="single"/>
            <w:lang w:val="en-US" w:eastAsia="en-US" w:bidi="en-US"/>
          </w:rPr>
          <w:t>od-Daper.cz</w:t>
        </w:r>
      </w:hyperlink>
    </w:p>
    <w:p w:rsidR="004F288C" w:rsidRDefault="00E57D7B">
      <w:pPr>
        <w:pStyle w:val="Zkladntext1"/>
        <w:framePr w:w="10426" w:h="14419" w:hRule="exact" w:wrap="none" w:vAnchor="page" w:hAnchor="page" w:x="788" w:y="1401"/>
        <w:shd w:val="clear" w:color="auto" w:fill="auto"/>
      </w:pPr>
      <w:r>
        <w:t>Z důvodu právní jistoty smluvní strany výslovně prohlašují, že převzetí zboží třetí osobou - dopravcem - k přepravě nemá vliv na přechod vlastnického práva k dříví z prodávajícího na kupujícího. Nebezpečí škody na zboží přechází na kupujícíh</w:t>
      </w:r>
      <w:r>
        <w:t>o současně s nabytím vlastnického práva v dohodnutém místě plnění, ustanovení § 2123 občanského zákoníku se nepoužije</w:t>
      </w:r>
    </w:p>
    <w:p w:rsidR="004F288C" w:rsidRDefault="00E57D7B">
      <w:pPr>
        <w:pStyle w:val="Nadpis10"/>
        <w:framePr w:w="10426" w:h="14419" w:hRule="exact" w:wrap="none" w:vAnchor="page" w:hAnchor="page" w:x="788" w:y="1401"/>
        <w:shd w:val="clear" w:color="auto" w:fill="auto"/>
      </w:pPr>
      <w:bookmarkStart w:id="11" w:name="bookmark10"/>
      <w:bookmarkStart w:id="12" w:name="bookmark11"/>
      <w:r>
        <w:t>Fakturační a platební podmínky:</w:t>
      </w:r>
      <w:bookmarkEnd w:id="11"/>
      <w:bookmarkEnd w:id="12"/>
    </w:p>
    <w:p w:rsidR="004F288C" w:rsidRDefault="00E57D7B">
      <w:pPr>
        <w:pStyle w:val="Zkladntext1"/>
        <w:framePr w:w="10426" w:h="14419" w:hRule="exact" w:wrap="none" w:vAnchor="page" w:hAnchor="page" w:x="788" w:y="1401"/>
        <w:shd w:val="clear" w:color="auto" w:fill="auto"/>
        <w:jc w:val="both"/>
      </w:pPr>
      <w:r>
        <w:t>Kupující s prodávajícím se dohodli, že kupující na základě výsledků přejímky dříví vystaví faktury - daňov</w:t>
      </w:r>
      <w:r>
        <w:t>é doklady jménem prodávajícího a prodávající prohlašuje, že tyto faktury - daňové doklady považuje za jím vystavené a doručené kupujícímu. Faktura musí mít veškeré náležitosti daňového dokladu ve smyslu obecně platných právních předpisů, ve znění změn a do</w:t>
      </w:r>
      <w:r>
        <w:t>plňků.</w:t>
      </w:r>
    </w:p>
    <w:p w:rsidR="004F288C" w:rsidRDefault="00E57D7B">
      <w:pPr>
        <w:pStyle w:val="Nadpis10"/>
        <w:framePr w:w="10426" w:h="14419" w:hRule="exact" w:wrap="none" w:vAnchor="page" w:hAnchor="page" w:x="788" w:y="1401"/>
        <w:shd w:val="clear" w:color="auto" w:fill="auto"/>
        <w:spacing w:after="200" w:line="262" w:lineRule="auto"/>
        <w:jc w:val="both"/>
      </w:pPr>
      <w:bookmarkStart w:id="13" w:name="bookmark12"/>
      <w:bookmarkStart w:id="14" w:name="bookmark13"/>
      <w:r>
        <w:rPr>
          <w:u w:val="none"/>
        </w:rPr>
        <w:t xml:space="preserve">Číslo samofaktury, kterou vystavuje </w:t>
      </w:r>
      <w:r>
        <w:rPr>
          <w:u w:val="none"/>
          <w:lang w:val="en-US" w:eastAsia="en-US" w:bidi="en-US"/>
        </w:rPr>
        <w:t xml:space="preserve">WOOD </w:t>
      </w:r>
      <w:r>
        <w:rPr>
          <w:u w:val="none"/>
        </w:rPr>
        <w:t xml:space="preserve">&amp; </w:t>
      </w:r>
      <w:r>
        <w:rPr>
          <w:u w:val="none"/>
          <w:lang w:val="en-US" w:eastAsia="en-US" w:bidi="en-US"/>
        </w:rPr>
        <w:t xml:space="preserve">PAPER </w:t>
      </w:r>
      <w:r>
        <w:rPr>
          <w:u w:val="none"/>
        </w:rPr>
        <w:t>a.s., je evidenčním číslem dokladu, které vstupuje do kontrolního hlášení zasílané na finanční úřad.</w:t>
      </w:r>
      <w:bookmarkEnd w:id="13"/>
      <w:bookmarkEnd w:id="14"/>
    </w:p>
    <w:p w:rsidR="004F288C" w:rsidRDefault="00E57D7B">
      <w:pPr>
        <w:pStyle w:val="Zkladntext1"/>
        <w:framePr w:w="10426" w:h="14419" w:hRule="exact" w:wrap="none" w:vAnchor="page" w:hAnchor="page" w:x="788" w:y="1401"/>
        <w:shd w:val="clear" w:color="auto" w:fill="auto"/>
        <w:spacing w:after="0" w:line="254" w:lineRule="auto"/>
        <w:jc w:val="both"/>
      </w:pPr>
      <w:r>
        <w:t>Strany této smlouvy berou na vědomí, že místo plnění dle této smlouvy se nachází mimo území České r</w:t>
      </w:r>
      <w:r>
        <w:t>epubliky a berou na vědomí právní důsledky, které z této skutečnosti vyplývají.</w:t>
      </w:r>
    </w:p>
    <w:p w:rsidR="004F288C" w:rsidRDefault="00E57D7B">
      <w:pPr>
        <w:pStyle w:val="Zkladntext1"/>
        <w:framePr w:w="10426" w:h="14419" w:hRule="exact" w:wrap="none" w:vAnchor="page" w:hAnchor="page" w:x="788" w:y="1401"/>
        <w:shd w:val="clear" w:color="auto" w:fill="auto"/>
        <w:tabs>
          <w:tab w:val="right" w:leader="dot" w:pos="3139"/>
          <w:tab w:val="left" w:pos="3284"/>
        </w:tabs>
        <w:spacing w:after="0" w:line="254" w:lineRule="auto"/>
        <w:jc w:val="both"/>
      </w:pPr>
      <w:r>
        <w:t>Smluvní strany se dohodly a souhlasí s tím, že faktury či jiné daňové doklady budou zasílány v elektronické podobě elektronickou poštou (emailem) na adresu</w:t>
      </w:r>
      <w:r>
        <w:rPr>
          <w:u w:val="single"/>
        </w:rPr>
        <w:tab/>
      </w:r>
      <w:r>
        <w:t>a</w:t>
      </w:r>
      <w:r>
        <w:tab/>
        <w:t xml:space="preserve">to opatřené </w:t>
      </w:r>
      <w:r>
        <w:t>zaručeným elektronickým podpisem založeným na kvalifikovaném certifikátu</w:t>
      </w:r>
    </w:p>
    <w:p w:rsidR="004F288C" w:rsidRDefault="00E57D7B">
      <w:pPr>
        <w:pStyle w:val="Zkladntext1"/>
        <w:framePr w:w="10426" w:h="14419" w:hRule="exact" w:wrap="none" w:vAnchor="page" w:hAnchor="page" w:x="788" w:y="1401"/>
        <w:shd w:val="clear" w:color="auto" w:fill="auto"/>
        <w:spacing w:line="254" w:lineRule="auto"/>
        <w:jc w:val="both"/>
      </w:pPr>
      <w:r>
        <w:t>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w:t>
      </w:r>
      <w:r>
        <w:t xml:space="preserve">onické podobě na uvedenou emailovou adresu druhého účastníka. Faktury v papírové podobě nebudou zasílány. Společnost </w:t>
      </w:r>
      <w:r>
        <w:rPr>
          <w:lang w:val="en-US" w:eastAsia="en-US" w:bidi="en-US"/>
        </w:rPr>
        <w:t xml:space="preserve">Wood </w:t>
      </w:r>
      <w:r>
        <w:t xml:space="preserve">&amp; </w:t>
      </w:r>
      <w:r>
        <w:rPr>
          <w:lang w:val="en-US" w:eastAsia="en-US" w:bidi="en-US"/>
        </w:rPr>
        <w:t xml:space="preserve">Paper </w:t>
      </w:r>
      <w:r>
        <w:t>a.s. má právo kdykoliv v průběhu trvání smluvního vztahu namísto daňového dokladu v elektronické podobě zaslat doklad v podobě</w:t>
      </w:r>
      <w:r>
        <w:t xml:space="preserve"> listinné.</w:t>
      </w:r>
    </w:p>
    <w:p w:rsidR="004F288C" w:rsidRDefault="00E57D7B">
      <w:pPr>
        <w:pStyle w:val="Zkladntext1"/>
        <w:framePr w:w="10426" w:h="14419" w:hRule="exact" w:wrap="none" w:vAnchor="page" w:hAnchor="page" w:x="788" w:y="1401"/>
        <w:shd w:val="clear" w:color="auto" w:fill="auto"/>
        <w:jc w:val="both"/>
      </w:pPr>
      <w:r>
        <w:t>Datum uskutečnění zdanitelného plnění (DUZP) se sjednává v souladu se zákonem č. 235/2004 Sb., o dani z přidané hodnoty, v účinném znění (zákon o DPH), podle § 21 odst. 10, DUZP je každý 7. den v kalendářním měsíci, pokud však tento den překročí</w:t>
      </w:r>
      <w:r>
        <w:t xml:space="preserve"> kalendářní měsíc, je to poslední den tohoto měsíce. V těchto termínech budou vystaveny daňové doklady v souladu se zákonem do 15. dne uplynutí dílčího plnění.</w:t>
      </w:r>
    </w:p>
    <w:p w:rsidR="004F288C" w:rsidRDefault="00E57D7B">
      <w:pPr>
        <w:pStyle w:val="Zkladntext1"/>
        <w:framePr w:w="10426" w:h="14419" w:hRule="exact" w:wrap="none" w:vAnchor="page" w:hAnchor="page" w:x="788" w:y="1401"/>
        <w:shd w:val="clear" w:color="auto" w:fill="auto"/>
        <w:jc w:val="both"/>
      </w:pPr>
      <w:r>
        <w:t>Je-li prodávající plátce daně z přidané hodnoty (DPH), je závazek kupujícího zaplatit kupní cenu</w:t>
      </w:r>
      <w:r>
        <w:t xml:space="preserve"> splněn také v případě, že kupující plní na účet zveřejněný podle ust. § 98 zákona č. 235/2004 Sb., o dani z přidané hodnoty, ve znění pozdějších předpisů (zákon o DPH). Je-li prodávající plátce DPH, je závazek kupujícího zaplatit kupní cenu v jeho části o</w:t>
      </w:r>
      <w:r>
        <w:t>dpovídající DPH splněn také v případě, že kupující uhradí za prodávajícího DPH v souladu s ust. § 109a zákona o DPH na účet příslušného správce daně prodávajícího. Stane-li se kupující ručitelem podle ust. § 109 zákona o DPH, je závazek kupujícího zaplatit</w:t>
      </w:r>
      <w:r>
        <w:t xml:space="preserve"> kupní cenu v jeho části odpovídající DPH splněn také v případě, že kupující tuto část uhradí na účet příslušného správce daně prodávajícího.</w:t>
      </w:r>
    </w:p>
    <w:p w:rsidR="004F288C" w:rsidRDefault="00E57D7B">
      <w:pPr>
        <w:pStyle w:val="Zkladntext1"/>
        <w:framePr w:w="10426" w:h="14419" w:hRule="exact" w:wrap="none" w:vAnchor="page" w:hAnchor="page" w:x="788" w:y="1401"/>
        <w:shd w:val="clear" w:color="auto" w:fill="auto"/>
        <w:spacing w:after="0"/>
        <w:jc w:val="both"/>
      </w:pPr>
      <w:r>
        <w:t>Splatnost faktur se sjednává 60 dní od data vystavení faktury. Prodávající výslovně prohlašuje, že toto ujednání o</w:t>
      </w:r>
      <w:r>
        <w:t xml:space="preserve"> čase plnění</w:t>
      </w:r>
    </w:p>
    <w:p w:rsidR="004F288C" w:rsidRDefault="00E57D7B">
      <w:pPr>
        <w:pStyle w:val="Zhlavnebozpat0"/>
        <w:framePr w:wrap="none" w:vAnchor="page" w:hAnchor="page" w:x="11012" w:y="15978"/>
        <w:shd w:val="clear" w:color="auto" w:fill="auto"/>
        <w:rPr>
          <w:sz w:val="18"/>
          <w:szCs w:val="18"/>
        </w:rPr>
      </w:pPr>
      <w:r>
        <w:rPr>
          <w:w w:val="100"/>
          <w:sz w:val="18"/>
          <w:szCs w:val="18"/>
        </w:rPr>
        <w:t>2/4</w:t>
      </w:r>
    </w:p>
    <w:p w:rsidR="004F288C" w:rsidRDefault="004F288C">
      <w:pPr>
        <w:spacing w:line="1" w:lineRule="exact"/>
        <w:sectPr w:rsidR="004F288C">
          <w:pgSz w:w="11900" w:h="16840"/>
          <w:pgMar w:top="499" w:right="360" w:bottom="360" w:left="360" w:header="0" w:footer="3" w:gutter="0"/>
          <w:cols w:space="720"/>
          <w:noEndnote/>
          <w:docGrid w:linePitch="360"/>
        </w:sectPr>
      </w:pPr>
    </w:p>
    <w:p w:rsidR="004F288C" w:rsidRDefault="004F288C">
      <w:pPr>
        <w:spacing w:line="1" w:lineRule="exact"/>
      </w:pPr>
    </w:p>
    <w:p w:rsidR="004F288C" w:rsidRDefault="00B33482">
      <w:pPr>
        <w:pStyle w:val="Zhlavnebozpat0"/>
        <w:framePr w:w="10426" w:h="528" w:hRule="exact" w:wrap="none" w:vAnchor="page" w:hAnchor="page" w:x="788" w:y="546"/>
        <w:shd w:val="clear" w:color="auto" w:fill="auto"/>
        <w:ind w:firstLine="880"/>
      </w:pPr>
      <w:r>
        <w:t>W</w:t>
      </w:r>
      <w:r w:rsidR="00E57D7B">
        <w:t xml:space="preserve">ood &amp; </w:t>
      </w:r>
      <w:r w:rsidR="00E57D7B">
        <w:rPr>
          <w:lang w:val="en-US" w:eastAsia="en-US" w:bidi="en-US"/>
        </w:rPr>
        <w:t>Paper</w:t>
      </w:r>
    </w:p>
    <w:p w:rsidR="004F288C" w:rsidRDefault="00E57D7B">
      <w:pPr>
        <w:pStyle w:val="Zkladntext1"/>
        <w:framePr w:w="10426" w:h="14405" w:hRule="exact" w:wrap="none" w:vAnchor="page" w:hAnchor="page" w:x="788" w:y="1401"/>
        <w:shd w:val="clear" w:color="auto" w:fill="auto"/>
        <w:spacing w:line="259" w:lineRule="auto"/>
        <w:jc w:val="both"/>
      </w:pPr>
      <w:r>
        <w:t xml:space="preserve">.epovažuje za hrubě nespravedlivé. Úhrady faktur budou prováděny hromadnými platbami vždy 5., 10., 15., 20., 25. a poslední den měsíce, nejpozději vždy do 6 kalendářních dnů od data splatnosti </w:t>
      </w:r>
      <w:r>
        <w:t>uvedeného na faktuře. Platba v tomto časovém intervalu nebude považována za pozdní úhradu. Po dobu prvních 6 kalendářních dnů po splatnosti faktury nemá prodávající nárok na zaplacení úroku z prodlení. V případě nedodržení termínu splatnosti může prodávají</w:t>
      </w:r>
      <w:r>
        <w:t>cí kupujícímu vyúčtovat úrok 0,05% z dlužné částky za každý den prodlení. Zaplacením se rozumí den, kdy byla fakturovaná částka odepsána z účtu kupujícího na účet uvedený v daňovém dokladu - faktuře.</w:t>
      </w:r>
    </w:p>
    <w:p w:rsidR="004F288C" w:rsidRDefault="00E57D7B">
      <w:pPr>
        <w:pStyle w:val="Zkladntext1"/>
        <w:framePr w:w="10426" w:h="14405" w:hRule="exact" w:wrap="none" w:vAnchor="page" w:hAnchor="page" w:x="788" w:y="1401"/>
        <w:shd w:val="clear" w:color="auto" w:fill="auto"/>
        <w:spacing w:line="266" w:lineRule="auto"/>
        <w:jc w:val="both"/>
      </w:pPr>
      <w:r>
        <w:t>Kupující vyhotoví jednou měsíčně seznam vystavených fakt</w:t>
      </w:r>
      <w:r>
        <w:t>ur za uplynulý měsíc, který prodávající potvrdí a neprodleně odešle zpět kupujícímu.</w:t>
      </w:r>
    </w:p>
    <w:p w:rsidR="004F288C" w:rsidRDefault="00E57D7B">
      <w:pPr>
        <w:pStyle w:val="Nadpis10"/>
        <w:framePr w:w="10426" w:h="14405" w:hRule="exact" w:wrap="none" w:vAnchor="page" w:hAnchor="page" w:x="788" w:y="1401"/>
        <w:shd w:val="clear" w:color="auto" w:fill="auto"/>
        <w:spacing w:line="259" w:lineRule="auto"/>
        <w:jc w:val="both"/>
      </w:pPr>
      <w:bookmarkStart w:id="15" w:name="bookmark14"/>
      <w:bookmarkStart w:id="16" w:name="bookmark15"/>
      <w:r>
        <w:t>Závěrečná ustanovení:</w:t>
      </w:r>
      <w:bookmarkEnd w:id="15"/>
      <w:bookmarkEnd w:id="16"/>
    </w:p>
    <w:p w:rsidR="004F288C" w:rsidRDefault="00E57D7B">
      <w:pPr>
        <w:pStyle w:val="Zkladntext1"/>
        <w:framePr w:w="10426" w:h="14405" w:hRule="exact" w:wrap="none" w:vAnchor="page" w:hAnchor="page" w:x="788" w:y="1401"/>
        <w:shd w:val="clear" w:color="auto" w:fill="auto"/>
        <w:spacing w:after="0" w:line="259" w:lineRule="auto"/>
        <w:jc w:val="both"/>
      </w:pPr>
      <w:r>
        <w:t>Prodávající podpisem této smlouvy potvrzuje, že:</w:t>
      </w:r>
    </w:p>
    <w:p w:rsidR="004F288C" w:rsidRDefault="00E57D7B">
      <w:pPr>
        <w:pStyle w:val="Zkladntext1"/>
        <w:framePr w:w="10426" w:h="14405" w:hRule="exact" w:wrap="none" w:vAnchor="page" w:hAnchor="page" w:x="788" w:y="1401"/>
        <w:numPr>
          <w:ilvl w:val="0"/>
          <w:numId w:val="2"/>
        </w:numPr>
        <w:shd w:val="clear" w:color="auto" w:fill="auto"/>
        <w:tabs>
          <w:tab w:val="left" w:pos="284"/>
        </w:tabs>
        <w:spacing w:after="0" w:line="259" w:lineRule="auto"/>
        <w:jc w:val="both"/>
      </w:pPr>
      <w:r>
        <w:t xml:space="preserve">Veškeré dříví nepochází z neakceptovatelných zdrojů definovaných Politikou udržitelného hospodaření </w:t>
      </w:r>
      <w:r>
        <w:t xml:space="preserve">v lesích, plné znění těchto dokumentů je na internetových stránkách </w:t>
      </w:r>
      <w:hyperlink r:id="rId11" w:history="1">
        <w:r>
          <w:rPr>
            <w:u w:val="single"/>
            <w:lang w:val="en-US" w:eastAsia="en-US" w:bidi="en-US"/>
          </w:rPr>
          <w:t>www.wood-Daper.cz</w:t>
        </w:r>
      </w:hyperlink>
      <w:r>
        <w:rPr>
          <w:lang w:val="en-US" w:eastAsia="en-US" w:bidi="en-US"/>
        </w:rPr>
        <w:t>.</w:t>
      </w:r>
    </w:p>
    <w:p w:rsidR="004F288C" w:rsidRDefault="00E57D7B">
      <w:pPr>
        <w:pStyle w:val="Zkladntext1"/>
        <w:framePr w:w="10426" w:h="14405" w:hRule="exact" w:wrap="none" w:vAnchor="page" w:hAnchor="page" w:x="788" w:y="1401"/>
        <w:numPr>
          <w:ilvl w:val="0"/>
          <w:numId w:val="2"/>
        </w:numPr>
        <w:shd w:val="clear" w:color="auto" w:fill="auto"/>
        <w:tabs>
          <w:tab w:val="left" w:pos="289"/>
        </w:tabs>
        <w:spacing w:after="0" w:line="259" w:lineRule="auto"/>
        <w:jc w:val="both"/>
      </w:pPr>
      <w:r>
        <w:t>Dřeviny i původ (stát/region), z nichž se dodávka sestává, identifikuje na průvodní dokumentaci.</w:t>
      </w:r>
    </w:p>
    <w:p w:rsidR="004F288C" w:rsidRDefault="00E57D7B">
      <w:pPr>
        <w:pStyle w:val="Zkladntext1"/>
        <w:framePr w:w="10426" w:h="14405" w:hRule="exact" w:wrap="none" w:vAnchor="page" w:hAnchor="page" w:x="788" w:y="1401"/>
        <w:numPr>
          <w:ilvl w:val="0"/>
          <w:numId w:val="2"/>
        </w:numPr>
        <w:shd w:val="clear" w:color="auto" w:fill="auto"/>
        <w:tabs>
          <w:tab w:val="left" w:pos="289"/>
        </w:tabs>
        <w:spacing w:after="0" w:line="259" w:lineRule="auto"/>
        <w:jc w:val="both"/>
      </w:pPr>
      <w:r>
        <w:t>Udržuje v aktuálním stavu informa</w:t>
      </w:r>
      <w:r>
        <w:t>ce a přiměřené důkazy (nebo přístup k nim) o přesném vymezení konkrétního území, ze kterého surovina pochází, a to nejméně na úroveň lesního hospodářského celku, a o celém dodavatelském řetězci. K těmto informacím a důkazům poskytne kupujícímu přístup.</w:t>
      </w:r>
    </w:p>
    <w:p w:rsidR="004F288C" w:rsidRDefault="00E57D7B">
      <w:pPr>
        <w:pStyle w:val="Zkladntext1"/>
        <w:framePr w:w="10426" w:h="14405" w:hRule="exact" w:wrap="none" w:vAnchor="page" w:hAnchor="page" w:x="788" w:y="1401"/>
        <w:numPr>
          <w:ilvl w:val="0"/>
          <w:numId w:val="2"/>
        </w:numPr>
        <w:shd w:val="clear" w:color="auto" w:fill="auto"/>
        <w:tabs>
          <w:tab w:val="left" w:pos="289"/>
        </w:tabs>
        <w:spacing w:after="0" w:line="259" w:lineRule="auto"/>
        <w:jc w:val="both"/>
      </w:pPr>
      <w:r>
        <w:t>Vlastní spolehlivé důkazy o shodě s požadavky na legálnost ve vazbě na státní správu včetně schváleného povolení k těžbě nebo platný a schválený lesní hospodářský plán a vůči státním orgánům existuje stav absence jakékoliv neshody</w:t>
      </w:r>
    </w:p>
    <w:p w:rsidR="004F288C" w:rsidRDefault="00E57D7B">
      <w:pPr>
        <w:pStyle w:val="Zkladntext1"/>
        <w:framePr w:w="10426" w:h="14405" w:hRule="exact" w:wrap="none" w:vAnchor="page" w:hAnchor="page" w:x="788" w:y="1401"/>
        <w:numPr>
          <w:ilvl w:val="0"/>
          <w:numId w:val="2"/>
        </w:numPr>
        <w:shd w:val="clear" w:color="auto" w:fill="auto"/>
        <w:tabs>
          <w:tab w:val="left" w:pos="298"/>
        </w:tabs>
        <w:spacing w:after="0" w:line="259" w:lineRule="auto"/>
        <w:jc w:val="both"/>
      </w:pPr>
      <w:r>
        <w:t xml:space="preserve">Souhlasí s auditem </w:t>
      </w:r>
      <w:r>
        <w:t>dodavatelského řetězce až na úroveň lesního porostu za účelem prokázání, že veškeré dodávané dříví splňuje Minimální standardy a Politiku udržitelného hospodaření v lesích, a to buď zaměstnancem kupujícího, nebo jinou pověřenou osobou</w:t>
      </w:r>
    </w:p>
    <w:p w:rsidR="004F288C" w:rsidRDefault="00E57D7B">
      <w:pPr>
        <w:pStyle w:val="Zkladntext1"/>
        <w:framePr w:w="10426" w:h="14405" w:hRule="exact" w:wrap="none" w:vAnchor="page" w:hAnchor="page" w:x="788" w:y="1401"/>
        <w:numPr>
          <w:ilvl w:val="0"/>
          <w:numId w:val="2"/>
        </w:numPr>
        <w:shd w:val="clear" w:color="auto" w:fill="auto"/>
        <w:tabs>
          <w:tab w:val="left" w:pos="289"/>
        </w:tabs>
        <w:spacing w:line="259" w:lineRule="auto"/>
        <w:jc w:val="both"/>
      </w:pPr>
      <w:r>
        <w:t>Dodávky dříví nepochá</w:t>
      </w:r>
      <w:r>
        <w:t>zí od dodavatelů nebo lesních hospodářských celků, které jsou zapsány na „Seznamu problematických území a dodavatelů“ nebo zavede opatření, která jsou pro tato území/dodavatele stanovena tímto „Seznamem“. Důkazy o úspěšném zavedení těchto opatření poskytne</w:t>
      </w:r>
      <w:r>
        <w:t xml:space="preserve"> kupujícímu před zahájením těchto dodávek.</w:t>
      </w:r>
    </w:p>
    <w:p w:rsidR="004F288C" w:rsidRDefault="00E57D7B">
      <w:pPr>
        <w:pStyle w:val="Zkladntext1"/>
        <w:framePr w:w="10426" w:h="14405" w:hRule="exact" w:wrap="none" w:vAnchor="page" w:hAnchor="page" w:x="788" w:y="1401"/>
        <w:shd w:val="clear" w:color="auto" w:fill="auto"/>
        <w:jc w:val="both"/>
      </w:pPr>
      <w:r>
        <w:t>Smluvní strany se dohodly, že prodávající, který obdržel v rámci pravidel právoplatnou certifikaci lesů, neprodleně zašle kupujícímu kopii certifikátu. Prodávající se zároveň zavazuje oznámit kupujícímu % PEFC cer</w:t>
      </w:r>
      <w:r>
        <w:t>tifikovaného dříví pro daný měsíc či období nebo dodávky certifikovaného dříví PEFC označit křížkem v určené kolonce dodacího listu (každá takto označená dodávka musí obsahovat 100 % certifikovaného dříví)a neprodleně pro odeslání dodávky zaslat jednu kopi</w:t>
      </w:r>
      <w:r>
        <w:t>i kupujícímu. Pokud prodávající sděluje kupujícímu % certifikovaného dříví, činí tak předem, nejpozději do 5. dne v měsíci nebo období, pro které je dané procento v platnosti. Procento certifikované dříví sdělí prodávající formou čestného prohlášení e-mail</w:t>
      </w:r>
      <w:r>
        <w:t>em (radka.zakova@wood.paper.cz)nebo poštou na adresu kupujícího.</w:t>
      </w:r>
    </w:p>
    <w:p w:rsidR="004F288C" w:rsidRDefault="00E57D7B">
      <w:pPr>
        <w:pStyle w:val="Zkladntext1"/>
        <w:framePr w:w="10426" w:h="14405" w:hRule="exact" w:wrap="none" w:vAnchor="page" w:hAnchor="page" w:x="788" w:y="1401"/>
        <w:shd w:val="clear" w:color="auto" w:fill="auto"/>
        <w:spacing w:line="259" w:lineRule="auto"/>
        <w:jc w:val="both"/>
      </w:pPr>
      <w:r>
        <w:t>Smluvní strany se dohodly, že prodávající, který obdržel certifikát FSC, zašle neprodleně jeho kopii kupujícímu. Prodávající označuje dodávky na dodacím listu (každá takto označená dodávka mu</w:t>
      </w:r>
      <w:r>
        <w:t>sí obsahovat 100 % FSC certifikované kategorie materiálu, tedy FSC 100 %, FSC mix, nebo FSC CW) a zároveň vyplní číslo certifikátu. Prodávající dále prohlašuje, že je v souladu s novou směrnicí EU 995/2010 o umísťování dřeva a výrobků na trh.</w:t>
      </w:r>
    </w:p>
    <w:p w:rsidR="004F288C" w:rsidRDefault="00E57D7B">
      <w:pPr>
        <w:pStyle w:val="Zkladntext1"/>
        <w:framePr w:w="10426" w:h="14405" w:hRule="exact" w:wrap="none" w:vAnchor="page" w:hAnchor="page" w:x="788" w:y="1401"/>
        <w:shd w:val="clear" w:color="auto" w:fill="auto"/>
        <w:spacing w:line="262" w:lineRule="auto"/>
        <w:jc w:val="both"/>
      </w:pPr>
      <w:r>
        <w:t>Smluvní stran</w:t>
      </w:r>
      <w:r>
        <w:t>y souhlasí se zasíláním obchodních sdělení a informací týkajících se vzájemné obchodní spolupráce elektronickou poštou.</w:t>
      </w:r>
    </w:p>
    <w:p w:rsidR="004F288C" w:rsidRDefault="00E57D7B">
      <w:pPr>
        <w:pStyle w:val="Zkladntext1"/>
        <w:framePr w:w="10426" w:h="14405" w:hRule="exact" w:wrap="none" w:vAnchor="page" w:hAnchor="page" w:x="788" w:y="1401"/>
        <w:shd w:val="clear" w:color="auto" w:fill="auto"/>
        <w:jc w:val="both"/>
      </w:pPr>
      <w:r>
        <w:t xml:space="preserve">Strany kupní smlouvy jsou zajedno, že ujednání o rozsahu plnění, jeho ceně, ceně jednotlivých sortimentů a členění sortimentu, celkovém </w:t>
      </w:r>
      <w:r>
        <w:t>množství a množství dle sortimentu, obsažená v této smlouvě jsou skutečnostmi, které přímo a bezprostředně souvisí s obchodními závody provozovanými stranami této smlouvy a současně jsou konkurenčně významné, určitelné, ocenitelné a v příslušných obchodníc</w:t>
      </w:r>
      <w:r>
        <w:t xml:space="preserve">h kruzích běžně nedostupné a představují proto obchodní tajemství obou smluvních stran ve smyslu § 504 občanského zákoníku. </w:t>
      </w:r>
      <w:r>
        <w:rPr>
          <w:lang w:val="en-US" w:eastAsia="en-US" w:bidi="en-US"/>
        </w:rPr>
        <w:t xml:space="preserve">WOOD </w:t>
      </w:r>
      <w:r>
        <w:t xml:space="preserve">&amp; </w:t>
      </w:r>
      <w:r>
        <w:rPr>
          <w:lang w:val="en-US" w:eastAsia="en-US" w:bidi="en-US"/>
        </w:rPr>
        <w:t xml:space="preserve">PAPER </w:t>
      </w:r>
      <w:r>
        <w:t>a,s, dále označuje za své obchodní tajemství také identifikaci obchodních partnerů. Strany kupní smlouvy se proto zavaz</w:t>
      </w:r>
      <w:r>
        <w:t>ují zajišťovat odpovídajícím způsobem utajení obchodního tajemství, konkrétně se zavazují utajit uvedené údaje tak, aby si tyto skutečnosti charakter obchodního tajemství zachovaly. Dodavatel dříví před zveřejněním smlouvy či jejím jiným poskytnutím dle pl</w:t>
      </w:r>
      <w:r>
        <w:t xml:space="preserve">atných právních předpisů vyznačí a neposkytnou shora uvedené obchodní tajemství. To neplatí v případech, kdy povinnost zpřístupnit informace o skutečnostech tvořících obchodní tajemství bude založena kogentními ustanoveními platných právních předpisů nebo </w:t>
      </w:r>
      <w:r>
        <w:t>zpřístupnění těchto informací bude nezbytné pro uplatnění práv některé ze smluvních stran.</w:t>
      </w:r>
    </w:p>
    <w:p w:rsidR="004F288C" w:rsidRDefault="00E57D7B">
      <w:pPr>
        <w:pStyle w:val="Zkladntext1"/>
        <w:framePr w:w="10426" w:h="14405" w:hRule="exact" w:wrap="none" w:vAnchor="page" w:hAnchor="page" w:x="788" w:y="1401"/>
        <w:shd w:val="clear" w:color="auto" w:fill="auto"/>
        <w:jc w:val="both"/>
      </w:pPr>
      <w:r>
        <w:t>Prodávající je povinen dodávat dříví v jednotlivých sortimentech plynule a rovnoměrně tak, aby v tom, kterém měsíci trvání smlouvy byla dodána 1/3 smluvního čtvrtlet</w:t>
      </w:r>
      <w:r>
        <w:t>ního množství daného sortimentu s tolerancí +-5 %, pokud se smluvní strany nedohodnou jinak.</w:t>
      </w:r>
    </w:p>
    <w:p w:rsidR="004F288C" w:rsidRDefault="00E57D7B">
      <w:pPr>
        <w:pStyle w:val="Zkladntext1"/>
        <w:framePr w:w="10426" w:h="14405" w:hRule="exact" w:wrap="none" w:vAnchor="page" w:hAnchor="page" w:x="788" w:y="1401"/>
        <w:shd w:val="clear" w:color="auto" w:fill="auto"/>
        <w:spacing w:line="262" w:lineRule="auto"/>
        <w:jc w:val="both"/>
      </w:pPr>
      <w:r>
        <w:t>Smluvní strany sjednávají účinky odstoupení od této smlouvy tak, že odstoupením od smlouvy se závazek zrušuje ke dni účinnosti odstoupení.</w:t>
      </w:r>
    </w:p>
    <w:p w:rsidR="004F288C" w:rsidRDefault="00E57D7B">
      <w:pPr>
        <w:pStyle w:val="Zkladntext1"/>
        <w:framePr w:w="10426" w:h="14405" w:hRule="exact" w:wrap="none" w:vAnchor="page" w:hAnchor="page" w:x="788" w:y="1401"/>
        <w:shd w:val="clear" w:color="auto" w:fill="auto"/>
        <w:spacing w:after="0" w:line="259" w:lineRule="auto"/>
      </w:pPr>
      <w:r>
        <w:t>Tato smlouva se řídí čes</w:t>
      </w:r>
      <w:r>
        <w:t>kým právem, zejména občanským zákoníkem.</w:t>
      </w:r>
    </w:p>
    <w:p w:rsidR="004F288C" w:rsidRDefault="00E57D7B">
      <w:pPr>
        <w:pStyle w:val="Zhlavnebozpat0"/>
        <w:framePr w:wrap="none" w:vAnchor="page" w:hAnchor="page" w:x="11022" w:y="15978"/>
        <w:shd w:val="clear" w:color="auto" w:fill="auto"/>
        <w:rPr>
          <w:sz w:val="18"/>
          <w:szCs w:val="18"/>
        </w:rPr>
      </w:pPr>
      <w:r>
        <w:rPr>
          <w:w w:val="100"/>
          <w:sz w:val="18"/>
          <w:szCs w:val="18"/>
        </w:rPr>
        <w:t>3/4</w:t>
      </w:r>
    </w:p>
    <w:p w:rsidR="004F288C" w:rsidRDefault="004F288C">
      <w:pPr>
        <w:spacing w:line="1" w:lineRule="exact"/>
        <w:sectPr w:rsidR="004F288C">
          <w:pgSz w:w="11900" w:h="16840"/>
          <w:pgMar w:top="461" w:right="360" w:bottom="360" w:left="360" w:header="0" w:footer="3" w:gutter="0"/>
          <w:cols w:space="720"/>
          <w:noEndnote/>
          <w:docGrid w:linePitch="360"/>
        </w:sectPr>
      </w:pPr>
    </w:p>
    <w:p w:rsidR="004F288C" w:rsidRDefault="004F288C">
      <w:pPr>
        <w:spacing w:line="1" w:lineRule="exact"/>
      </w:pPr>
    </w:p>
    <w:p w:rsidR="004F288C" w:rsidRDefault="00E57D7B">
      <w:pPr>
        <w:pStyle w:val="Zhlavnebozpat0"/>
        <w:framePr w:wrap="none" w:vAnchor="page" w:hAnchor="page" w:x="1652" w:y="581"/>
        <w:shd w:val="clear" w:color="auto" w:fill="auto"/>
      </w:pPr>
      <w:r>
        <w:rPr>
          <w:lang w:val="en-US" w:eastAsia="en-US" w:bidi="en-US"/>
        </w:rPr>
        <w:t xml:space="preserve">Wood </w:t>
      </w:r>
      <w:r>
        <w:t>&amp; Poper</w:t>
      </w:r>
    </w:p>
    <w:p w:rsidR="004F288C" w:rsidRDefault="00E57D7B">
      <w:pPr>
        <w:pStyle w:val="Zkladntext1"/>
        <w:framePr w:w="10378" w:h="1814" w:hRule="exact" w:wrap="none" w:vAnchor="page" w:hAnchor="page" w:x="812" w:y="1665"/>
        <w:shd w:val="clear" w:color="auto" w:fill="auto"/>
        <w:spacing w:after="220" w:line="259" w:lineRule="auto"/>
      </w:pPr>
      <w:r>
        <w:t>Tato kupní smlouva a podmínky v ní uvedené platí, pokud se smluvní strany nedohodnou jinak. Smlouvu lze měnit či doplňovat pouze písemnými dodatky, odsouhlasenými oběma stranami. Potvrzenou kopii kupní smlouvy zašle prodávající nejpozději do 14 dnů na adre</w:t>
      </w:r>
      <w:r>
        <w:t xml:space="preserve">su společnosti </w:t>
      </w:r>
      <w:r>
        <w:rPr>
          <w:lang w:val="en-US" w:eastAsia="en-US" w:bidi="en-US"/>
        </w:rPr>
        <w:t xml:space="preserve">Wood </w:t>
      </w:r>
      <w:r>
        <w:t xml:space="preserve">&amp; </w:t>
      </w:r>
      <w:r>
        <w:rPr>
          <w:lang w:val="en-US" w:eastAsia="en-US" w:bidi="en-US"/>
        </w:rPr>
        <w:t xml:space="preserve">Paper </w:t>
      </w:r>
      <w:r>
        <w:t>a.s.</w:t>
      </w:r>
    </w:p>
    <w:p w:rsidR="004F288C" w:rsidRDefault="00E57D7B">
      <w:pPr>
        <w:pStyle w:val="Zkladntext1"/>
        <w:framePr w:w="10378" w:h="1814" w:hRule="exact" w:wrap="none" w:vAnchor="page" w:hAnchor="page" w:x="812" w:y="1665"/>
        <w:shd w:val="clear" w:color="auto" w:fill="auto"/>
        <w:spacing w:after="220"/>
      </w:pPr>
      <w:r>
        <w:t>Smluvní strany prohlašují, že se seznámily s obsahem této smlouvy, že tato byla uzavřena na základě jejich svobodné vůle, určitě, vážně a srozumitelně a nikoliv za nápadně nevýhodných podmínek.</w:t>
      </w:r>
    </w:p>
    <w:p w:rsidR="004F288C" w:rsidRDefault="00E57D7B">
      <w:pPr>
        <w:pStyle w:val="Zkladntext1"/>
        <w:framePr w:w="10378" w:h="1814" w:hRule="exact" w:wrap="none" w:vAnchor="page" w:hAnchor="page" w:x="812" w:y="1665"/>
        <w:shd w:val="clear" w:color="auto" w:fill="auto"/>
        <w:spacing w:after="0" w:line="259" w:lineRule="auto"/>
      </w:pPr>
      <w:r>
        <w:t xml:space="preserve">Smlouva se uzavírá na období </w:t>
      </w:r>
      <w:r>
        <w:t>od 1. 1. 2020 do 31. 12. 2020.</w:t>
      </w:r>
    </w:p>
    <w:p w:rsidR="004F288C" w:rsidRDefault="00E57D7B">
      <w:pPr>
        <w:pStyle w:val="Zkladntext1"/>
        <w:framePr w:wrap="none" w:vAnchor="page" w:hAnchor="page" w:x="812" w:y="3657"/>
        <w:shd w:val="clear" w:color="auto" w:fill="auto"/>
        <w:spacing w:after="0" w:line="240" w:lineRule="auto"/>
      </w:pPr>
      <w:r>
        <w:t>Hlína, 2. ledna 2020</w:t>
      </w:r>
    </w:p>
    <w:p w:rsidR="004F288C" w:rsidRDefault="004F288C">
      <w:pPr>
        <w:framePr w:wrap="none" w:vAnchor="page" w:hAnchor="page" w:x="1244" w:y="4065"/>
        <w:rPr>
          <w:sz w:val="2"/>
          <w:szCs w:val="2"/>
        </w:rPr>
      </w:pPr>
    </w:p>
    <w:p w:rsidR="004F288C" w:rsidRDefault="00E57D7B">
      <w:pPr>
        <w:pStyle w:val="Titulekobrzku0"/>
        <w:framePr w:wrap="none" w:vAnchor="page" w:hAnchor="page" w:x="1503" w:y="5880"/>
        <w:shd w:val="clear" w:color="auto" w:fill="auto"/>
        <w:rPr>
          <w:sz w:val="18"/>
          <w:szCs w:val="18"/>
        </w:rPr>
      </w:pPr>
      <w:r>
        <w:rPr>
          <w:sz w:val="18"/>
          <w:szCs w:val="18"/>
        </w:rPr>
        <w:t>Prodávající</w:t>
      </w:r>
    </w:p>
    <w:p w:rsidR="004F288C" w:rsidRDefault="004F288C">
      <w:pPr>
        <w:framePr w:wrap="none" w:vAnchor="page" w:hAnchor="page" w:x="7110" w:y="5323"/>
        <w:rPr>
          <w:sz w:val="2"/>
          <w:szCs w:val="2"/>
        </w:rPr>
      </w:pPr>
    </w:p>
    <w:p w:rsidR="004F288C" w:rsidRDefault="00E57D7B">
      <w:pPr>
        <w:pStyle w:val="Titulekobrzku0"/>
        <w:framePr w:wrap="none" w:vAnchor="page" w:hAnchor="page" w:x="7258" w:y="5909"/>
        <w:shd w:val="clear" w:color="auto" w:fill="auto"/>
        <w:rPr>
          <w:sz w:val="18"/>
          <w:szCs w:val="18"/>
        </w:rPr>
      </w:pPr>
      <w:r>
        <w:rPr>
          <w:sz w:val="18"/>
          <w:szCs w:val="18"/>
        </w:rPr>
        <w:t>Kupující</w:t>
      </w:r>
    </w:p>
    <w:p w:rsidR="004F288C" w:rsidRDefault="00E57D7B">
      <w:pPr>
        <w:pStyle w:val="Zhlavnebozpat0"/>
        <w:framePr w:wrap="none" w:vAnchor="page" w:hAnchor="page" w:x="11012" w:y="16032"/>
        <w:shd w:val="clear" w:color="auto" w:fill="auto"/>
        <w:rPr>
          <w:sz w:val="18"/>
          <w:szCs w:val="18"/>
        </w:rPr>
      </w:pPr>
      <w:r>
        <w:rPr>
          <w:w w:val="100"/>
          <w:sz w:val="18"/>
          <w:szCs w:val="18"/>
        </w:rPr>
        <w:t>4/4</w:t>
      </w:r>
    </w:p>
    <w:p w:rsidR="004F288C" w:rsidRDefault="004F288C">
      <w:pPr>
        <w:spacing w:line="1" w:lineRule="exact"/>
      </w:pPr>
    </w:p>
    <w:sectPr w:rsidR="004F288C">
      <w:pgSz w:w="11900" w:h="16840"/>
      <w:pgMar w:top="47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D7B" w:rsidRDefault="00E57D7B">
      <w:r>
        <w:separator/>
      </w:r>
    </w:p>
  </w:endnote>
  <w:endnote w:type="continuationSeparator" w:id="0">
    <w:p w:rsidR="00E57D7B" w:rsidRDefault="00E5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D7B" w:rsidRDefault="00E57D7B"/>
  </w:footnote>
  <w:footnote w:type="continuationSeparator" w:id="0">
    <w:p w:rsidR="00E57D7B" w:rsidRDefault="00E57D7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E597E"/>
    <w:multiLevelType w:val="multilevel"/>
    <w:tmpl w:val="F47CEE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444A46"/>
    <w:multiLevelType w:val="multilevel"/>
    <w:tmpl w:val="35C89EE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8C"/>
    <w:rsid w:val="004F288C"/>
    <w:rsid w:val="00B33482"/>
    <w:rsid w:val="00E57D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1A83FC-5B37-466F-BEED-92D701B4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w w:val="80"/>
      <w:sz w:val="38"/>
      <w:szCs w:val="3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4"/>
      <w:szCs w:val="14"/>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Arial" w:eastAsia="Arial" w:hAnsi="Arial" w:cs="Arial"/>
      <w:b/>
      <w:bCs/>
      <w:i w:val="0"/>
      <w:iCs w:val="0"/>
      <w:smallCaps w:val="0"/>
      <w:strike w:val="0"/>
      <w:sz w:val="18"/>
      <w:szCs w:val="18"/>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w w:val="80"/>
      <w:sz w:val="38"/>
      <w:szCs w:val="38"/>
    </w:rPr>
  </w:style>
  <w:style w:type="paragraph" w:customStyle="1" w:styleId="Titulekobrzku0">
    <w:name w:val="Titulek obrázku"/>
    <w:basedOn w:val="Normln"/>
    <w:link w:val="Titulekobrzku"/>
    <w:pPr>
      <w:shd w:val="clear" w:color="auto" w:fill="FFFFFF"/>
    </w:pPr>
    <w:rPr>
      <w:rFonts w:ascii="Arial" w:eastAsia="Arial" w:hAnsi="Arial" w:cs="Arial"/>
      <w:sz w:val="14"/>
      <w:szCs w:val="14"/>
    </w:rPr>
  </w:style>
  <w:style w:type="paragraph" w:customStyle="1" w:styleId="Titulektabulky0">
    <w:name w:val="Titulek tabulky"/>
    <w:basedOn w:val="Normln"/>
    <w:link w:val="Titulektabulky"/>
    <w:pPr>
      <w:shd w:val="clear" w:color="auto" w:fill="FFFFFF"/>
      <w:jc w:val="center"/>
    </w:pPr>
    <w:rPr>
      <w:rFonts w:ascii="Arial" w:eastAsia="Arial" w:hAnsi="Arial" w:cs="Arial"/>
      <w:i/>
      <w:iCs/>
      <w:sz w:val="14"/>
      <w:szCs w:val="14"/>
    </w:rPr>
  </w:style>
  <w:style w:type="paragraph" w:customStyle="1" w:styleId="Jin0">
    <w:name w:val="Jiné"/>
    <w:basedOn w:val="Normln"/>
    <w:link w:val="Jin"/>
    <w:pPr>
      <w:shd w:val="clear" w:color="auto" w:fill="FFFFFF"/>
      <w:spacing w:after="200" w:line="257"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line="257" w:lineRule="auto"/>
      <w:outlineLvl w:val="0"/>
    </w:pPr>
    <w:rPr>
      <w:rFonts w:ascii="Arial" w:eastAsia="Arial" w:hAnsi="Arial" w:cs="Arial"/>
      <w:b/>
      <w:bCs/>
      <w:sz w:val="18"/>
      <w:szCs w:val="18"/>
      <w:u w:val="single"/>
    </w:rPr>
  </w:style>
  <w:style w:type="paragraph" w:customStyle="1" w:styleId="Zkladntext1">
    <w:name w:val="Základní text1"/>
    <w:basedOn w:val="Normln"/>
    <w:link w:val="Zkladntext"/>
    <w:pPr>
      <w:shd w:val="clear" w:color="auto" w:fill="FFFFFF"/>
      <w:spacing w:after="200" w:line="257" w:lineRule="auto"/>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placek@wood-pape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Daper.cz" TargetMode="External"/><Relationship Id="rId5" Type="http://schemas.openxmlformats.org/officeDocument/2006/relationships/footnotes" Target="footnotes.xml"/><Relationship Id="rId10" Type="http://schemas.openxmlformats.org/officeDocument/2006/relationships/hyperlink" Target="http://www.wood-Daper.cz" TargetMode="External"/><Relationship Id="rId4" Type="http://schemas.openxmlformats.org/officeDocument/2006/relationships/webSettings" Target="webSettings.xml"/><Relationship Id="rId9" Type="http://schemas.openxmlformats.org/officeDocument/2006/relationships/hyperlink" Target="http://www.cd.carg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2369</Words>
  <Characters>13978</Characters>
  <Application>Microsoft Office Word</Application>
  <DocSecurity>0</DocSecurity>
  <Lines>116</Lines>
  <Paragraphs>32</Paragraphs>
  <ScaleCrop>false</ScaleCrop>
  <Company/>
  <LinksUpToDate>false</LinksUpToDate>
  <CharactersWithSpaces>16315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3</cp:revision>
  <dcterms:created xsi:type="dcterms:W3CDTF">2020-02-25T05:54:00Z</dcterms:created>
  <dcterms:modified xsi:type="dcterms:W3CDTF">2020-02-25T05:57:00Z</dcterms:modified>
</cp:coreProperties>
</file>