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republika - Státní pozemkový úřad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 Husinecká 1024/11 a, 130 00 Praha 3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zastoupený Ing. Miroslavem Kučerou, ředitelem Krajského pozemkového úřadu pro Pardubický kraj,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adresa: Boženy Němcové 231, 530 02 Pardubice IČO: 01312774 DIČ: CZ01312774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96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Česká národní banka číslo účtu: 160012-3723001/0710 (dále jen ,,propachtovatel“)</w:t>
      </w:r>
    </w:p>
    <w:p>
      <w:pPr>
        <w:pStyle w:val="Style4"/>
        <w:numPr>
          <w:ilvl w:val="0"/>
          <w:numId w:val="1"/>
        </w:numPr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jedné - a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KLAS Nekoř a.s.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 Nekoř 180, 561 63 IČ: 252 55 321 DIČ: CZ 25255321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zapsána v obchodním rejstříku vedeném Krajským soudem v Hradci Králové, oddíl B, vložka 1494,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osoby oprávněné jednat za právnickou osobu: Ing. Leoš Říha, prokurista,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314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,,pachtýř“)</w:t>
      </w:r>
    </w:p>
    <w:p>
      <w:pPr>
        <w:pStyle w:val="Style4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druhé -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96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podle ustanovení § 2332 a násl. zákona č. 89/2012 Sb., občanský zákoník (dále jen ,,NOZ“), tuto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291"/>
        <w:ind w:left="2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PACHTOVNÍ SMLOUVU</w:t>
        <w:br/>
        <w:t>č. 78 N 15/50</w:t>
      </w:r>
      <w:bookmarkEnd w:id="0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290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je ve smyslu zákona č. 503/2012 Sb., o Státním pozemkovém úřadu a o změně některých souvisejících zákonů, ve znění pozdějších předpisů, příslušný hospodařit se zemědělskými pozemky specifikovanými v příloze č. 1 této smlouvy vedenými u Katastrálního úřadu pro Pardubický kraj, Katastrálního pracoviště Ústí nad Orlicí.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1 je nedílnou součástí této smlouvy.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337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pronájmu byl do 30. června 2015 pronajat nájemními smlouvami č. 186N09/50, 140N09/50, 187N09/50, 92N10/50 a 31N13/50.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73"/>
        <w:ind w:left="478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II</w:t>
      </w:r>
      <w:bookmarkEnd w:id="1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přenechává pachtýři pozemky uvedené v čl. I do užívání za účelem: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17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provozování zemědělské výroby.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478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III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povinen:</w:t>
      </w:r>
    </w:p>
    <w:p>
      <w:pPr>
        <w:pStyle w:val="Style4"/>
        <w:numPr>
          <w:ilvl w:val="0"/>
          <w:numId w:val="3"/>
        </w:numPr>
        <w:tabs>
          <w:tab w:leader="none" w:pos="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užívat pozemky řádně v souladu s jejich úěelovým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>
      <w:pPr>
        <w:pStyle w:val="Style4"/>
        <w:numPr>
          <w:ilvl w:val="0"/>
          <w:numId w:val="3"/>
        </w:numPr>
        <w:tabs>
          <w:tab w:leader="none" w:pos="9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povinnosti vyplývající ze zákona ě. 326/2004 Sb., o rostlinolékařské péěi a o změně některých souvisejících zákonů, ve znění pozdějších předpisů.</w:t>
      </w:r>
    </w:p>
    <w:p>
      <w:pPr>
        <w:pStyle w:val="Style4"/>
        <w:tabs>
          <w:tab w:leader="none" w:pos="19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80" w:right="0" w:firstLine="10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ri “ovát zákaz hospodářské činnosti vyvolávající erozi půdy a používání toxických 'V dlivvch látek s dlouhodobým reziduálnim účinkem, dodržovat ustanoveni § 3 odst. 1 </w:t>
      </w:r>
      <w:r>
        <w:rPr>
          <w:rStyle w:val="CharStyle10"/>
        </w:rPr>
        <w:t>3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Sb., o ochraně zemědělského půdního fondu, ve zněni pozdějších předpisů,</w:t>
      </w:r>
    </w:p>
    <w:p>
      <w:pPr>
        <w:pStyle w:val="Style4"/>
        <w:tabs>
          <w:tab w:leader="none" w:pos="1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180" w:right="0" w:firstLine="0"/>
      </w:pPr>
      <w:r>
        <w:rPr>
          <w:rStyle w:val="CharStyle10"/>
        </w:rPr>
        <w:t>2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ákon</w:t>
      </w:r>
      <w:r>
        <w:rPr>
          <w:rStyle w:val="CharStyle10"/>
        </w:rPr>
        <w:t>2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</w:t>
        <w:tab/>
        <w:t>propachtovateli prováděni kontroly k bodům a) až c) formou nahlédnutí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18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 evidence rozborů a vstupem na pozemek,</w:t>
      </w:r>
    </w:p>
    <w:p>
      <w:pPr>
        <w:pStyle w:val="Style4"/>
        <w:numPr>
          <w:ilvl w:val="0"/>
          <w:numId w:val="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povirmosti vyplývající ze zákona ě. 449/2001 Sb., o myslivosti, ve zněni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pozdějších </w:t>
      </w:r>
      <w:r>
        <w:rPr>
          <w:rStyle w:val="CharStyle13"/>
        </w:rPr>
        <w:t>předpisů,</w:t>
      </w:r>
    </w:p>
    <w:p>
      <w:pPr>
        <w:pStyle w:val="Style4"/>
        <w:numPr>
          <w:ilvl w:val="0"/>
          <w:numId w:val="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rStyle w:val="CharStyle14"/>
        </w:rPr>
        <w:t xml:space="preserve">provádět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podle podmínek sběr kamene,</w:t>
      </w:r>
    </w:p>
    <w:p>
      <w:pPr>
        <w:pStyle w:val="Style4"/>
        <w:numPr>
          <w:ilvl w:val="0"/>
          <w:numId w:val="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vyžádat si souhlas propachtovatele při realizaci zúrodňovacich opatřeni a zakládáni trvalých porostů na pozemcích nebo při provádění změny druhu pozemku,</w:t>
      </w:r>
    </w:p>
    <w:p>
      <w:pPr>
        <w:pStyle w:val="Style4"/>
        <w:numPr>
          <w:ilvl w:val="0"/>
          <w:numId w:val="5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trpět věcná břemena, resp. služebnosti, spojené s pozemky, jež jsou předmětem pachtu,</w:t>
      </w:r>
    </w:p>
    <w:p>
      <w:pPr>
        <w:pStyle w:val="Style4"/>
        <w:numPr>
          <w:ilvl w:val="0"/>
          <w:numId w:val="5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platit v souladu se zákonnou úpravou daň z nemovité věci za propachtované pozemky, jež jsou předmětem nájmu.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59"/>
        <w:ind w:left="476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Č1.IV</w:t>
      </w:r>
      <w:bookmarkEnd w:id="2"/>
    </w:p>
    <w:p>
      <w:pPr>
        <w:pStyle w:val="Style4"/>
        <w:numPr>
          <w:ilvl w:val="0"/>
          <w:numId w:val="7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se uzavírá na dobu určitou od 1. července 2015 do 31. prosince 2019.</w:t>
      </w:r>
    </w:p>
    <w:p>
      <w:pPr>
        <w:pStyle w:val="Style4"/>
        <w:numPr>
          <w:ilvl w:val="0"/>
          <w:numId w:val="7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Právní vztah založený touto smlouvou lze ukončit dohodou.</w:t>
      </w:r>
    </w:p>
    <w:p>
      <w:pPr>
        <w:pStyle w:val="Style4"/>
        <w:numPr>
          <w:ilvl w:val="0"/>
          <w:numId w:val="7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může v souladu s ustanovením § 2334 NOZ vypovědět pacht bez výpovědní doby, jestliže pachtýř propachtuje propachtované pozemky jinému, přenechá-li je k užíváni nebo změní-li hospodářské určení pozemků, anebo jejich užíváni nebo požívání bez propachtovatelova předchozího souhlasu.</w:t>
      </w:r>
    </w:p>
    <w:p>
      <w:pPr>
        <w:pStyle w:val="Style2"/>
        <w:numPr>
          <w:ilvl w:val="0"/>
          <w:numId w:val="7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1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pachtovní smlouva pozbývá platnosti a účinnosti k 1. 10. 2016 v případě, že pachtýř nejpozději do 30. 6. 2016 nedoloží kladné rozhodnutí SZIF o zařazení do agroenvironmentálně-klimatického opatření.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59"/>
        <w:ind w:left="4760" w:right="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Č1.V</w:t>
      </w:r>
      <w:bookmarkEnd w:id="3"/>
    </w:p>
    <w:p>
      <w:pPr>
        <w:pStyle w:val="Style4"/>
        <w:numPr>
          <w:ilvl w:val="0"/>
          <w:numId w:val="9"/>
        </w:numPr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povinen platit propachtovateli pachtovné.</w:t>
      </w:r>
    </w:p>
    <w:p>
      <w:pPr>
        <w:pStyle w:val="Style4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Pachtovné se platí </w:t>
      </w:r>
      <w:r>
        <w:rPr>
          <w:rStyle w:val="CharStyle16"/>
        </w:rPr>
        <w:t>ročně pozadu</w:t>
      </w:r>
      <w:r>
        <w:rPr>
          <w:rStyle w:val="CharStyle17"/>
        </w:rPr>
        <w:t xml:space="preserve">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vždy k 1.10. běžného roku.</w:t>
      </w:r>
    </w:p>
    <w:p>
      <w:pPr>
        <w:pStyle w:val="Style4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Roční pachtovné se stanovuje dohodou ve výši </w:t>
      </w:r>
      <w:r>
        <w:rPr>
          <w:rStyle w:val="CharStyle17"/>
        </w:rPr>
        <w:t>52 911,- Kč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(slovy; padesátdvatisícdevětsetjedenáct korun českých).</w:t>
      </w:r>
    </w:p>
    <w:p>
      <w:pPr>
        <w:pStyle w:val="Style4"/>
        <w:numPr>
          <w:ilvl w:val="0"/>
          <w:numId w:val="9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Pachtovné bude hrazeno převodem na účet propachtovatele vedený u České národm' banky, čislo účtu 160012-3723001/0710, variabilní symbol: 7811550.</w:t>
      </w:r>
    </w:p>
    <w:p>
      <w:pPr>
        <w:pStyle w:val="Style4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Pachtovné za obdob! od účirmosti smlouvy do 30. 9. 2015 včetně činí </w:t>
      </w:r>
      <w:r>
        <w:rPr>
          <w:rStyle w:val="CharStyle17"/>
        </w:rPr>
        <w:t>13 336,- Kč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(slovy: třinácttisictřistatřicetšest korun českých) a bude uhrazeno k 1. říjnu 2015.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9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Zaplacením se rozumí připsání placené částky na účet propachtovatele.</w:t>
      </w:r>
    </w:p>
    <w:p>
      <w:pPr>
        <w:pStyle w:val="Style4"/>
        <w:numPr>
          <w:ilvl w:val="0"/>
          <w:numId w:val="9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Nedodrží-li pachtýř lhůtu pro úhradu pachtovného, je povinen podle ustanovení § 1970 NOZ zaplatit propachtovateli úrok z prodlení, a to na účet propachtovatele vedený u České národní banky, číslo účtu 180013-3723001/0710, variabilní symbol: 7811550.</w:t>
      </w:r>
    </w:p>
    <w:p>
      <w:pPr>
        <w:pStyle w:val="Style4"/>
        <w:numPr>
          <w:ilvl w:val="0"/>
          <w:numId w:val="9"/>
        </w:numPr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Prodlení pachtýře s úhradou pachtovného delší než 60 dnů se považuje za porušení smlouvy, které zakládá právo propachtovatele smlouvu vypovědět bez výpovědní doby (ustanovení § 2228 odst. 4 NOZ).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300" w:line="283" w:lineRule="exact"/>
        <w:ind w:left="4760" w:right="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Č1.VI</w:t>
      </w:r>
      <w:bookmarkEnd w:id="4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Pokud jsou na propachtovaných pozemcích zřízena meliorační zařízení, pachtýř se zavazuje:</w:t>
      </w:r>
    </w:p>
    <w:p>
      <w:pPr>
        <w:pStyle w:val="Style4"/>
        <w:numPr>
          <w:ilvl w:val="0"/>
          <w:numId w:val="1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melioračních zařízení umístěných pod povrchem půdy zajistit jejich údržbu,</w:t>
      </w:r>
    </w:p>
    <w:p>
      <w:pPr>
        <w:pStyle w:val="Style4"/>
        <w:numPr>
          <w:ilvl w:val="0"/>
          <w:numId w:val="1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4" w:line="283" w:lineRule="exact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hlavním melioračním zařízením umožnit přístup za účelem provedení údržby.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290"/>
        <w:ind w:left="476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VII</w:t>
      </w:r>
      <w:bookmarkEnd w:id="5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 2221 a § 2222 NOZ.</w:t>
      </w:r>
      <w:r>
        <w:br w:type="page"/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51"/>
        <w:ind w:left="3740" w:right="0" w:firstLine="0"/>
      </w:pPr>
      <w:bookmarkStart w:id="6" w:name="bookmark6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 VIII</w:t>
      </w:r>
      <w:bookmarkEnd w:id="6"/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349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25pt;margin-top:-72.5pt;width:90.25pt;height:90.7pt;z-index:-125829376;mso-wrap-distance-left:5.pt;mso-wrap-distance-right:5.pt;mso-wrap-distance-bottom:33.6pt;mso-position-horizontal-relative:margin" wrapcoords="0 0 21600 0 21600 21600 0 21600 0 0">
            <v:imagedata r:id="rId5" r:href="rId6"/>
            <w10:wrap type="square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není oprávněn propachtované pozemky, některé z nich nebo jejich části propachtovat nebo dát do užívání třetí osobě.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center"/>
        <w:spacing w:before="0" w:after="259"/>
        <w:ind w:left="220" w:right="0" w:firstLine="0"/>
      </w:pPr>
      <w:bookmarkStart w:id="7" w:name="bookmark7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Č1.IX</w:t>
      </w:r>
      <w:bookmarkEnd w:id="7"/>
    </w:p>
    <w:p>
      <w:pPr>
        <w:pStyle w:val="Style4"/>
        <w:numPr>
          <w:ilvl w:val="0"/>
          <w:numId w:val="11"/>
        </w:numPr>
        <w:tabs>
          <w:tab w:leader="none" w:pos="10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6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se dohodly, že jakékoliv změny a doplňky této smlouvy jsou možné pouze písemnou formou dodatku k této smlouvě na základě dohody smluvních stran.</w:t>
      </w:r>
    </w:p>
    <w:p>
      <w:pPr>
        <w:pStyle w:val="Style4"/>
        <w:numPr>
          <w:ilvl w:val="0"/>
          <w:numId w:val="11"/>
        </w:numPr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6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jsou povinny se vzájemně informovat o jakékoli změně údajů týkajících se jejich specifikace jako smluvní strany této smlouvy, a to nej později do 30 dnů ode dne změny.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96" w:line="283" w:lineRule="exact"/>
        <w:ind w:left="4740" w:right="0" w:firstLine="0"/>
      </w:pPr>
      <w:bookmarkStart w:id="8" w:name="bookmark8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Č1.X</w:t>
      </w:r>
      <w:bookmarkEnd w:id="8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45" w:line="288" w:lineRule="exact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je vyhotovena ve dvou stejnopisech, z nichž každý má platnost originálu. Jeden stejnopis přebírá pachtýř a jeden je určen pro propachtovatele.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73"/>
        <w:ind w:left="4740" w:right="0" w:firstLine="0"/>
      </w:pPr>
      <w:bookmarkStart w:id="9" w:name="bookmark9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Č1.XI</w:t>
      </w:r>
      <w:bookmarkEnd w:id="9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27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nabývá platnosti dnem jejího podpisu smluvnimi stranami.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59"/>
        <w:ind w:left="4740" w:right="0" w:firstLine="0"/>
      </w:pPr>
      <w:bookmarkStart w:id="10" w:name="bookmark1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XII</w:t>
      </w:r>
      <w:bookmarkEnd w:id="10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14" w:line="283" w:lineRule="exact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Pardubieích dne 30. června 2015</w:t>
      </w:r>
    </w:p>
    <w:sectPr>
      <w:footnotePr>
        <w:pos w:val="pageBottom"/>
        <w:numFmt w:val="decimal"/>
        <w:numRestart w:val="continuous"/>
      </w:footnotePr>
      <w:pgSz w:w="12000" w:h="16901"/>
      <w:pgMar w:top="726" w:left="1131" w:right="1307" w:bottom="7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5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u w:val="none"/>
      <w:strike w:val="0"/>
      <w:smallCaps w:val="0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0">
    <w:name w:val="Char Style 10"/>
    <w:basedOn w:val="CharStyle5"/>
    <w:rPr>
      <w:lang w:val="cs-CZ" w:eastAsia="cs-CZ" w:bidi="cs-CZ"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3">
    <w:name w:val="Char Style 13"/>
    <w:basedOn w:val="CharStyle12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Char Style 14"/>
    <w:basedOn w:val="CharStyle5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Char Style 15"/>
    <w:basedOn w:val="CharStyle3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Char Style 16"/>
    <w:basedOn w:val="CharStyle5"/>
    <w:rPr>
      <w:lang w:val="cs-CZ" w:eastAsia="cs-CZ" w:bidi="cs-CZ"/>
      <w:b/>
      <w:bCs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Char Style 17"/>
    <w:basedOn w:val="CharStyle5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Char Style 19"/>
    <w:basedOn w:val="DefaultParagraphFont"/>
    <w:link w:val="Style18"/>
    <w:rPr>
      <w:b/>
      <w:bCs/>
      <w:i w:val="0"/>
      <w:iCs w:val="0"/>
      <w:u w:val="none"/>
      <w:strike w:val="0"/>
      <w:smallCaps w:val="0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  <w:outlineLvl w:val="0"/>
      <w:spacing w:before="380" w:after="200" w:line="379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outlineLvl w:val="1"/>
      <w:spacing w:before="300" w:after="300" w:line="23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both"/>
      <w:spacing w:line="26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outlineLvl w:val="1"/>
      <w:spacing w:before="300" w:after="30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jc w:val="both"/>
      <w:spacing w:before="300" w:after="300" w:line="293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