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810" w:left="1168" w:right="628" w:bottom="147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</w:t>
      </w:r>
      <w:bookmarkEnd w:id="0"/>
      <w:bookmarkEnd w:id="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60" w:line="25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dílo „Vypracování projektové dokumentace 111/12824-1 Mnich - most ev. č. 12824-1",</w:t>
        <w:br/>
        <w:t>číslo smlouvy objednatele: 40/2019/PD/D2/VZMR/PE/sl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737870" distL="0" distR="0" simplePos="0" relativeHeight="12582937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0</wp:posOffset>
                </wp:positionV>
                <wp:extent cx="1106170" cy="1078865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6170" cy="1078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smluvních: technických: Bankovní spojení: Číslo účtu: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59.950000000000003pt;margin-top:0;width:87.099999999999994pt;height:84.950000000000003pt;z-index:-125829375;mso-wrap-distance-left:0;mso-wrap-distance-right:0;mso-wrap-distance-bottom:58.1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smluvních: technických: Bankovní spojení: Číslo účtu: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737870" distL="0" distR="0" simplePos="0" relativeHeight="125829380" behindDoc="0" locked="0" layoutInCell="1" allowOverlap="1">
                <wp:simplePos x="0" y="0"/>
                <wp:positionH relativeFrom="page">
                  <wp:posOffset>2078355</wp:posOffset>
                </wp:positionH>
                <wp:positionV relativeFrom="paragraph">
                  <wp:posOffset>0</wp:posOffset>
                </wp:positionV>
                <wp:extent cx="2648585" cy="1078865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48585" cy="1078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ředitel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00" w:line="240" w:lineRule="auto"/>
                              <w:ind w:left="0" w:right="0" w:firstLine="13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referent investiční výstavby Komerční banka, a.s.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63.65000000000001pt;margin-top:0;width:208.55000000000001pt;height:84.950000000000003pt;z-index:-125829373;mso-wrap-distance-left:0;mso-wrap-distance-right:0;mso-wrap-distance-bottom:58.10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ředitel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00" w:line="240" w:lineRule="auto"/>
                        <w:ind w:left="0" w:right="0" w:firstLine="1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referent investiční výstavby Komerční banka, a.s.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00090450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82040" distB="554990" distL="0" distR="0" simplePos="0" relativeHeight="125829382" behindDoc="0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1082040</wp:posOffset>
                </wp:positionV>
                <wp:extent cx="530225" cy="17970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60.200000000000003pt;margin-top:85.200000000000003pt;width:41.75pt;height:14.15pt;z-index:-125829371;mso-wrap-distance-left:0;mso-wrap-distance-top:85.200000000000003pt;mso-wrap-distance-right:0;mso-wrap-distance-bottom:43.700000000000003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64920" distB="375285" distL="0" distR="0" simplePos="0" relativeHeight="125829384" behindDoc="0" locked="0" layoutInCell="1" allowOverlap="1">
                <wp:simplePos x="0" y="0"/>
                <wp:positionH relativeFrom="page">
                  <wp:posOffset>770255</wp:posOffset>
                </wp:positionH>
                <wp:positionV relativeFrom="paragraph">
                  <wp:posOffset>1264920</wp:posOffset>
                </wp:positionV>
                <wp:extent cx="441960" cy="17653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196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60.649999999999999pt;margin-top:99.599999999999994pt;width:34.799999999999997pt;height:13.9pt;z-index:-125829369;mso-wrap-distance-left:0;mso-wrap-distance-top:99.599999999999994pt;mso-wrap-distance-right:0;mso-wrap-distance-bottom:29.5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44625" distB="0" distL="0" distR="0" simplePos="0" relativeHeight="125829386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1444625</wp:posOffset>
                </wp:positionV>
                <wp:extent cx="2157730" cy="37211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57730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07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  <w:tab/>
                              <w:t>Kraj Vysočina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(dále jen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„Objednatel“)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9.950000000000003pt;margin-top:113.75pt;width:169.90000000000001pt;height:29.300000000000001pt;z-index:-125829367;mso-wrap-distance-left:0;mso-wrap-distance-top:113.75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07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  <w:tab/>
                        <w:t>Kraj Vysočina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(dále jen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„Objednatel“)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3730" distB="201295" distL="0" distR="0" simplePos="0" relativeHeight="125829388" behindDoc="0" locked="0" layoutInCell="1" allowOverlap="1">
                <wp:simplePos x="0" y="0"/>
                <wp:positionH relativeFrom="page">
                  <wp:posOffset>5138420</wp:posOffset>
                </wp:positionH>
                <wp:positionV relativeFrom="paragraph">
                  <wp:posOffset>633730</wp:posOffset>
                </wp:positionV>
                <wp:extent cx="1657985" cy="98171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57985" cy="98171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040"/>
                              <w:gridCol w:w="571"/>
                            </w:tblGrid>
                            <w:tr>
                              <w:trPr>
                                <w:tblHeader/>
                                <w:trHeight w:val="480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973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4"/>
                                      <w:szCs w:val="14"/>
                                      <w:shd w:val="clear" w:color="auto" w:fill="auto"/>
                                      <w:lang w:val="cs-CZ" w:eastAsia="cs-CZ" w:bidi="cs-CZ"/>
                                    </w:rPr>
                                    <w:t>Kra|(ki apriva * idržba</w:t>
                                    <w:tab/>
                                    <w:t>|</w:t>
                                  </w:r>
                                </w:p>
                                <w:p>
                                  <w:pPr>
                                    <w:pStyle w:val="Style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2352" w:val="left"/>
                                    </w:tabs>
                                    <w:bidi w:val="0"/>
                                    <w:spacing w:before="0" w:after="0" w:line="254" w:lineRule="auto"/>
                                    <w:ind w:left="0" w:right="0" w:firstLine="0"/>
                                    <w:jc w:val="righ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1"/>
                                      <w:szCs w:val="11"/>
                                      <w:shd w:val="clear" w:color="auto" w:fill="auto"/>
                                      <w:lang w:val="cs-CZ" w:eastAsia="cs-CZ" w:bidi="cs-CZ"/>
                                    </w:rPr>
                                    <w:t>(Naic Vyaoaoy, pmptvkovi «gaaUac« j KoaovaM 1122/16, SM 01 Jihlava</w:t>
                                    <w:tab/>
                                    <w:t>(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80"/>
                                      <w:position w:val="0"/>
                                      <w:sz w:val="28"/>
                                      <w:szCs w:val="28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 1 0 -Q2“ 2020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cs-CZ" w:eastAsia="cs-CZ" w:bidi="cs-CZ"/>
                                    </w:rPr>
                                    <w:t>Počít hitu]</w:t>
                                  </w:r>
                                </w:p>
                                <w:p>
                                  <w:pPr>
                                    <w:pStyle w:val="Style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80"/>
                                    <w:jc w:val="left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cs-CZ" w:eastAsia="cs-CZ" w:bidi="cs-CZ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5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8"/>
                                      <w:szCs w:val="28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ČJ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8"/>
                                      <w:szCs w:val="28"/>
                                      <w:shd w:val="clear" w:color="auto" w:fill="auto"/>
                                      <w:lang w:val="cs-CZ" w:eastAsia="cs-CZ" w:bidi="cs-CZ"/>
                                    </w:rPr>
                                    <w:t>'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8"/>
                                      <w:szCs w:val="28"/>
                                      <w:shd w:val="clear" w:color="auto" w:fill="auto"/>
                                      <w:vertAlign w:val="superscript"/>
                                      <w:lang w:val="cs-CZ" w:eastAsia="cs-CZ" w:bidi="cs-CZ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8"/>
                                      <w:szCs w:val="28"/>
                                      <w:shd w:val="clear" w:color="auto" w:fill="auto"/>
                                      <w:lang w:val="cs-CZ" w:eastAsia="cs-CZ" w:bidi="cs-CZ"/>
                                    </w:rPr>
                                    <w:t xml:space="preserve"> 0015^ /lek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cs-CZ" w:eastAsia="cs-CZ" w:bidi="cs-CZ"/>
                                    </w:rPr>
                                    <w:t>PéÍLí&gt;H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04.60000000000002pt;margin-top:49.899999999999999pt;width:130.55000000000001pt;height:77.299999999999997pt;z-index:-125829365;mso-wrap-distance-left:0;mso-wrap-distance-top:49.899999999999999pt;mso-wrap-distance-right:0;mso-wrap-distance-bottom:15.8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040"/>
                        <w:gridCol w:w="571"/>
                      </w:tblGrid>
                      <w:tr>
                        <w:trPr>
                          <w:tblHeader/>
                          <w:trHeight w:val="480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7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Kra|(ki apriva * idržba</w:t>
                              <w:tab/>
                              <w:t>|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52" w:val="left"/>
                              </w:tabs>
                              <w:bidi w:val="0"/>
                              <w:spacing w:before="0" w:after="0" w:line="254" w:lineRule="auto"/>
                              <w:ind w:left="0" w:right="0" w:firstLine="0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>(Naic Vyaoaoy, pmptvkovi «gaaUac« j KoaovaM 1122/16, SM 01 Jihlava</w:t>
                              <w:tab/>
                              <w:t>(</w:t>
                            </w:r>
                          </w:p>
                        </w:tc>
                      </w:tr>
                      <w:tr>
                        <w:trPr>
                          <w:trHeight w:val="58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8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Datum 1 0 -Q2“ 2020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>Počít hitu]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80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>/</w:t>
                            </w:r>
                          </w:p>
                        </w:tc>
                      </w:tr>
                      <w:tr>
                        <w:trPr>
                          <w:trHeight w:val="485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ČJ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>'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cs-CZ" w:eastAsia="cs-CZ" w:bidi="cs-CZ"/>
                              </w:rPr>
                              <w:t xml:space="preserve"> 0015^ /lek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>PéÍLí&gt;H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03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tbl>
      <w:tblPr>
        <w:tblOverlap w:val="never"/>
        <w:jc w:val="left"/>
        <w:tblLayout w:type="fixed"/>
      </w:tblPr>
      <w:tblGrid>
        <w:gridCol w:w="1627"/>
        <w:gridCol w:w="6634"/>
      </w:tblGrid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tabs>
          <w:tab w:pos="206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Radovan Necid, ředitelem organizace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objednatele ve věcech</w:t>
      </w:r>
    </w:p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872"/>
        <w:gridCol w:w="6485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Mostní projekce s.r.o.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Jana Babáka 2733/11, 612 00 Brno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Františkem Pokorným, jednatelem společnosti</w:t>
            </w:r>
          </w:p>
        </w:tc>
      </w:tr>
    </w:tbl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Krajským soudem v Brně pod značkou C 104090 Osoby pověřené jednat jménem zhotovitele ve věcech smluvních: technických:</w:t>
      </w:r>
    </w:p>
    <w:tbl>
      <w:tblPr>
        <w:tblOverlap w:val="never"/>
        <w:jc w:val="left"/>
        <w:tblLayout w:type="fixed"/>
      </w:tblPr>
      <w:tblGrid>
        <w:gridCol w:w="1872"/>
        <w:gridCol w:w="6485"/>
      </w:tblGrid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Fio banka, a. s.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72"/>
        <w:gridCol w:w="6485"/>
      </w:tblGrid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06754449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CZ06754449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„Zhotovitel“)</w:t>
      </w:r>
    </w:p>
    <w:p>
      <w:pPr>
        <w:widowControl w:val="0"/>
        <w:spacing w:after="9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„Smluvnístrany"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„Smluvnístrana")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 ohledem na požadavek zhotovitele spočívající v úpravě termínu pro předání čistopisu společné dokumentace pro územní a stavební povolení (DUSP), uzavírají smluvní strany ke smlouvě o dílo na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„Vypracování projektové dokumentace 111/12824-1 Mnich - most ev. č. 12824-1",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40/2019/PD/D2/VZMR/PE/sl", ze dne 14. 8. 2019, ve znění Dodatku č. 1 ze dne 25.10. 2019 (dále SoD) tento Dodatek č. 2, a to v souladu s ustanovením § 222 odst. 6 zákona č. 134/2016 Sb., o zadávání veřejných zakázek.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Svojí žádost o uzavření dodatku zhotovitel dokládá tím, že v průběhu součinnosti při majetkoprávní přípravě bylo zjištěno, že dotčené pozemky, se kterými hospodaří Úřad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 zastupování státu ve věcech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majetkových, jsou v současné době převáděny na Povodí Vltavy, s.p. a objektivně nelze získat potřebná vyjádření pro potřeby projektové dokumentace.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2"/>
      <w:bookmarkEnd w:id="3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3" w:val="left"/>
        </w:tabs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souvislosti svýše uvedeným dochází ke změně termínu pro odevzdání DUSP nacházející se v Příloze č. 3 stávající SoD, ve znění Dodatku č. 1 a to následujícím způsobem: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 se ruší:</w:t>
      </w:r>
    </w:p>
    <w:tbl>
      <w:tblPr>
        <w:tblOverlap w:val="never"/>
        <w:jc w:val="center"/>
        <w:tblLayout w:type="fixed"/>
      </w:tblPr>
      <w:tblGrid>
        <w:gridCol w:w="5539"/>
        <w:gridCol w:w="4493"/>
      </w:tblGrid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vydání společného povolení DÚSP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30. 11.2019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DÚSP (čistopis, včetně IČ a projednání s DOSS, odsouhlasená objednatelem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2,5 měsíce od předání konceptu DUSP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sloučené povolení ÚR + SP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15 dnů od předání podkladů majetkoprávní přípravy k SP zadavatelem</w:t>
            </w: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provádění stavby (čistopis, včetně zpracování případných připomínek ze stavebního řízení a včetně soupisu prací, odsouhlasený objednatelem)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45 dnů od podání žádosti o společné povolení ÚR + SP</w:t>
            </w:r>
          </w:p>
        </w:tc>
      </w:tr>
    </w:tbl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nahrazuje se novým zněním:</w:t>
      </w:r>
    </w:p>
    <w:tbl>
      <w:tblPr>
        <w:tblOverlap w:val="never"/>
        <w:jc w:val="center"/>
        <w:tblLayout w:type="fixed"/>
      </w:tblPr>
      <w:tblGrid>
        <w:gridCol w:w="5544"/>
        <w:gridCol w:w="4488"/>
      </w:tblGrid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vydání společného povolení DÚSP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30. 11.2019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442" w:val="left"/>
                <w:tab w:leader="hyphen" w:pos="5497" w:val="left"/>
              </w:tabs>
              <w:bidi w:val="0"/>
              <w:spacing w:before="0" w:after="0" w:line="240" w:lineRule="auto"/>
              <w:ind w:left="1700" w:right="0" w:firstLine="0"/>
              <w:jc w:val="lef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f—</w:t>
              <w:tab/>
              <w:t xml:space="preserve">—■ 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bscript"/>
                <w:lang w:val="cs-CZ" w:eastAsia="cs-CZ" w:bidi="cs-CZ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ab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DUSP (čistopis, včetně IC a projednání s DOSS, odsouhlasená objednatelem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31. 3. 2020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sloučené povolení ÚR + SP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15 dnů od předání podkladů majetkoprávní přípravy k SP zadavatelem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provádění stavby (čistopis, včetně zpracování případných připomínek ze stavebního řízení a včetně soupisu prací, odsouhlasený objednatelem)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45 dnů od podání žádosti o společné povolení ÚR + SP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3" w:val="left"/>
        </w:tabs>
        <w:bidi w:val="0"/>
        <w:spacing w:before="0" w:after="6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SoD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v původním znění, resp. ve znění Dodatku č. 1.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  <w:br/>
        <w:t>Ostatní ujednání</w:t>
      </w:r>
      <w:bookmarkEnd w:id="4"/>
      <w:bookmarkEnd w:id="5"/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3" w:val="left"/>
        </w:tabs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neupravená v Dodatku č. 2 se řídí zákonem č. 89/2012 Sb., občanský zákoník, v platném znění.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3" w:val="left"/>
        </w:tabs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nedílnou součástí stávající SoD ve znění Dodatku č. 1.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3" w:val="left"/>
        </w:tabs>
        <w:bidi w:val="0"/>
        <w:spacing w:before="0" w:line="26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2 je vyhotoven ve čtyřech stejnopisech, z nichž dva výtisky obdrží objednatel a dva zhotovitel.</w:t>
      </w:r>
      <w:r>
        <w:br w:type="page"/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4" w:val="left"/>
        </w:tabs>
        <w:bidi w:val="0"/>
        <w:spacing w:before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2 nabývá platnosti dnem podpisu a účinnosti dnem uveřejnění v informačním systému veřejné správy - Registru smluv.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4" w:val="left"/>
        </w:tabs>
        <w:bidi w:val="0"/>
        <w:spacing w:before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smluv, v platném znění (zákon o registru smluv) zajistí objednatel.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94" w:val="left"/>
        </w:tabs>
        <w:bidi w:val="0"/>
        <w:spacing w:before="0" w:after="6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2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4838" w:val="left"/>
        </w:tabs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10" w:left="1168" w:right="628" w:bottom="1472" w:header="1382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Objednatel:</w:t>
      </w: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27" w:left="0" w:right="0" w:bottom="1262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1162" w:h="307" w:wrap="none" w:vAnchor="text" w:hAnchor="page" w:x="1179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Brně dne:</w:t>
      </w:r>
    </w:p>
    <w:p>
      <w:pPr>
        <w:widowControl w:val="0"/>
        <w:spacing w:after="417" w:line="1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1674495</wp:posOffset>
            </wp:positionH>
            <wp:positionV relativeFrom="paragraph">
              <wp:posOffset>18415</wp:posOffset>
            </wp:positionV>
            <wp:extent cx="1103630" cy="158750"/>
            <wp:wrapNone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10363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4277360</wp:posOffset>
            </wp:positionH>
            <wp:positionV relativeFrom="paragraph">
              <wp:posOffset>12700</wp:posOffset>
            </wp:positionV>
            <wp:extent cx="1901825" cy="231775"/>
            <wp:wrapNone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901825" cy="231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27" w:left="1176" w:right="630" w:bottom="126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3" w:after="6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27" w:left="0" w:right="0" w:bottom="182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4777105</wp:posOffset>
                </wp:positionH>
                <wp:positionV relativeFrom="paragraph">
                  <wp:posOffset>12700</wp:posOffset>
                </wp:positionV>
                <wp:extent cx="1188720" cy="374650"/>
                <wp:wrapSquare wrapText="bothSides"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872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Radovan Necid</w:t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76.14999999999998pt;margin-top:1.pt;width:93.599999999999994pt;height:29.5pt;z-index:-1258293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Radovan Necid</w:t>
                        <w:br/>
                        <w:t>ředitel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Frarftišek Pokorný</w:t>
        <w:br/>
        <w:t>jednatel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827" w:left="1176" w:right="4374" w:bottom="182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3267075</wp:posOffset>
              </wp:positionH>
              <wp:positionV relativeFrom="page">
                <wp:posOffset>9848215</wp:posOffset>
              </wp:positionV>
              <wp:extent cx="633730" cy="850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373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7.25pt;margin-top:775.45000000000005pt;width:49.899999999999999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755650</wp:posOffset>
              </wp:positionH>
              <wp:positionV relativeFrom="page">
                <wp:posOffset>9773285</wp:posOffset>
              </wp:positionV>
              <wp:extent cx="639445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3944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9.5pt;margin-top:769.54999999999995pt;width:50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kladní text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Jiné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Nadpis #1_"/>
    <w:basedOn w:val="DefaultParagraphFont"/>
    <w:link w:val="Style15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Nadpis #2_"/>
    <w:basedOn w:val="DefaultParagraphFont"/>
    <w:link w:val="Style2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after="100" w:line="252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FFFFFF"/>
      <w:spacing w:after="100" w:line="252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spacing w:after="12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Nadpis #2"/>
    <w:basedOn w:val="Normal"/>
    <w:link w:val="CharStyle24"/>
    <w:pPr>
      <w:widowControl w:val="0"/>
      <w:shd w:val="clear" w:color="auto" w:fill="FFFFFF"/>
      <w:spacing w:after="100" w:line="247" w:lineRule="auto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2.png" TargetMode="External"/></Relationships>
</file>