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60E" w:rsidRDefault="0026560E" w:rsidP="0026560E">
      <w:pPr>
        <w:pStyle w:val="Nadpis1"/>
        <w:ind w:left="0"/>
        <w:jc w:val="both"/>
        <w:rPr>
          <w:rFonts w:ascii="Times New Roman" w:hAnsi="Times New Roman" w:cs="Times New Roman"/>
          <w:b w:val="0"/>
          <w:bCs w:val="0"/>
          <w:i/>
          <w:iCs/>
          <w:kern w:val="0"/>
          <w:sz w:val="22"/>
          <w:szCs w:val="22"/>
          <w:u w:val="single"/>
          <w:lang w:eastAsia="en-US"/>
        </w:rPr>
      </w:pPr>
      <w:r>
        <w:rPr>
          <w:rFonts w:ascii="Times New Roman" w:hAnsi="Times New Roman" w:cs="Times New Roman"/>
          <w:b w:val="0"/>
          <w:bCs w:val="0"/>
          <w:i/>
          <w:iCs/>
          <w:kern w:val="0"/>
          <w:sz w:val="22"/>
          <w:szCs w:val="22"/>
          <w:u w:val="single"/>
          <w:lang w:eastAsia="en-US"/>
        </w:rPr>
        <w:t>Příloha č. 1</w:t>
      </w:r>
      <w:r w:rsidRPr="00F67031">
        <w:rPr>
          <w:rFonts w:ascii="Times New Roman" w:hAnsi="Times New Roman" w:cs="Times New Roman"/>
          <w:b w:val="0"/>
          <w:bCs w:val="0"/>
          <w:i/>
          <w:iCs/>
          <w:kern w:val="0"/>
          <w:sz w:val="22"/>
          <w:szCs w:val="22"/>
          <w:u w:val="single"/>
          <w:lang w:eastAsia="en-US"/>
        </w:rPr>
        <w:t xml:space="preserve"> </w:t>
      </w:r>
      <w:r w:rsidRPr="008C25A3">
        <w:rPr>
          <w:rFonts w:ascii="Times New Roman" w:hAnsi="Times New Roman" w:cs="Times New Roman"/>
          <w:b w:val="0"/>
          <w:bCs w:val="0"/>
          <w:i/>
          <w:iCs/>
          <w:kern w:val="0"/>
          <w:sz w:val="22"/>
          <w:szCs w:val="22"/>
          <w:u w:val="single"/>
          <w:lang w:eastAsia="en-US"/>
        </w:rPr>
        <w:t>Činnosti, které zajistí IPR Praha v rámci projektu Soutěže</w:t>
      </w:r>
    </w:p>
    <w:p w:rsidR="0026560E" w:rsidRDefault="0026560E" w:rsidP="0026560E">
      <w:pPr>
        <w:autoSpaceDE w:val="0"/>
        <w:autoSpaceDN w:val="0"/>
        <w:adjustRightInd w:val="0"/>
        <w:rPr>
          <w:b/>
          <w:sz w:val="22"/>
          <w:szCs w:val="24"/>
        </w:rPr>
      </w:pPr>
    </w:p>
    <w:p w:rsidR="0026560E" w:rsidRPr="00407550" w:rsidRDefault="0026560E" w:rsidP="0026560E">
      <w:pPr>
        <w:autoSpaceDE w:val="0"/>
        <w:autoSpaceDN w:val="0"/>
        <w:adjustRightInd w:val="0"/>
        <w:spacing w:after="40"/>
        <w:rPr>
          <w:sz w:val="22"/>
          <w:szCs w:val="24"/>
        </w:rPr>
      </w:pPr>
      <w:r w:rsidRPr="00407550">
        <w:rPr>
          <w:sz w:val="22"/>
          <w:szCs w:val="24"/>
        </w:rPr>
        <w:t>Předmět smlouvy – činnosti, které zajistí IPR Praha v rámci projektu pro rok 2016:</w:t>
      </w:r>
    </w:p>
    <w:p w:rsidR="0026560E" w:rsidRPr="00407550" w:rsidRDefault="0026560E" w:rsidP="0026560E">
      <w:pPr>
        <w:autoSpaceDE w:val="0"/>
        <w:autoSpaceDN w:val="0"/>
        <w:adjustRightInd w:val="0"/>
        <w:spacing w:after="40"/>
        <w:rPr>
          <w:sz w:val="22"/>
          <w:szCs w:val="24"/>
        </w:rPr>
      </w:pPr>
    </w:p>
    <w:p w:rsidR="0026560E" w:rsidRPr="00407550" w:rsidRDefault="0026560E" w:rsidP="0026560E">
      <w:pPr>
        <w:autoSpaceDE w:val="0"/>
        <w:autoSpaceDN w:val="0"/>
        <w:adjustRightInd w:val="0"/>
        <w:spacing w:after="40"/>
        <w:ind w:left="284" w:hanging="284"/>
        <w:rPr>
          <w:sz w:val="22"/>
          <w:szCs w:val="24"/>
        </w:rPr>
      </w:pPr>
      <w:r w:rsidRPr="00407550">
        <w:rPr>
          <w:sz w:val="22"/>
          <w:szCs w:val="24"/>
        </w:rPr>
        <w:t xml:space="preserve">1. </w:t>
      </w:r>
      <w:r w:rsidRPr="00407550">
        <w:rPr>
          <w:sz w:val="22"/>
          <w:szCs w:val="24"/>
        </w:rPr>
        <w:tab/>
        <w:t>Zpracování soutěžních podmínek a podkladů.</w:t>
      </w:r>
    </w:p>
    <w:p w:rsidR="0026560E" w:rsidRPr="00407550" w:rsidRDefault="0026560E" w:rsidP="0026560E">
      <w:pPr>
        <w:autoSpaceDE w:val="0"/>
        <w:autoSpaceDN w:val="0"/>
        <w:adjustRightInd w:val="0"/>
        <w:spacing w:after="40"/>
        <w:ind w:left="284" w:hanging="284"/>
        <w:rPr>
          <w:sz w:val="22"/>
          <w:szCs w:val="24"/>
        </w:rPr>
      </w:pPr>
      <w:r w:rsidRPr="00407550">
        <w:rPr>
          <w:sz w:val="22"/>
          <w:szCs w:val="24"/>
        </w:rPr>
        <w:t xml:space="preserve">2. </w:t>
      </w:r>
      <w:r w:rsidRPr="00407550">
        <w:rPr>
          <w:sz w:val="22"/>
          <w:szCs w:val="24"/>
        </w:rPr>
        <w:tab/>
        <w:t>Organizace ustavující schůze poroty, odpovídání porotců na dotazy a hodnotícího</w:t>
      </w:r>
    </w:p>
    <w:p w:rsidR="0026560E" w:rsidRPr="00407550" w:rsidRDefault="0026560E" w:rsidP="0026560E">
      <w:pPr>
        <w:autoSpaceDE w:val="0"/>
        <w:autoSpaceDN w:val="0"/>
        <w:adjustRightInd w:val="0"/>
        <w:spacing w:after="40"/>
        <w:ind w:left="284"/>
        <w:rPr>
          <w:sz w:val="22"/>
          <w:szCs w:val="24"/>
        </w:rPr>
      </w:pPr>
      <w:r w:rsidRPr="00407550">
        <w:rPr>
          <w:sz w:val="22"/>
          <w:szCs w:val="24"/>
        </w:rPr>
        <w:t>zasedání poroty v prvním kole soutěže:</w:t>
      </w:r>
    </w:p>
    <w:p w:rsidR="0026560E" w:rsidRPr="00407550" w:rsidRDefault="0026560E" w:rsidP="0026560E">
      <w:pPr>
        <w:autoSpaceDE w:val="0"/>
        <w:autoSpaceDN w:val="0"/>
        <w:adjustRightInd w:val="0"/>
        <w:spacing w:after="40"/>
        <w:ind w:left="284"/>
        <w:rPr>
          <w:sz w:val="22"/>
          <w:szCs w:val="24"/>
        </w:rPr>
      </w:pPr>
      <w:r w:rsidRPr="00407550">
        <w:rPr>
          <w:sz w:val="22"/>
          <w:szCs w:val="24"/>
        </w:rPr>
        <w:t>• návrh na složení poroty, doporučení odborníků, účast zástupců IPR Prahy</w:t>
      </w:r>
    </w:p>
    <w:p w:rsidR="0026560E" w:rsidRPr="00407550" w:rsidRDefault="0026560E" w:rsidP="0026560E">
      <w:pPr>
        <w:autoSpaceDE w:val="0"/>
        <w:autoSpaceDN w:val="0"/>
        <w:adjustRightInd w:val="0"/>
        <w:spacing w:after="40"/>
        <w:ind w:left="426"/>
        <w:rPr>
          <w:sz w:val="22"/>
          <w:szCs w:val="24"/>
        </w:rPr>
      </w:pPr>
      <w:r w:rsidRPr="00407550">
        <w:rPr>
          <w:sz w:val="22"/>
          <w:szCs w:val="24"/>
        </w:rPr>
        <w:t>v porotě</w:t>
      </w:r>
    </w:p>
    <w:p w:rsidR="0026560E" w:rsidRPr="00407550" w:rsidRDefault="0026560E" w:rsidP="0026560E">
      <w:pPr>
        <w:autoSpaceDE w:val="0"/>
        <w:autoSpaceDN w:val="0"/>
        <w:adjustRightInd w:val="0"/>
        <w:spacing w:after="40"/>
        <w:ind w:left="284"/>
        <w:rPr>
          <w:sz w:val="22"/>
          <w:szCs w:val="24"/>
        </w:rPr>
      </w:pPr>
      <w:r w:rsidRPr="00407550">
        <w:rPr>
          <w:sz w:val="22"/>
          <w:szCs w:val="24"/>
        </w:rPr>
        <w:t>• svolání porotců a zajištění průběhu všech schůzí poroty.</w:t>
      </w:r>
    </w:p>
    <w:p w:rsidR="0026560E" w:rsidRPr="00407550" w:rsidRDefault="0026560E" w:rsidP="0026560E">
      <w:pPr>
        <w:autoSpaceDE w:val="0"/>
        <w:autoSpaceDN w:val="0"/>
        <w:adjustRightInd w:val="0"/>
        <w:spacing w:after="40"/>
        <w:ind w:left="284" w:hanging="284"/>
        <w:rPr>
          <w:sz w:val="22"/>
          <w:szCs w:val="24"/>
        </w:rPr>
      </w:pPr>
      <w:r w:rsidRPr="00407550">
        <w:rPr>
          <w:sz w:val="22"/>
          <w:szCs w:val="24"/>
        </w:rPr>
        <w:t>3. Vyhlášení soutěže na webových portálech:</w:t>
      </w:r>
    </w:p>
    <w:p w:rsidR="0026560E" w:rsidRPr="00407550" w:rsidRDefault="0026560E" w:rsidP="0026560E">
      <w:pPr>
        <w:autoSpaceDE w:val="0"/>
        <w:autoSpaceDN w:val="0"/>
        <w:adjustRightInd w:val="0"/>
        <w:spacing w:after="40"/>
        <w:ind w:left="284"/>
        <w:rPr>
          <w:sz w:val="22"/>
          <w:szCs w:val="24"/>
        </w:rPr>
      </w:pPr>
      <w:r w:rsidRPr="00407550">
        <w:rPr>
          <w:sz w:val="22"/>
          <w:szCs w:val="24"/>
        </w:rPr>
        <w:t>• zpřístupnění soutěžních podmínek a podkladů zájemcům o účast v soutěži</w:t>
      </w:r>
    </w:p>
    <w:p w:rsidR="0026560E" w:rsidRPr="00407550" w:rsidRDefault="0026560E" w:rsidP="0026560E">
      <w:pPr>
        <w:autoSpaceDE w:val="0"/>
        <w:autoSpaceDN w:val="0"/>
        <w:adjustRightInd w:val="0"/>
        <w:spacing w:after="40"/>
        <w:ind w:left="426"/>
        <w:rPr>
          <w:sz w:val="22"/>
          <w:szCs w:val="24"/>
        </w:rPr>
      </w:pPr>
      <w:r w:rsidRPr="00407550">
        <w:rPr>
          <w:sz w:val="22"/>
          <w:szCs w:val="24"/>
        </w:rPr>
        <w:t>(mimo profilu zadavatele).</w:t>
      </w:r>
    </w:p>
    <w:p w:rsidR="0026560E" w:rsidRPr="00407550" w:rsidRDefault="0026560E" w:rsidP="0026560E">
      <w:pPr>
        <w:autoSpaceDE w:val="0"/>
        <w:autoSpaceDN w:val="0"/>
        <w:adjustRightInd w:val="0"/>
        <w:spacing w:after="40"/>
        <w:rPr>
          <w:sz w:val="22"/>
          <w:szCs w:val="24"/>
        </w:rPr>
      </w:pPr>
      <w:r w:rsidRPr="00407550">
        <w:rPr>
          <w:sz w:val="22"/>
          <w:szCs w:val="24"/>
        </w:rPr>
        <w:t>4. Zajištění práce pomocných orgánů poroty v prvním kole soutěže:</w:t>
      </w:r>
    </w:p>
    <w:p w:rsidR="0026560E" w:rsidRPr="00407550" w:rsidRDefault="0026560E" w:rsidP="0026560E">
      <w:pPr>
        <w:autoSpaceDE w:val="0"/>
        <w:autoSpaceDN w:val="0"/>
        <w:adjustRightInd w:val="0"/>
        <w:spacing w:after="40"/>
        <w:ind w:left="426" w:hanging="142"/>
        <w:rPr>
          <w:sz w:val="22"/>
          <w:szCs w:val="24"/>
        </w:rPr>
      </w:pPr>
      <w:r w:rsidRPr="00407550">
        <w:rPr>
          <w:sz w:val="22"/>
          <w:szCs w:val="24"/>
        </w:rPr>
        <w:t>• sekretáře soutěže – konzultace soutěžních podmínek, příprava podkladů pro ustavující schůzi poroty, zpracování protokolu z ustavující schůze poroty</w:t>
      </w:r>
    </w:p>
    <w:p w:rsidR="0026560E" w:rsidRPr="00407550" w:rsidRDefault="0026560E" w:rsidP="0026560E">
      <w:pPr>
        <w:autoSpaceDE w:val="0"/>
        <w:autoSpaceDN w:val="0"/>
        <w:adjustRightInd w:val="0"/>
        <w:spacing w:after="40"/>
        <w:ind w:left="426" w:hanging="142"/>
        <w:rPr>
          <w:sz w:val="22"/>
          <w:szCs w:val="24"/>
        </w:rPr>
      </w:pPr>
      <w:r w:rsidRPr="00407550">
        <w:rPr>
          <w:sz w:val="22"/>
          <w:szCs w:val="24"/>
        </w:rPr>
        <w:t xml:space="preserve">• </w:t>
      </w:r>
      <w:proofErr w:type="spellStart"/>
      <w:r w:rsidRPr="00407550">
        <w:rPr>
          <w:sz w:val="22"/>
          <w:szCs w:val="24"/>
        </w:rPr>
        <w:t>přezkušovatele</w:t>
      </w:r>
      <w:proofErr w:type="spellEnd"/>
      <w:r w:rsidRPr="00407550">
        <w:rPr>
          <w:sz w:val="22"/>
          <w:szCs w:val="24"/>
        </w:rPr>
        <w:t xml:space="preserve"> soutěžních návrhů – ověření, zda soutěžní návrhy odevzdané v prvním kole splňují požadavky na obsah a formu stanovené soutěžními podmínkami, vypracování</w:t>
      </w:r>
    </w:p>
    <w:p w:rsidR="0026560E" w:rsidRPr="00407550" w:rsidRDefault="0026560E" w:rsidP="0026560E">
      <w:pPr>
        <w:autoSpaceDE w:val="0"/>
        <w:autoSpaceDN w:val="0"/>
        <w:adjustRightInd w:val="0"/>
        <w:spacing w:after="40"/>
        <w:ind w:left="426"/>
        <w:rPr>
          <w:sz w:val="22"/>
          <w:szCs w:val="24"/>
        </w:rPr>
      </w:pPr>
      <w:r w:rsidRPr="00407550">
        <w:rPr>
          <w:sz w:val="22"/>
          <w:szCs w:val="24"/>
        </w:rPr>
        <w:t>zprávy o přezkoušení soutěžních návrhů.</w:t>
      </w:r>
    </w:p>
    <w:p w:rsidR="0026560E" w:rsidRPr="00407550" w:rsidRDefault="0026560E" w:rsidP="0026560E">
      <w:pPr>
        <w:autoSpaceDE w:val="0"/>
        <w:autoSpaceDN w:val="0"/>
        <w:adjustRightInd w:val="0"/>
        <w:spacing w:after="40"/>
        <w:ind w:left="284" w:hanging="284"/>
        <w:rPr>
          <w:sz w:val="22"/>
          <w:szCs w:val="24"/>
        </w:rPr>
      </w:pPr>
    </w:p>
    <w:p w:rsidR="0026560E" w:rsidRPr="00407550" w:rsidRDefault="0026560E" w:rsidP="0026560E">
      <w:pPr>
        <w:autoSpaceDE w:val="0"/>
        <w:autoSpaceDN w:val="0"/>
        <w:adjustRightInd w:val="0"/>
        <w:spacing w:after="40"/>
        <w:ind w:left="284" w:hanging="284"/>
        <w:rPr>
          <w:sz w:val="22"/>
          <w:szCs w:val="24"/>
        </w:rPr>
      </w:pPr>
      <w:r w:rsidRPr="00407550">
        <w:rPr>
          <w:sz w:val="22"/>
          <w:szCs w:val="24"/>
        </w:rPr>
        <w:t>Předmět smlouvy – činnosti, které zajistí IPR Praha v rámci projektu pro rok 2017:</w:t>
      </w:r>
    </w:p>
    <w:p w:rsidR="0026560E" w:rsidRPr="00407550" w:rsidRDefault="0026560E" w:rsidP="0026560E">
      <w:pPr>
        <w:autoSpaceDE w:val="0"/>
        <w:autoSpaceDN w:val="0"/>
        <w:adjustRightInd w:val="0"/>
        <w:spacing w:after="40"/>
        <w:ind w:left="284" w:hanging="284"/>
        <w:rPr>
          <w:sz w:val="22"/>
          <w:szCs w:val="24"/>
        </w:rPr>
      </w:pPr>
    </w:p>
    <w:p w:rsidR="0026560E" w:rsidRPr="00407550" w:rsidRDefault="0026560E" w:rsidP="0026560E">
      <w:pPr>
        <w:autoSpaceDE w:val="0"/>
        <w:autoSpaceDN w:val="0"/>
        <w:adjustRightInd w:val="0"/>
        <w:spacing w:after="40"/>
        <w:rPr>
          <w:sz w:val="22"/>
          <w:szCs w:val="24"/>
        </w:rPr>
      </w:pPr>
      <w:r w:rsidRPr="00407550">
        <w:rPr>
          <w:sz w:val="22"/>
          <w:szCs w:val="24"/>
        </w:rPr>
        <w:t>1. Zajištění práce pomocných orgánů poroty ve druhém kole soutěže:</w:t>
      </w:r>
    </w:p>
    <w:p w:rsidR="0026560E" w:rsidRPr="00407550" w:rsidRDefault="0026560E" w:rsidP="0026560E">
      <w:pPr>
        <w:autoSpaceDE w:val="0"/>
        <w:autoSpaceDN w:val="0"/>
        <w:adjustRightInd w:val="0"/>
        <w:spacing w:after="40"/>
        <w:ind w:left="426" w:hanging="142"/>
        <w:rPr>
          <w:sz w:val="22"/>
          <w:szCs w:val="24"/>
        </w:rPr>
      </w:pPr>
      <w:r w:rsidRPr="00407550">
        <w:rPr>
          <w:sz w:val="22"/>
          <w:szCs w:val="24"/>
        </w:rPr>
        <w:t>• sekretáře soutěže – zpracování doporučení poroty pro II. kolo soutěže a jeho rozeslání postupujícím účastníkům soutěže, odpovídání na dotazy týkající se organizace soutěže, zpracování souhrnného protokolu o průběhu soutěže,</w:t>
      </w:r>
    </w:p>
    <w:p w:rsidR="0026560E" w:rsidRPr="00407550" w:rsidRDefault="0026560E" w:rsidP="0026560E">
      <w:pPr>
        <w:pStyle w:val="NADPIS11"/>
        <w:numPr>
          <w:ilvl w:val="0"/>
          <w:numId w:val="0"/>
        </w:numPr>
        <w:spacing w:after="40" w:line="240" w:lineRule="auto"/>
        <w:ind w:left="426" w:hanging="142"/>
        <w:rPr>
          <w:rFonts w:ascii="Times New Roman" w:eastAsia="Calibri" w:hAnsi="Times New Roman" w:cs="Times New Roman"/>
          <w:b w:val="0"/>
          <w:kern w:val="0"/>
          <w:sz w:val="22"/>
          <w:szCs w:val="24"/>
          <w:lang w:eastAsia="en-US"/>
        </w:rPr>
      </w:pPr>
      <w:r w:rsidRPr="00407550">
        <w:rPr>
          <w:rFonts w:ascii="Times New Roman" w:eastAsia="Calibri" w:hAnsi="Times New Roman" w:cs="Times New Roman"/>
          <w:b w:val="0"/>
          <w:kern w:val="0"/>
          <w:sz w:val="22"/>
          <w:szCs w:val="24"/>
          <w:lang w:eastAsia="en-US"/>
        </w:rPr>
        <w:t>• pověřené důvěryhodné osoby pro otázky technického zabezpečení anonymní digitální komunikace s účastníky soutěže o návrh – ověření, zda soutěžní návrhy ve 2. kole splňují</w:t>
      </w:r>
    </w:p>
    <w:p w:rsidR="0026560E" w:rsidRPr="00407550" w:rsidRDefault="0026560E" w:rsidP="0026560E">
      <w:pPr>
        <w:autoSpaceDE w:val="0"/>
        <w:autoSpaceDN w:val="0"/>
        <w:adjustRightInd w:val="0"/>
        <w:spacing w:after="40"/>
        <w:ind w:left="426"/>
        <w:rPr>
          <w:sz w:val="22"/>
          <w:szCs w:val="24"/>
        </w:rPr>
      </w:pPr>
      <w:r w:rsidRPr="00407550">
        <w:rPr>
          <w:sz w:val="22"/>
          <w:szCs w:val="24"/>
        </w:rPr>
        <w:t>požadavky na obsah a formu stanovené soutěžními podmínkami, komunikace se soutěžícími ve druhém kole.</w:t>
      </w:r>
    </w:p>
    <w:p w:rsidR="0026560E" w:rsidRPr="00407550" w:rsidRDefault="0026560E" w:rsidP="0026560E">
      <w:pPr>
        <w:autoSpaceDE w:val="0"/>
        <w:autoSpaceDN w:val="0"/>
        <w:adjustRightInd w:val="0"/>
        <w:spacing w:after="40"/>
        <w:ind w:left="284" w:hanging="284"/>
        <w:rPr>
          <w:sz w:val="22"/>
          <w:szCs w:val="24"/>
        </w:rPr>
      </w:pPr>
      <w:r w:rsidRPr="00407550">
        <w:rPr>
          <w:sz w:val="22"/>
          <w:szCs w:val="24"/>
        </w:rPr>
        <w:t xml:space="preserve">2. </w:t>
      </w:r>
      <w:r w:rsidRPr="00407550">
        <w:rPr>
          <w:sz w:val="22"/>
          <w:szCs w:val="24"/>
        </w:rPr>
        <w:tab/>
        <w:t>Odpovídání porotců na dotazy a organizace hodnotícího zasedání poroty v obou kolech soutěže:</w:t>
      </w:r>
    </w:p>
    <w:p w:rsidR="0026560E" w:rsidRPr="00407550" w:rsidRDefault="0026560E" w:rsidP="0026560E">
      <w:pPr>
        <w:autoSpaceDE w:val="0"/>
        <w:autoSpaceDN w:val="0"/>
        <w:adjustRightInd w:val="0"/>
        <w:spacing w:after="40"/>
        <w:ind w:left="284"/>
        <w:rPr>
          <w:sz w:val="22"/>
          <w:szCs w:val="24"/>
        </w:rPr>
      </w:pPr>
      <w:r w:rsidRPr="00407550">
        <w:rPr>
          <w:sz w:val="22"/>
          <w:szCs w:val="24"/>
        </w:rPr>
        <w:t xml:space="preserve">• účast zástupců IPR Prahy v porotě při hodnocení prvního i druhého kola soutěže, </w:t>
      </w:r>
    </w:p>
    <w:p w:rsidR="0026560E" w:rsidRPr="00407550" w:rsidRDefault="0026560E" w:rsidP="0026560E">
      <w:pPr>
        <w:autoSpaceDE w:val="0"/>
        <w:autoSpaceDN w:val="0"/>
        <w:adjustRightInd w:val="0"/>
        <w:spacing w:after="40"/>
        <w:ind w:left="284"/>
        <w:rPr>
          <w:sz w:val="22"/>
          <w:szCs w:val="24"/>
        </w:rPr>
      </w:pPr>
      <w:r w:rsidRPr="00407550">
        <w:rPr>
          <w:sz w:val="22"/>
          <w:szCs w:val="24"/>
        </w:rPr>
        <w:t>• svolání porotců a zajištění průběhu všech schůzí poroty.</w:t>
      </w:r>
    </w:p>
    <w:p w:rsidR="0026560E" w:rsidRPr="00407550" w:rsidRDefault="0026560E" w:rsidP="0026560E">
      <w:pPr>
        <w:autoSpaceDE w:val="0"/>
        <w:autoSpaceDN w:val="0"/>
        <w:adjustRightInd w:val="0"/>
        <w:spacing w:after="40"/>
        <w:ind w:left="284" w:hanging="284"/>
        <w:rPr>
          <w:sz w:val="22"/>
          <w:szCs w:val="24"/>
        </w:rPr>
      </w:pPr>
      <w:r w:rsidRPr="00407550">
        <w:rPr>
          <w:sz w:val="22"/>
          <w:szCs w:val="24"/>
        </w:rPr>
        <w:t>3. Spolupráce při testování prototypů:</w:t>
      </w:r>
    </w:p>
    <w:p w:rsidR="0026560E" w:rsidRPr="00407550" w:rsidRDefault="0026560E" w:rsidP="0026560E">
      <w:pPr>
        <w:autoSpaceDE w:val="0"/>
        <w:autoSpaceDN w:val="0"/>
        <w:adjustRightInd w:val="0"/>
        <w:spacing w:after="40"/>
        <w:ind w:left="284"/>
        <w:rPr>
          <w:sz w:val="22"/>
          <w:szCs w:val="24"/>
        </w:rPr>
      </w:pPr>
      <w:r w:rsidRPr="00407550">
        <w:rPr>
          <w:sz w:val="22"/>
          <w:szCs w:val="24"/>
        </w:rPr>
        <w:t>• výběr vhodných míst pro umístění prototypů,</w:t>
      </w:r>
    </w:p>
    <w:p w:rsidR="0026560E" w:rsidRPr="00407550" w:rsidRDefault="0026560E" w:rsidP="0026560E">
      <w:pPr>
        <w:autoSpaceDE w:val="0"/>
        <w:autoSpaceDN w:val="0"/>
        <w:adjustRightInd w:val="0"/>
        <w:spacing w:after="40"/>
        <w:ind w:left="284"/>
        <w:rPr>
          <w:sz w:val="22"/>
          <w:szCs w:val="24"/>
        </w:rPr>
      </w:pPr>
      <w:r w:rsidRPr="00407550">
        <w:rPr>
          <w:sz w:val="22"/>
          <w:szCs w:val="24"/>
        </w:rPr>
        <w:t>• vytvoření zprávy o testování prototypů pro potřeby poroty.</w:t>
      </w:r>
    </w:p>
    <w:p w:rsidR="0026560E" w:rsidRPr="00407550" w:rsidRDefault="0026560E" w:rsidP="0026560E">
      <w:pPr>
        <w:autoSpaceDE w:val="0"/>
        <w:autoSpaceDN w:val="0"/>
        <w:adjustRightInd w:val="0"/>
        <w:spacing w:after="40"/>
        <w:ind w:left="284" w:hanging="284"/>
        <w:rPr>
          <w:sz w:val="22"/>
          <w:szCs w:val="24"/>
        </w:rPr>
      </w:pPr>
      <w:r w:rsidRPr="00407550">
        <w:rPr>
          <w:sz w:val="22"/>
          <w:szCs w:val="24"/>
        </w:rPr>
        <w:t xml:space="preserve">4. Uveřejnění výsledků soutěže, zpracování katalogu soutěže a výstavy: </w:t>
      </w:r>
    </w:p>
    <w:p w:rsidR="0026560E" w:rsidRPr="00407550" w:rsidRDefault="0026560E" w:rsidP="0026560E">
      <w:pPr>
        <w:autoSpaceDE w:val="0"/>
        <w:autoSpaceDN w:val="0"/>
        <w:adjustRightInd w:val="0"/>
        <w:spacing w:after="40"/>
        <w:ind w:left="284"/>
        <w:rPr>
          <w:sz w:val="22"/>
          <w:szCs w:val="24"/>
        </w:rPr>
      </w:pPr>
      <w:r w:rsidRPr="00407550">
        <w:rPr>
          <w:sz w:val="22"/>
          <w:szCs w:val="24"/>
        </w:rPr>
        <w:t>• zaslání protokolu účastníkům soutěže,</w:t>
      </w:r>
    </w:p>
    <w:p w:rsidR="0026560E" w:rsidRPr="00407550" w:rsidRDefault="0026560E" w:rsidP="0026560E">
      <w:pPr>
        <w:autoSpaceDE w:val="0"/>
        <w:autoSpaceDN w:val="0"/>
        <w:adjustRightInd w:val="0"/>
        <w:spacing w:after="40"/>
        <w:ind w:left="284"/>
        <w:rPr>
          <w:sz w:val="22"/>
          <w:szCs w:val="24"/>
        </w:rPr>
      </w:pPr>
      <w:r w:rsidRPr="00407550">
        <w:rPr>
          <w:sz w:val="22"/>
          <w:szCs w:val="24"/>
        </w:rPr>
        <w:t>• zveřejnění návrhů na webových stránkách,</w:t>
      </w:r>
    </w:p>
    <w:p w:rsidR="0026560E" w:rsidRPr="00407550" w:rsidRDefault="0026560E" w:rsidP="0026560E">
      <w:pPr>
        <w:autoSpaceDE w:val="0"/>
        <w:autoSpaceDN w:val="0"/>
        <w:adjustRightInd w:val="0"/>
        <w:spacing w:after="40"/>
        <w:ind w:left="284"/>
        <w:rPr>
          <w:sz w:val="22"/>
          <w:szCs w:val="24"/>
        </w:rPr>
      </w:pPr>
      <w:r w:rsidRPr="00407550">
        <w:rPr>
          <w:sz w:val="22"/>
          <w:szCs w:val="24"/>
        </w:rPr>
        <w:t>• zpracování katalogu s výsledky soutěže,</w:t>
      </w:r>
    </w:p>
    <w:p w:rsidR="0026560E" w:rsidRPr="00407550" w:rsidRDefault="0026560E" w:rsidP="0026560E">
      <w:pPr>
        <w:autoSpaceDE w:val="0"/>
        <w:autoSpaceDN w:val="0"/>
        <w:adjustRightInd w:val="0"/>
        <w:spacing w:after="40"/>
        <w:ind w:left="284"/>
        <w:rPr>
          <w:sz w:val="22"/>
          <w:szCs w:val="24"/>
        </w:rPr>
      </w:pPr>
      <w:r w:rsidRPr="00407550">
        <w:rPr>
          <w:sz w:val="22"/>
          <w:szCs w:val="24"/>
        </w:rPr>
        <w:t>• případně uspořádání výstavy.</w:t>
      </w:r>
    </w:p>
    <w:p w:rsidR="0026560E" w:rsidRPr="00407550" w:rsidRDefault="0026560E" w:rsidP="0026560E">
      <w:pPr>
        <w:autoSpaceDE w:val="0"/>
        <w:autoSpaceDN w:val="0"/>
        <w:adjustRightInd w:val="0"/>
        <w:spacing w:after="40"/>
        <w:ind w:left="284" w:hanging="284"/>
        <w:rPr>
          <w:sz w:val="22"/>
          <w:szCs w:val="24"/>
        </w:rPr>
      </w:pPr>
      <w:r w:rsidRPr="00407550">
        <w:rPr>
          <w:sz w:val="22"/>
          <w:szCs w:val="24"/>
        </w:rPr>
        <w:t>5. Spolupráce při jednacím řízení bez uveřejnění, které navazuje na soutěž o návrh:</w:t>
      </w:r>
    </w:p>
    <w:p w:rsidR="0026560E" w:rsidRPr="00407550" w:rsidRDefault="0026560E" w:rsidP="0026560E">
      <w:pPr>
        <w:autoSpaceDE w:val="0"/>
        <w:autoSpaceDN w:val="0"/>
        <w:adjustRightInd w:val="0"/>
        <w:spacing w:after="40"/>
        <w:ind w:left="284"/>
        <w:rPr>
          <w:sz w:val="22"/>
          <w:szCs w:val="24"/>
        </w:rPr>
      </w:pPr>
      <w:r w:rsidRPr="00407550">
        <w:rPr>
          <w:sz w:val="22"/>
          <w:szCs w:val="24"/>
        </w:rPr>
        <w:t>• účast zástupce IPR Praha v hodnotící komisi při JŘBU.</w:t>
      </w:r>
    </w:p>
    <w:p w:rsidR="0026560E" w:rsidRPr="00407550" w:rsidRDefault="0026560E" w:rsidP="0026560E">
      <w:pPr>
        <w:autoSpaceDE w:val="0"/>
        <w:autoSpaceDN w:val="0"/>
        <w:adjustRightInd w:val="0"/>
        <w:spacing w:after="40"/>
        <w:ind w:left="284"/>
        <w:rPr>
          <w:sz w:val="22"/>
          <w:szCs w:val="24"/>
        </w:rPr>
      </w:pPr>
    </w:p>
    <w:p w:rsidR="0026560E" w:rsidRPr="00407550" w:rsidRDefault="0026560E" w:rsidP="0026560E">
      <w:pPr>
        <w:autoSpaceDE w:val="0"/>
        <w:autoSpaceDN w:val="0"/>
        <w:adjustRightInd w:val="0"/>
        <w:spacing w:after="40"/>
        <w:rPr>
          <w:sz w:val="22"/>
          <w:szCs w:val="24"/>
        </w:rPr>
      </w:pPr>
      <w:r w:rsidRPr="00407550">
        <w:rPr>
          <w:sz w:val="22"/>
          <w:szCs w:val="24"/>
        </w:rPr>
        <w:t>Vedle výše uvedených činností IPR zajišťuje:</w:t>
      </w:r>
    </w:p>
    <w:p w:rsidR="0026560E" w:rsidRPr="00CC1D6B" w:rsidRDefault="0026560E" w:rsidP="0026560E">
      <w:pPr>
        <w:autoSpaceDE w:val="0"/>
        <w:autoSpaceDN w:val="0"/>
        <w:adjustRightInd w:val="0"/>
        <w:spacing w:after="40"/>
        <w:ind w:left="284"/>
        <w:rPr>
          <w:sz w:val="22"/>
          <w:szCs w:val="24"/>
        </w:rPr>
      </w:pPr>
      <w:r w:rsidRPr="00407550">
        <w:rPr>
          <w:sz w:val="22"/>
          <w:szCs w:val="24"/>
        </w:rPr>
        <w:t>• publicitu a marketing projektu, včetně informací o projektu na webových stránkách.</w:t>
      </w:r>
    </w:p>
    <w:p w:rsidR="00567CC7" w:rsidRDefault="0026560E">
      <w:bookmarkStart w:id="0" w:name="_GoBack"/>
      <w:bookmarkEnd w:id="0"/>
    </w:p>
    <w:sectPr w:rsidR="00567CC7" w:rsidSect="00FD122F"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7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tPro-Light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D3" w:rsidRDefault="0026560E" w:rsidP="00DA26E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831D3" w:rsidRDefault="0026560E" w:rsidP="0062168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D3" w:rsidRPr="00547D17" w:rsidRDefault="0026560E">
    <w:pPr>
      <w:pStyle w:val="Zpat"/>
      <w:jc w:val="right"/>
      <w:rPr>
        <w:sz w:val="20"/>
      </w:rPr>
    </w:pPr>
    <w:r w:rsidRPr="00547D17">
      <w:rPr>
        <w:sz w:val="20"/>
      </w:rPr>
      <w:t xml:space="preserve">Stránka </w:t>
    </w:r>
    <w:r w:rsidRPr="00547D17">
      <w:rPr>
        <w:b/>
        <w:sz w:val="20"/>
      </w:rPr>
      <w:fldChar w:fldCharType="begin"/>
    </w:r>
    <w:r w:rsidRPr="00547D17">
      <w:rPr>
        <w:b/>
        <w:sz w:val="20"/>
      </w:rPr>
      <w:instrText>PAGE</w:instrText>
    </w:r>
    <w:r w:rsidRPr="00547D17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47D17">
      <w:rPr>
        <w:b/>
        <w:sz w:val="20"/>
      </w:rPr>
      <w:fldChar w:fldCharType="end"/>
    </w:r>
    <w:r w:rsidRPr="00547D17">
      <w:rPr>
        <w:sz w:val="20"/>
      </w:rPr>
      <w:t>/</w:t>
    </w:r>
    <w:r w:rsidRPr="00547D17">
      <w:rPr>
        <w:b/>
        <w:sz w:val="20"/>
      </w:rPr>
      <w:fldChar w:fldCharType="begin"/>
    </w:r>
    <w:r w:rsidRPr="00547D17">
      <w:rPr>
        <w:b/>
        <w:sz w:val="20"/>
      </w:rPr>
      <w:instrText>NUMPAGES</w:instrText>
    </w:r>
    <w:r w:rsidRPr="00547D17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47D17">
      <w:rPr>
        <w:b/>
        <w:sz w:val="20"/>
      </w:rPr>
      <w:fldChar w:fldCharType="end"/>
    </w:r>
  </w:p>
  <w:p w:rsidR="003831D3" w:rsidRDefault="0026560E" w:rsidP="00621683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D3" w:rsidRPr="00912C4F" w:rsidRDefault="0026560E">
    <w:pPr>
      <w:pStyle w:val="Zpat"/>
      <w:jc w:val="right"/>
      <w:rPr>
        <w:rFonts w:ascii="Palatino Linotype" w:hAnsi="Palatino Linotype"/>
        <w:sz w:val="20"/>
      </w:rPr>
    </w:pPr>
    <w:r w:rsidRPr="00912C4F">
      <w:rPr>
        <w:rFonts w:ascii="Palatino Linotype" w:hAnsi="Palatino Linotype"/>
        <w:sz w:val="20"/>
      </w:rPr>
      <w:t xml:space="preserve">Stránka </w:t>
    </w:r>
    <w:r w:rsidRPr="00912C4F">
      <w:rPr>
        <w:rFonts w:ascii="Palatino Linotype" w:hAnsi="Palatino Linotype"/>
        <w:b/>
        <w:sz w:val="20"/>
      </w:rPr>
      <w:fldChar w:fldCharType="begin"/>
    </w:r>
    <w:r w:rsidRPr="00912C4F">
      <w:rPr>
        <w:rFonts w:ascii="Palatino Linotype" w:hAnsi="Palatino Linotype"/>
        <w:b/>
        <w:sz w:val="20"/>
      </w:rPr>
      <w:instrText>PAGE</w:instrText>
    </w:r>
    <w:r w:rsidRPr="00912C4F">
      <w:rPr>
        <w:rFonts w:ascii="Palatino Linotype" w:hAnsi="Palatino Linotype"/>
        <w:b/>
        <w:sz w:val="20"/>
      </w:rPr>
      <w:fldChar w:fldCharType="separate"/>
    </w:r>
    <w:r>
      <w:rPr>
        <w:rFonts w:ascii="Palatino Linotype" w:hAnsi="Palatino Linotype"/>
        <w:b/>
        <w:noProof/>
        <w:sz w:val="20"/>
      </w:rPr>
      <w:t>1</w:t>
    </w:r>
    <w:r w:rsidRPr="00912C4F">
      <w:rPr>
        <w:rFonts w:ascii="Palatino Linotype" w:hAnsi="Palatino Linotype"/>
        <w:b/>
        <w:sz w:val="20"/>
      </w:rPr>
      <w:fldChar w:fldCharType="end"/>
    </w:r>
    <w:r w:rsidRPr="00912C4F">
      <w:rPr>
        <w:rFonts w:ascii="Palatino Linotype" w:hAnsi="Palatino Linotype"/>
        <w:b/>
        <w:sz w:val="20"/>
      </w:rPr>
      <w:t>/</w:t>
    </w:r>
    <w:r w:rsidRPr="00912C4F">
      <w:rPr>
        <w:rFonts w:ascii="Palatino Linotype" w:hAnsi="Palatino Linotype"/>
        <w:b/>
        <w:sz w:val="20"/>
      </w:rPr>
      <w:fldChar w:fldCharType="begin"/>
    </w:r>
    <w:r w:rsidRPr="00912C4F">
      <w:rPr>
        <w:rFonts w:ascii="Palatino Linotype" w:hAnsi="Palatino Linotype"/>
        <w:b/>
        <w:sz w:val="20"/>
      </w:rPr>
      <w:instrText>NUMPAGES</w:instrText>
    </w:r>
    <w:r w:rsidRPr="00912C4F">
      <w:rPr>
        <w:rFonts w:ascii="Palatino Linotype" w:hAnsi="Palatino Linotype"/>
        <w:b/>
        <w:sz w:val="20"/>
      </w:rPr>
      <w:fldChar w:fldCharType="separate"/>
    </w:r>
    <w:r>
      <w:rPr>
        <w:rFonts w:ascii="Palatino Linotype" w:hAnsi="Palatino Linotype"/>
        <w:b/>
        <w:noProof/>
        <w:sz w:val="20"/>
      </w:rPr>
      <w:t>1</w:t>
    </w:r>
    <w:r w:rsidRPr="00912C4F">
      <w:rPr>
        <w:rFonts w:ascii="Palatino Linotype" w:hAnsi="Palatino Linotype"/>
        <w:b/>
        <w:sz w:val="20"/>
      </w:rPr>
      <w:fldChar w:fldCharType="end"/>
    </w:r>
  </w:p>
  <w:p w:rsidR="003831D3" w:rsidRDefault="0026560E">
    <w:pPr>
      <w:pStyle w:val="Zpa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A09" w:rsidRPr="00AA2055" w:rsidRDefault="0026560E" w:rsidP="00263A09">
    <w:pPr>
      <w:pStyle w:val="Zhlav"/>
      <w:tabs>
        <w:tab w:val="clear" w:pos="4536"/>
        <w:tab w:val="clear" w:pos="9072"/>
        <w:tab w:val="right" w:pos="7797"/>
        <w:tab w:val="left" w:pos="7938"/>
      </w:tabs>
      <w:ind w:left="0"/>
      <w:rPr>
        <w:rFonts w:ascii="Times New Roman" w:hAnsi="Times New Roman"/>
        <w:sz w:val="22"/>
        <w:szCs w:val="22"/>
      </w:rPr>
    </w:pPr>
    <w:r w:rsidRPr="00AA2055">
      <w:rPr>
        <w:rFonts w:ascii="Times New Roman" w:hAnsi="Times New Roman"/>
        <w:sz w:val="22"/>
        <w:szCs w:val="22"/>
      </w:rPr>
      <w:t>č</w:t>
    </w:r>
    <w:r>
      <w:rPr>
        <w:rFonts w:ascii="Times New Roman" w:hAnsi="Times New Roman"/>
        <w:sz w:val="22"/>
        <w:szCs w:val="22"/>
      </w:rPr>
      <w:t xml:space="preserve">. smlouvy HMP: </w:t>
    </w:r>
  </w:p>
  <w:p w:rsidR="00263A09" w:rsidRPr="00AA2055" w:rsidRDefault="0026560E" w:rsidP="00263A09">
    <w:pPr>
      <w:pStyle w:val="Zhlav"/>
      <w:tabs>
        <w:tab w:val="clear" w:pos="4536"/>
        <w:tab w:val="clear" w:pos="9072"/>
        <w:tab w:val="right" w:pos="7797"/>
        <w:tab w:val="left" w:pos="7938"/>
      </w:tabs>
      <w:ind w:left="0"/>
      <w:rPr>
        <w:rFonts w:ascii="Times New Roman" w:hAnsi="Times New Roman"/>
        <w:sz w:val="22"/>
        <w:szCs w:val="22"/>
      </w:rPr>
    </w:pPr>
    <w:r w:rsidRPr="00AA2055">
      <w:rPr>
        <w:rFonts w:ascii="Times New Roman" w:hAnsi="Times New Roman"/>
        <w:sz w:val="22"/>
        <w:szCs w:val="22"/>
      </w:rPr>
      <w:t xml:space="preserve">č. smlouvy </w:t>
    </w:r>
    <w:r>
      <w:rPr>
        <w:rFonts w:ascii="Times New Roman" w:hAnsi="Times New Roman"/>
        <w:sz w:val="22"/>
        <w:szCs w:val="22"/>
      </w:rPr>
      <w:t>IPR Praha</w:t>
    </w:r>
    <w:r w:rsidRPr="00AA2055">
      <w:rPr>
        <w:rFonts w:ascii="Times New Roman" w:hAnsi="Times New Roman"/>
        <w:sz w:val="22"/>
        <w:szCs w:val="22"/>
      </w:rPr>
      <w:t xml:space="preserve">: </w:t>
    </w:r>
    <w:r>
      <w:rPr>
        <w:rFonts w:ascii="Times New Roman" w:hAnsi="Times New Roman"/>
        <w:sz w:val="22"/>
        <w:szCs w:val="22"/>
      </w:rPr>
      <w:t>ZAK 16-0212</w:t>
    </w:r>
  </w:p>
  <w:p w:rsidR="003831D3" w:rsidRPr="00AA2055" w:rsidRDefault="0026560E" w:rsidP="00AA2055">
    <w:pPr>
      <w:pStyle w:val="Zhlav"/>
      <w:rPr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D3" w:rsidRPr="00AA2055" w:rsidRDefault="0026560E" w:rsidP="00AF5F42">
    <w:pPr>
      <w:pStyle w:val="Zhlav"/>
      <w:tabs>
        <w:tab w:val="clear" w:pos="4536"/>
        <w:tab w:val="clear" w:pos="9072"/>
        <w:tab w:val="right" w:pos="7797"/>
        <w:tab w:val="left" w:pos="7938"/>
      </w:tabs>
      <w:ind w:left="0"/>
      <w:rPr>
        <w:rFonts w:ascii="Times New Roman" w:hAnsi="Times New Roman"/>
        <w:sz w:val="22"/>
        <w:szCs w:val="22"/>
      </w:rPr>
    </w:pPr>
    <w:r w:rsidRPr="00AA2055">
      <w:rPr>
        <w:rFonts w:ascii="Times New Roman" w:hAnsi="Times New Roman"/>
        <w:sz w:val="22"/>
        <w:szCs w:val="22"/>
      </w:rPr>
      <w:t>č</w:t>
    </w:r>
    <w:r>
      <w:rPr>
        <w:rFonts w:ascii="Times New Roman" w:hAnsi="Times New Roman"/>
        <w:sz w:val="22"/>
        <w:szCs w:val="22"/>
      </w:rPr>
      <w:t xml:space="preserve">. </w:t>
    </w:r>
    <w:r>
      <w:rPr>
        <w:rFonts w:ascii="Times New Roman" w:hAnsi="Times New Roman"/>
        <w:sz w:val="22"/>
        <w:szCs w:val="22"/>
      </w:rPr>
      <w:t xml:space="preserve">smlouvy </w:t>
    </w:r>
    <w:r>
      <w:rPr>
        <w:rFonts w:ascii="Times New Roman" w:hAnsi="Times New Roman"/>
        <w:sz w:val="22"/>
        <w:szCs w:val="22"/>
      </w:rPr>
      <w:t>HMP</w:t>
    </w:r>
    <w:r>
      <w:rPr>
        <w:rFonts w:ascii="Times New Roman" w:hAnsi="Times New Roman"/>
        <w:sz w:val="22"/>
        <w:szCs w:val="22"/>
      </w:rPr>
      <w:t xml:space="preserve">: </w:t>
    </w:r>
    <w:r>
      <w:rPr>
        <w:rFonts w:ascii="Times New Roman" w:hAnsi="Times New Roman"/>
        <w:sz w:val="22"/>
        <w:szCs w:val="22"/>
      </w:rPr>
      <w:t xml:space="preserve">                                                                             </w:t>
    </w:r>
    <w:r w:rsidRPr="009810A8">
      <w:rPr>
        <w:rFonts w:ascii="Times New Roman" w:hAnsi="Times New Roman"/>
        <w:b/>
        <w:sz w:val="22"/>
        <w:szCs w:val="22"/>
      </w:rPr>
      <w:t>Příloha č. 3 usnesení………</w:t>
    </w:r>
  </w:p>
  <w:p w:rsidR="009810A8" w:rsidRPr="00802FBB" w:rsidRDefault="0026560E" w:rsidP="009810A8">
    <w:pPr>
      <w:rPr>
        <w:b/>
        <w:sz w:val="22"/>
        <w:szCs w:val="22"/>
      </w:rPr>
    </w:pPr>
    <w:r w:rsidRPr="00AA2055">
      <w:rPr>
        <w:sz w:val="22"/>
        <w:szCs w:val="22"/>
      </w:rPr>
      <w:t xml:space="preserve">č. smlouvy </w:t>
    </w:r>
    <w:r>
      <w:rPr>
        <w:sz w:val="22"/>
        <w:szCs w:val="22"/>
      </w:rPr>
      <w:t>IPR Praha</w:t>
    </w:r>
    <w:r w:rsidRPr="00AA2055">
      <w:rPr>
        <w:sz w:val="22"/>
        <w:szCs w:val="22"/>
      </w:rPr>
      <w:t>:</w:t>
    </w:r>
    <w:r w:rsidRPr="00AA2055">
      <w:rPr>
        <w:sz w:val="22"/>
        <w:szCs w:val="22"/>
      </w:rPr>
      <w:t xml:space="preserve"> </w:t>
    </w:r>
    <w:r>
      <w:rPr>
        <w:sz w:val="22"/>
        <w:szCs w:val="22"/>
      </w:rPr>
      <w:t>ZAK 16-0212</w:t>
    </w:r>
    <w:r w:rsidRPr="009810A8">
      <w:rPr>
        <w:b/>
        <w:sz w:val="22"/>
        <w:szCs w:val="22"/>
      </w:rPr>
      <w:t xml:space="preserve"> </w:t>
    </w:r>
    <w:r>
      <w:rPr>
        <w:b/>
        <w:sz w:val="22"/>
        <w:szCs w:val="22"/>
      </w:rPr>
      <w:t xml:space="preserve">                                                    </w:t>
    </w:r>
  </w:p>
  <w:p w:rsidR="003831D3" w:rsidRPr="00AA2055" w:rsidRDefault="0026560E" w:rsidP="00AF5F42">
    <w:pPr>
      <w:pStyle w:val="Zhlav"/>
      <w:tabs>
        <w:tab w:val="clear" w:pos="4536"/>
        <w:tab w:val="clear" w:pos="9072"/>
        <w:tab w:val="right" w:pos="7797"/>
        <w:tab w:val="left" w:pos="7938"/>
      </w:tabs>
      <w:ind w:left="0"/>
      <w:rPr>
        <w:rFonts w:ascii="Times New Roman" w:hAnsi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617D60"/>
    <w:multiLevelType w:val="multilevel"/>
    <w:tmpl w:val="03EE23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11"/>
      <w:lvlText w:val="%1.%2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CISLNOR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60E"/>
    <w:rsid w:val="0026560E"/>
    <w:rsid w:val="00343C9A"/>
    <w:rsid w:val="0051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FBC9F-2967-47D7-B4E2-22766095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56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next w:val="Normln"/>
    <w:link w:val="Nadpis1Char"/>
    <w:qFormat/>
    <w:rsid w:val="0026560E"/>
    <w:pPr>
      <w:keepNext/>
      <w:spacing w:before="240" w:after="120" w:line="240" w:lineRule="auto"/>
      <w:ind w:left="1021"/>
      <w:outlineLvl w:val="0"/>
    </w:pPr>
    <w:rPr>
      <w:rFonts w:ascii="Century Gothic" w:eastAsia="Times New Roman" w:hAnsi="Century Gothic" w:cs="Arial"/>
      <w:b/>
      <w:bCs/>
      <w:kern w:val="32"/>
      <w:sz w:val="40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6560E"/>
    <w:rPr>
      <w:rFonts w:ascii="Century Gothic" w:eastAsia="Times New Roman" w:hAnsi="Century Gothic" w:cs="Arial"/>
      <w:b/>
      <w:bCs/>
      <w:kern w:val="32"/>
      <w:sz w:val="40"/>
      <w:szCs w:val="32"/>
      <w:lang w:eastAsia="cs-CZ"/>
    </w:rPr>
  </w:style>
  <w:style w:type="paragraph" w:styleId="Zhlav">
    <w:name w:val="header"/>
    <w:link w:val="ZhlavChar"/>
    <w:rsid w:val="0026560E"/>
    <w:pPr>
      <w:tabs>
        <w:tab w:val="center" w:pos="4536"/>
        <w:tab w:val="right" w:pos="9072"/>
      </w:tabs>
      <w:spacing w:after="0" w:line="240" w:lineRule="auto"/>
      <w:ind w:left="567"/>
    </w:pPr>
    <w:rPr>
      <w:rFonts w:ascii="Century Gothic" w:eastAsia="Times New Roman" w:hAnsi="Century Gothic" w:cs="Times New Roman"/>
      <w:sz w:val="16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26560E"/>
    <w:rPr>
      <w:rFonts w:ascii="Century Gothic" w:eastAsia="Times New Roman" w:hAnsi="Century Gothic" w:cs="Times New Roman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656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560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26560E"/>
  </w:style>
  <w:style w:type="paragraph" w:customStyle="1" w:styleId="NADPIS11">
    <w:name w:val="NADPIS 11"/>
    <w:basedOn w:val="Normln"/>
    <w:qFormat/>
    <w:rsid w:val="0026560E"/>
    <w:pPr>
      <w:keepNext/>
      <w:keepLines/>
      <w:numPr>
        <w:ilvl w:val="1"/>
        <w:numId w:val="1"/>
      </w:numPr>
      <w:suppressAutoHyphens/>
      <w:spacing w:before="120" w:line="276" w:lineRule="auto"/>
      <w:outlineLvl w:val="1"/>
    </w:pPr>
    <w:rPr>
      <w:rFonts w:ascii="UnitPro-Light" w:eastAsia="SimSun" w:hAnsi="UnitPro-Light" w:cs="Calibri"/>
      <w:b/>
      <w:kern w:val="1"/>
      <w:szCs w:val="26"/>
      <w:lang w:eastAsia="ar-SA"/>
    </w:rPr>
  </w:style>
  <w:style w:type="paragraph" w:customStyle="1" w:styleId="CISLNORMAL">
    <w:name w:val="CISL NORMAL"/>
    <w:basedOn w:val="Normln"/>
    <w:qFormat/>
    <w:rsid w:val="0026560E"/>
    <w:pPr>
      <w:numPr>
        <w:ilvl w:val="2"/>
        <w:numId w:val="1"/>
      </w:numPr>
      <w:suppressAutoHyphens/>
      <w:spacing w:before="120" w:line="100" w:lineRule="atLeast"/>
    </w:pPr>
    <w:rPr>
      <w:rFonts w:ascii="UnitPro-Light" w:eastAsia="SimSun" w:hAnsi="UnitPro-Light" w:cs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Raffayová Markéta (IPR/R)</dc:creator>
  <cp:keywords/>
  <dc:description/>
  <cp:lastModifiedBy>Raffayová Markéta (IPR/R)</cp:lastModifiedBy>
  <cp:revision>1</cp:revision>
  <dcterms:created xsi:type="dcterms:W3CDTF">2016-10-05T12:52:00Z</dcterms:created>
  <dcterms:modified xsi:type="dcterms:W3CDTF">2016-10-05T12:53:00Z</dcterms:modified>
</cp:coreProperties>
</file>