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B1" w:rsidRPr="00420687" w:rsidRDefault="009450F0" w:rsidP="009450F0">
      <w:pPr>
        <w:contextualSpacing/>
        <w:jc w:val="center"/>
        <w:rPr>
          <w:b/>
        </w:rPr>
      </w:pPr>
      <w:r w:rsidRPr="00420687">
        <w:rPr>
          <w:b/>
        </w:rPr>
        <w:t>SMLOUVA</w:t>
      </w:r>
    </w:p>
    <w:p w:rsidR="009450F0" w:rsidRPr="00420687" w:rsidRDefault="009450F0" w:rsidP="009450F0">
      <w:pPr>
        <w:contextualSpacing/>
        <w:jc w:val="center"/>
        <w:rPr>
          <w:b/>
        </w:rPr>
      </w:pPr>
      <w:r w:rsidRPr="00420687">
        <w:rPr>
          <w:b/>
        </w:rPr>
        <w:t>O DODÁVCE DÍLŮ P</w:t>
      </w:r>
      <w:r w:rsidR="00EC2DA8" w:rsidRPr="00420687">
        <w:rPr>
          <w:b/>
        </w:rPr>
        <w:t>RO MONTÁŽ NÁKLADNÍHO AUTOMOBILU</w:t>
      </w:r>
    </w:p>
    <w:p w:rsidR="009450F0" w:rsidRPr="00420687" w:rsidRDefault="009450F0" w:rsidP="009450F0">
      <w:pPr>
        <w:contextualSpacing/>
        <w:jc w:val="center"/>
      </w:pPr>
      <w:r w:rsidRPr="00420687">
        <w:rPr>
          <w:b/>
        </w:rPr>
        <w:t>A O SPOLUPRÁCI PŘI JEHO MONTÁŽI</w:t>
      </w:r>
    </w:p>
    <w:p w:rsidR="009450F0" w:rsidRPr="00420687" w:rsidRDefault="009450F0" w:rsidP="009450F0">
      <w:pPr>
        <w:contextualSpacing/>
        <w:jc w:val="center"/>
      </w:pPr>
      <w:r w:rsidRPr="00420687">
        <w:t>uzavřená podle ustanovení § 1746 odst. 2 zákona č. 89/2012 Sb., občanského zákoníku ve znění pozdějších předpisů mezi</w:t>
      </w:r>
    </w:p>
    <w:p w:rsidR="009450F0" w:rsidRPr="00420687" w:rsidRDefault="009450F0">
      <w:pPr>
        <w:contextualSpacing/>
        <w:rPr>
          <w:b/>
        </w:rPr>
      </w:pPr>
      <w:r w:rsidRPr="00420687">
        <w:rPr>
          <w:b/>
        </w:rPr>
        <w:t>___________________________________________________________________________</w:t>
      </w:r>
    </w:p>
    <w:p w:rsidR="00EC2DA8" w:rsidRPr="00420687" w:rsidRDefault="00EC2DA8" w:rsidP="00EC2DA8">
      <w:pPr>
        <w:numPr>
          <w:ilvl w:val="0"/>
          <w:numId w:val="3"/>
        </w:numPr>
        <w:suppressAutoHyphens/>
        <w:spacing w:after="120"/>
        <w:ind w:left="357" w:hanging="357"/>
        <w:jc w:val="both"/>
        <w:rPr>
          <w:bCs/>
        </w:rPr>
      </w:pPr>
      <w:r w:rsidRPr="00420687">
        <w:rPr>
          <w:bCs/>
        </w:rPr>
        <w:t xml:space="preserve">Kupující: </w:t>
      </w:r>
    </w:p>
    <w:tbl>
      <w:tblPr>
        <w:tblW w:w="92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7001"/>
      </w:tblGrid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spacing w:after="0"/>
              <w:rPr>
                <w:i/>
              </w:rPr>
            </w:pPr>
            <w:r w:rsidRPr="00420687">
              <w:rPr>
                <w:i/>
              </w:rPr>
              <w:t>Název:</w:t>
            </w:r>
          </w:p>
        </w:tc>
        <w:tc>
          <w:tcPr>
            <w:tcW w:w="7001" w:type="dxa"/>
            <w:vAlign w:val="bottom"/>
          </w:tcPr>
          <w:p w:rsidR="00EC2DA8" w:rsidRPr="00420687" w:rsidRDefault="00EC2DA8" w:rsidP="00EC2DA8">
            <w:pPr>
              <w:spacing w:after="0"/>
              <w:rPr>
                <w:b/>
                <w:color w:val="000000"/>
              </w:rPr>
            </w:pPr>
            <w:r w:rsidRPr="00420687">
              <w:rPr>
                <w:b/>
                <w:color w:val="000000"/>
              </w:rPr>
              <w:t>Střední průmyslová škola dopravní, Plzeň, Karlovarská 99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spacing w:after="0"/>
              <w:rPr>
                <w:i/>
                <w:iCs/>
                <w:color w:val="000000"/>
              </w:rPr>
            </w:pPr>
            <w:r w:rsidRPr="00420687">
              <w:rPr>
                <w:i/>
                <w:iCs/>
                <w:color w:val="000000"/>
              </w:rPr>
              <w:t>IČO:</w:t>
            </w:r>
          </w:p>
        </w:tc>
        <w:tc>
          <w:tcPr>
            <w:tcW w:w="7001" w:type="dxa"/>
            <w:vAlign w:val="bottom"/>
          </w:tcPr>
          <w:p w:rsidR="00EC2DA8" w:rsidRPr="00420687" w:rsidRDefault="00EC2DA8" w:rsidP="00EC2DA8">
            <w:pPr>
              <w:spacing w:after="0"/>
              <w:rPr>
                <w:color w:val="000000"/>
              </w:rPr>
            </w:pPr>
            <w:r w:rsidRPr="00420687">
              <w:rPr>
                <w:color w:val="000000"/>
              </w:rPr>
              <w:t>69457930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spacing w:after="0"/>
              <w:rPr>
                <w:i/>
                <w:iCs/>
                <w:color w:val="000000"/>
              </w:rPr>
            </w:pPr>
            <w:r w:rsidRPr="00420687">
              <w:rPr>
                <w:i/>
                <w:iCs/>
                <w:color w:val="000000"/>
              </w:rPr>
              <w:t>Sídlo:</w:t>
            </w:r>
          </w:p>
        </w:tc>
        <w:tc>
          <w:tcPr>
            <w:tcW w:w="7001" w:type="dxa"/>
            <w:vAlign w:val="bottom"/>
          </w:tcPr>
          <w:p w:rsidR="00EC2DA8" w:rsidRPr="00420687" w:rsidRDefault="00EC2DA8" w:rsidP="00EC2DA8">
            <w:pPr>
              <w:spacing w:after="0"/>
              <w:rPr>
                <w:color w:val="000000"/>
              </w:rPr>
            </w:pPr>
            <w:r w:rsidRPr="00420687">
              <w:rPr>
                <w:color w:val="000000"/>
              </w:rPr>
              <w:t>Karlovarská 1210/99, 323 00 Plzeň</w:t>
            </w:r>
          </w:p>
        </w:tc>
      </w:tr>
      <w:tr w:rsidR="00EC2DA8" w:rsidRPr="00420687" w:rsidTr="001C5C76">
        <w:trPr>
          <w:trHeight w:val="57"/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spacing w:after="0"/>
              <w:rPr>
                <w:i/>
                <w:iCs/>
                <w:color w:val="000000"/>
              </w:rPr>
            </w:pPr>
            <w:r w:rsidRPr="00420687">
              <w:rPr>
                <w:i/>
                <w:iCs/>
                <w:color w:val="000000"/>
              </w:rPr>
              <w:t>Statutární zástupce:</w:t>
            </w:r>
          </w:p>
        </w:tc>
        <w:tc>
          <w:tcPr>
            <w:tcW w:w="7001" w:type="dxa"/>
            <w:vAlign w:val="bottom"/>
          </w:tcPr>
          <w:p w:rsidR="00EC2DA8" w:rsidRPr="00420687" w:rsidRDefault="00EC2DA8" w:rsidP="00EC2DA8">
            <w:pPr>
              <w:spacing w:after="0"/>
              <w:rPr>
                <w:color w:val="000000"/>
              </w:rPr>
            </w:pPr>
            <w:r w:rsidRPr="00420687">
              <w:rPr>
                <w:color w:val="000000"/>
              </w:rPr>
              <w:t>Ing. Irena Nováková, ředitelka</w:t>
            </w:r>
          </w:p>
        </w:tc>
      </w:tr>
      <w:tr w:rsidR="00EC2DA8" w:rsidRPr="00420687" w:rsidTr="001C5C76">
        <w:trPr>
          <w:trHeight w:val="57"/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spacing w:after="0"/>
              <w:rPr>
                <w:i/>
                <w:iCs/>
                <w:color w:val="000000"/>
              </w:rPr>
            </w:pPr>
            <w:r w:rsidRPr="00420687">
              <w:rPr>
                <w:i/>
                <w:iCs/>
                <w:color w:val="000000"/>
              </w:rPr>
              <w:t>Kontaktní osoba:</w:t>
            </w:r>
          </w:p>
        </w:tc>
        <w:tc>
          <w:tcPr>
            <w:tcW w:w="7001" w:type="dxa"/>
            <w:vAlign w:val="center"/>
          </w:tcPr>
          <w:p w:rsidR="00EC2DA8" w:rsidRPr="00420687" w:rsidRDefault="00240B53" w:rsidP="00240B53">
            <w:pPr>
              <w:widowControl w:val="0"/>
              <w:spacing w:after="0"/>
              <w:ind w:right="-2"/>
            </w:pPr>
            <w:r w:rsidRPr="00420687">
              <w:t>Ing. Vladimír Baxa, ZŘ</w:t>
            </w:r>
          </w:p>
        </w:tc>
      </w:tr>
      <w:tr w:rsidR="00EC2DA8" w:rsidRPr="00420687" w:rsidTr="001C5C76">
        <w:trPr>
          <w:trHeight w:val="57"/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spacing w:after="0"/>
              <w:rPr>
                <w:i/>
                <w:iCs/>
                <w:color w:val="000000"/>
              </w:rPr>
            </w:pPr>
            <w:r w:rsidRPr="00420687">
              <w:rPr>
                <w:i/>
                <w:iCs/>
                <w:color w:val="000000"/>
              </w:rPr>
              <w:t>Tel. na kontaktní osobu:</w:t>
            </w:r>
          </w:p>
        </w:tc>
        <w:tc>
          <w:tcPr>
            <w:tcW w:w="7001" w:type="dxa"/>
            <w:vAlign w:val="center"/>
          </w:tcPr>
          <w:p w:rsidR="00EC2DA8" w:rsidRPr="00420687" w:rsidRDefault="00952C01" w:rsidP="00EC2DA8">
            <w:pPr>
              <w:widowControl w:val="0"/>
              <w:spacing w:after="0"/>
              <w:ind w:right="-2"/>
            </w:pPr>
            <w:r w:rsidRPr="00420687">
              <w:t xml:space="preserve">+420 </w:t>
            </w:r>
            <w:r w:rsidR="00240B53" w:rsidRPr="00420687">
              <w:t>603</w:t>
            </w:r>
            <w:r w:rsidRPr="00420687">
              <w:t> </w:t>
            </w:r>
            <w:r w:rsidR="00240B53" w:rsidRPr="00420687">
              <w:t>510</w:t>
            </w:r>
            <w:r w:rsidRPr="00420687">
              <w:t xml:space="preserve"> </w:t>
            </w:r>
            <w:r w:rsidR="00240B53" w:rsidRPr="00420687">
              <w:t>400</w:t>
            </w:r>
          </w:p>
        </w:tc>
      </w:tr>
      <w:tr w:rsidR="00EC2DA8" w:rsidRPr="00420687" w:rsidTr="001C5C76">
        <w:trPr>
          <w:trHeight w:val="57"/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spacing w:after="0"/>
              <w:rPr>
                <w:i/>
                <w:iCs/>
                <w:color w:val="000000"/>
              </w:rPr>
            </w:pPr>
            <w:r w:rsidRPr="00420687">
              <w:rPr>
                <w:i/>
                <w:iCs/>
                <w:color w:val="000000"/>
              </w:rPr>
              <w:t>E-mail kontaktní osoby:</w:t>
            </w:r>
          </w:p>
        </w:tc>
        <w:tc>
          <w:tcPr>
            <w:tcW w:w="7001" w:type="dxa"/>
            <w:vAlign w:val="center"/>
          </w:tcPr>
          <w:p w:rsidR="00EC2DA8" w:rsidRPr="00420687" w:rsidRDefault="00743B73" w:rsidP="00EC2DA8">
            <w:pPr>
              <w:widowControl w:val="0"/>
              <w:spacing w:after="0"/>
              <w:ind w:right="-2"/>
              <w:rPr>
                <w:b/>
                <w:highlight w:val="yellow"/>
              </w:rPr>
            </w:pPr>
            <w:hyperlink r:id="rId8" w:anchor="compose?to=vlbaxa%40volny.cz" w:history="1">
              <w:r w:rsidR="00240B53" w:rsidRPr="00420687">
                <w:rPr>
                  <w:rStyle w:val="Hypertextovodkaz"/>
                  <w:color w:val="auto"/>
                  <w:u w:val="none"/>
                </w:rPr>
                <w:t>vlbaxa@</w:t>
              </w:r>
              <w:r w:rsidR="00240B53" w:rsidRPr="00420687">
                <w:rPr>
                  <w:rStyle w:val="Siln"/>
                  <w:b w:val="0"/>
                </w:rPr>
                <w:t>volny.cz</w:t>
              </w:r>
            </w:hyperlink>
          </w:p>
        </w:tc>
      </w:tr>
    </w:tbl>
    <w:p w:rsidR="00EC2DA8" w:rsidRPr="00420687" w:rsidRDefault="00EC2DA8" w:rsidP="00EC2DA8">
      <w:pPr>
        <w:pStyle w:val="Bezmezer"/>
        <w:spacing w:before="120" w:line="276" w:lineRule="auto"/>
        <w:rPr>
          <w:rFonts w:ascii="Arial" w:hAnsi="Arial" w:cs="Arial"/>
        </w:rPr>
      </w:pPr>
      <w:r w:rsidRPr="00420687">
        <w:rPr>
          <w:rFonts w:ascii="Arial" w:hAnsi="Arial" w:cs="Arial"/>
        </w:rPr>
        <w:t>(dále jen „</w:t>
      </w:r>
      <w:r w:rsidRPr="00420687">
        <w:rPr>
          <w:rFonts w:ascii="Arial" w:hAnsi="Arial" w:cs="Arial"/>
          <w:b/>
        </w:rPr>
        <w:t>Kupující“</w:t>
      </w:r>
      <w:r w:rsidRPr="00420687">
        <w:rPr>
          <w:rFonts w:ascii="Arial" w:hAnsi="Arial" w:cs="Arial"/>
        </w:rPr>
        <w:t>)</w:t>
      </w:r>
    </w:p>
    <w:p w:rsidR="00EC2DA8" w:rsidRPr="00420687" w:rsidRDefault="00EC2DA8" w:rsidP="00EC2DA8">
      <w:pPr>
        <w:numPr>
          <w:ilvl w:val="0"/>
          <w:numId w:val="3"/>
        </w:numPr>
        <w:suppressAutoHyphens/>
        <w:spacing w:before="120" w:after="120"/>
        <w:ind w:left="357" w:hanging="357"/>
        <w:jc w:val="both"/>
        <w:rPr>
          <w:bCs/>
        </w:rPr>
      </w:pPr>
      <w:r w:rsidRPr="00420687">
        <w:rPr>
          <w:bCs/>
        </w:rPr>
        <w:t>Prodávající:</w:t>
      </w:r>
    </w:p>
    <w:tbl>
      <w:tblPr>
        <w:tblW w:w="92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7001"/>
      </w:tblGrid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  <w:color w:val="000000"/>
              </w:rPr>
            </w:pPr>
            <w:r w:rsidRPr="00420687">
              <w:rPr>
                <w:color w:val="000000"/>
              </w:rPr>
              <w:t>N</w:t>
            </w:r>
            <w:r w:rsidRPr="00420687">
              <w:rPr>
                <w:color w:val="000000"/>
                <w:spacing w:val="-7"/>
              </w:rPr>
              <w:t>á</w:t>
            </w:r>
            <w:r w:rsidRPr="00420687">
              <w:rPr>
                <w:color w:val="000000"/>
              </w:rPr>
              <w:t>zev:</w:t>
            </w:r>
          </w:p>
        </w:tc>
        <w:tc>
          <w:tcPr>
            <w:tcW w:w="7001" w:type="dxa"/>
          </w:tcPr>
          <w:p w:rsidR="00EC2DA8" w:rsidRPr="00420687" w:rsidRDefault="00EE55F2" w:rsidP="00EC2DA8">
            <w:pPr>
              <w:spacing w:after="0"/>
            </w:pPr>
            <w:r w:rsidRPr="00420687">
              <w:t>NEVA Group s.r.o.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  <w:color w:val="000000"/>
              </w:rPr>
            </w:pPr>
            <w:r w:rsidRPr="00420687">
              <w:rPr>
                <w:bCs/>
                <w:color w:val="000000"/>
              </w:rPr>
              <w:t>IČO/DIČ:</w:t>
            </w:r>
          </w:p>
        </w:tc>
        <w:tc>
          <w:tcPr>
            <w:tcW w:w="7001" w:type="dxa"/>
          </w:tcPr>
          <w:p w:rsidR="00EC2DA8" w:rsidRPr="00420687" w:rsidRDefault="00EE55F2" w:rsidP="00EC2DA8">
            <w:pPr>
              <w:spacing w:after="0"/>
            </w:pPr>
            <w:r w:rsidRPr="00420687">
              <w:t>62915274/CZ62915274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  <w:color w:val="000000"/>
              </w:rPr>
            </w:pPr>
            <w:r w:rsidRPr="00420687">
              <w:rPr>
                <w:bCs/>
                <w:color w:val="000000"/>
              </w:rPr>
              <w:t>Sídlo:</w:t>
            </w:r>
          </w:p>
        </w:tc>
        <w:tc>
          <w:tcPr>
            <w:tcW w:w="7001" w:type="dxa"/>
          </w:tcPr>
          <w:p w:rsidR="00EC2DA8" w:rsidRPr="00420687" w:rsidRDefault="00EE55F2" w:rsidP="00EE55F2">
            <w:pPr>
              <w:spacing w:after="0"/>
            </w:pPr>
            <w:r w:rsidRPr="00420687">
              <w:t>Úherce, Průmyslová zóna Mexiko 128, 330 23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  <w:color w:val="000000"/>
              </w:rPr>
            </w:pPr>
            <w:r w:rsidRPr="00420687">
              <w:rPr>
                <w:bCs/>
                <w:color w:val="000000"/>
              </w:rPr>
              <w:t>Plátce DPH:</w:t>
            </w:r>
          </w:p>
        </w:tc>
        <w:tc>
          <w:tcPr>
            <w:tcW w:w="7001" w:type="dxa"/>
          </w:tcPr>
          <w:p w:rsidR="00EC2DA8" w:rsidRPr="00420687" w:rsidRDefault="00EE55F2" w:rsidP="00EC2DA8">
            <w:pPr>
              <w:spacing w:after="0"/>
              <w:rPr>
                <w:bCs/>
                <w:color w:val="FF0000"/>
              </w:rPr>
            </w:pPr>
            <w:r w:rsidRPr="00420687">
              <w:rPr>
                <w:bCs/>
              </w:rPr>
              <w:t>ANO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</w:rPr>
            </w:pPr>
            <w:r w:rsidRPr="00420687">
              <w:rPr>
                <w:bCs/>
              </w:rPr>
              <w:t>Adresa pro doručování:</w:t>
            </w:r>
          </w:p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  <w:color w:val="000000"/>
              </w:rPr>
            </w:pPr>
            <w:r w:rsidRPr="00420687">
              <w:rPr>
                <w:bCs/>
              </w:rPr>
              <w:t xml:space="preserve">(pokud </w:t>
            </w:r>
            <w:r w:rsidRPr="00420687">
              <w:t>se liší od sídla)</w:t>
            </w:r>
          </w:p>
        </w:tc>
        <w:tc>
          <w:tcPr>
            <w:tcW w:w="7001" w:type="dxa"/>
          </w:tcPr>
          <w:p w:rsidR="00EC2DA8" w:rsidRPr="00420687" w:rsidRDefault="00EE55F2" w:rsidP="00EC2DA8">
            <w:pPr>
              <w:spacing w:after="0"/>
            </w:pPr>
            <w:r w:rsidRPr="00420687">
              <w:t>_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  <w:color w:val="000000"/>
              </w:rPr>
            </w:pPr>
            <w:r w:rsidRPr="00420687">
              <w:rPr>
                <w:color w:val="000000"/>
              </w:rPr>
              <w:t>Statutární zástupce</w:t>
            </w:r>
            <w:r w:rsidRPr="00420687">
              <w:rPr>
                <w:bCs/>
                <w:color w:val="000000"/>
              </w:rPr>
              <w:t>:</w:t>
            </w:r>
          </w:p>
        </w:tc>
        <w:tc>
          <w:tcPr>
            <w:tcW w:w="7001" w:type="dxa"/>
          </w:tcPr>
          <w:p w:rsidR="00EC2DA8" w:rsidRPr="00420687" w:rsidRDefault="00EE55F2" w:rsidP="00EC2DA8">
            <w:pPr>
              <w:spacing w:after="0"/>
            </w:pPr>
            <w:r w:rsidRPr="00420687">
              <w:t>Oto Růžička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  <w:color w:val="000000"/>
              </w:rPr>
            </w:pPr>
            <w:r w:rsidRPr="00420687">
              <w:rPr>
                <w:bCs/>
                <w:color w:val="000000"/>
              </w:rPr>
              <w:t>Kontaktní osoba:</w:t>
            </w:r>
          </w:p>
        </w:tc>
        <w:tc>
          <w:tcPr>
            <w:tcW w:w="7001" w:type="dxa"/>
          </w:tcPr>
          <w:p w:rsidR="00EC2DA8" w:rsidRPr="00420687" w:rsidRDefault="00EE55F2" w:rsidP="00EC2DA8">
            <w:pPr>
              <w:spacing w:after="0"/>
            </w:pPr>
            <w:r w:rsidRPr="00420687">
              <w:t>Richard Reš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  <w:color w:val="000000"/>
              </w:rPr>
            </w:pPr>
            <w:r w:rsidRPr="00420687">
              <w:rPr>
                <w:bCs/>
                <w:color w:val="000000"/>
              </w:rPr>
              <w:t>Tel. na kontaktní osobu:</w:t>
            </w:r>
          </w:p>
        </w:tc>
        <w:tc>
          <w:tcPr>
            <w:tcW w:w="7001" w:type="dxa"/>
          </w:tcPr>
          <w:p w:rsidR="00EC2DA8" w:rsidRPr="00420687" w:rsidRDefault="00EE55F2" w:rsidP="00EC2DA8">
            <w:pPr>
              <w:spacing w:after="0"/>
            </w:pPr>
            <w:r w:rsidRPr="00420687">
              <w:t>+420 727 986 133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  <w:vAlign w:val="center"/>
          </w:tcPr>
          <w:p w:rsidR="00EC2DA8" w:rsidRPr="00420687" w:rsidRDefault="00EC2DA8" w:rsidP="00EC2DA8">
            <w:pPr>
              <w:widowControl w:val="0"/>
              <w:spacing w:after="0"/>
              <w:ind w:right="-2"/>
              <w:rPr>
                <w:bCs/>
                <w:color w:val="000000"/>
              </w:rPr>
            </w:pPr>
            <w:r w:rsidRPr="00420687">
              <w:rPr>
                <w:bCs/>
                <w:color w:val="000000"/>
              </w:rPr>
              <w:t>E-mail kontaktní osoby:</w:t>
            </w:r>
          </w:p>
        </w:tc>
        <w:tc>
          <w:tcPr>
            <w:tcW w:w="7001" w:type="dxa"/>
          </w:tcPr>
          <w:p w:rsidR="00EC2DA8" w:rsidRPr="00420687" w:rsidRDefault="00EE55F2" w:rsidP="00EC2DA8">
            <w:pPr>
              <w:spacing w:after="0"/>
            </w:pPr>
            <w:r w:rsidRPr="00420687">
              <w:t>Richard.res@nevagroup.cz</w:t>
            </w:r>
          </w:p>
        </w:tc>
      </w:tr>
      <w:tr w:rsidR="00EC2DA8" w:rsidRPr="00420687" w:rsidTr="001C5C76">
        <w:trPr>
          <w:jc w:val="right"/>
        </w:trPr>
        <w:tc>
          <w:tcPr>
            <w:tcW w:w="2298" w:type="dxa"/>
          </w:tcPr>
          <w:p w:rsidR="00EC2DA8" w:rsidRPr="00420687" w:rsidRDefault="00EC2DA8" w:rsidP="00EC2DA8">
            <w:pPr>
              <w:spacing w:after="0"/>
            </w:pPr>
            <w:r w:rsidRPr="00420687">
              <w:t>Banka:</w:t>
            </w:r>
          </w:p>
        </w:tc>
        <w:tc>
          <w:tcPr>
            <w:tcW w:w="7001" w:type="dxa"/>
          </w:tcPr>
          <w:p w:rsidR="00EC2DA8" w:rsidRPr="00420687" w:rsidRDefault="00EC2DA8" w:rsidP="00EC2DA8">
            <w:pPr>
              <w:spacing w:after="0"/>
            </w:pPr>
          </w:p>
        </w:tc>
      </w:tr>
      <w:tr w:rsidR="00EC2DA8" w:rsidRPr="00420687" w:rsidTr="001C5C76">
        <w:trPr>
          <w:jc w:val="right"/>
        </w:trPr>
        <w:tc>
          <w:tcPr>
            <w:tcW w:w="2298" w:type="dxa"/>
          </w:tcPr>
          <w:p w:rsidR="00EC2DA8" w:rsidRPr="00420687" w:rsidRDefault="00EC2DA8" w:rsidP="00EC2DA8">
            <w:pPr>
              <w:spacing w:after="0"/>
            </w:pPr>
            <w:r w:rsidRPr="00420687">
              <w:t>Číslo účtu:</w:t>
            </w:r>
          </w:p>
        </w:tc>
        <w:tc>
          <w:tcPr>
            <w:tcW w:w="7001" w:type="dxa"/>
          </w:tcPr>
          <w:p w:rsidR="00EC2DA8" w:rsidRPr="00420687" w:rsidRDefault="00EC2DA8" w:rsidP="00EC2DA8">
            <w:pPr>
              <w:spacing w:after="0"/>
            </w:pPr>
          </w:p>
        </w:tc>
      </w:tr>
    </w:tbl>
    <w:p w:rsidR="00EC2DA8" w:rsidRPr="00420687" w:rsidRDefault="00EC2DA8" w:rsidP="00EC2DA8">
      <w:pPr>
        <w:pStyle w:val="Bezmezer"/>
        <w:spacing w:before="120" w:after="120" w:line="276" w:lineRule="auto"/>
        <w:rPr>
          <w:rFonts w:ascii="Arial" w:hAnsi="Arial" w:cs="Arial"/>
        </w:rPr>
      </w:pPr>
      <w:r w:rsidRPr="00420687">
        <w:rPr>
          <w:rFonts w:ascii="Arial" w:hAnsi="Arial" w:cs="Arial"/>
        </w:rPr>
        <w:t>(dále jen „</w:t>
      </w:r>
      <w:r w:rsidRPr="00420687">
        <w:rPr>
          <w:rFonts w:ascii="Arial" w:hAnsi="Arial" w:cs="Arial"/>
          <w:b/>
        </w:rPr>
        <w:t>Prodávající</w:t>
      </w:r>
      <w:r w:rsidRPr="00420687">
        <w:rPr>
          <w:rFonts w:ascii="Arial" w:hAnsi="Arial" w:cs="Arial"/>
        </w:rPr>
        <w:t>“)</w:t>
      </w:r>
    </w:p>
    <w:p w:rsidR="00633F6D" w:rsidRDefault="00EC2DA8" w:rsidP="00C55311">
      <w:pPr>
        <w:spacing w:before="240"/>
        <w:contextualSpacing/>
      </w:pPr>
      <w:r w:rsidRPr="00420687">
        <w:t>uzavřeli níže uvedeného dne, měsíce a roku tuto smlouvu:</w:t>
      </w:r>
    </w:p>
    <w:p w:rsidR="00420687" w:rsidRDefault="00420687" w:rsidP="00C55311">
      <w:pPr>
        <w:spacing w:before="240"/>
        <w:contextualSpacing/>
      </w:pPr>
    </w:p>
    <w:p w:rsidR="00420687" w:rsidRDefault="00420687" w:rsidP="00C55311">
      <w:pPr>
        <w:spacing w:before="240"/>
        <w:contextualSpacing/>
      </w:pPr>
    </w:p>
    <w:p w:rsidR="00420687" w:rsidRDefault="00420687" w:rsidP="00C55311">
      <w:pPr>
        <w:spacing w:before="240"/>
        <w:contextualSpacing/>
      </w:pPr>
    </w:p>
    <w:p w:rsidR="00420687" w:rsidRDefault="00420687" w:rsidP="00C55311">
      <w:pPr>
        <w:spacing w:before="240"/>
        <w:contextualSpacing/>
      </w:pPr>
    </w:p>
    <w:p w:rsidR="00420687" w:rsidRDefault="00420687" w:rsidP="00C55311">
      <w:pPr>
        <w:spacing w:before="240"/>
        <w:contextualSpacing/>
      </w:pPr>
    </w:p>
    <w:p w:rsidR="00420687" w:rsidRDefault="00420687" w:rsidP="00C55311">
      <w:pPr>
        <w:spacing w:before="240"/>
        <w:contextualSpacing/>
      </w:pPr>
    </w:p>
    <w:p w:rsidR="00420687" w:rsidRDefault="00420687" w:rsidP="00C55311">
      <w:pPr>
        <w:spacing w:before="240"/>
        <w:contextualSpacing/>
      </w:pPr>
    </w:p>
    <w:p w:rsidR="00420687" w:rsidRDefault="00420687" w:rsidP="0034443D">
      <w:pPr>
        <w:ind w:left="709" w:hanging="709"/>
        <w:contextualSpacing/>
        <w:jc w:val="center"/>
        <w:rPr>
          <w:b/>
          <w:sz w:val="24"/>
          <w:szCs w:val="24"/>
        </w:rPr>
      </w:pPr>
    </w:p>
    <w:p w:rsidR="00444151" w:rsidRPr="00420687" w:rsidRDefault="00444151" w:rsidP="0034443D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lastRenderedPageBreak/>
        <w:t>Článek I.</w:t>
      </w:r>
    </w:p>
    <w:p w:rsidR="00444151" w:rsidRPr="00420687" w:rsidRDefault="00444151" w:rsidP="0034443D">
      <w:pPr>
        <w:ind w:left="709" w:hanging="709"/>
        <w:contextualSpacing/>
        <w:jc w:val="center"/>
        <w:rPr>
          <w:b/>
          <w:caps/>
        </w:rPr>
      </w:pPr>
      <w:r w:rsidRPr="00420687">
        <w:rPr>
          <w:b/>
          <w:caps/>
        </w:rPr>
        <w:t>Předmět a účel smlouvy</w:t>
      </w:r>
    </w:p>
    <w:p w:rsidR="0034443D" w:rsidRPr="00420687" w:rsidRDefault="0034443D" w:rsidP="0034443D">
      <w:pPr>
        <w:ind w:left="709" w:hanging="709"/>
        <w:contextualSpacing/>
        <w:jc w:val="both"/>
        <w:rPr>
          <w:caps/>
        </w:rPr>
      </w:pPr>
    </w:p>
    <w:p w:rsidR="007302BB" w:rsidRPr="00420687" w:rsidRDefault="0034443D" w:rsidP="0034443D">
      <w:pPr>
        <w:ind w:left="709" w:hanging="709"/>
        <w:contextualSpacing/>
        <w:jc w:val="both"/>
      </w:pPr>
      <w:r w:rsidRPr="00420687">
        <w:t>1.1</w:t>
      </w:r>
      <w:r w:rsidRPr="00420687">
        <w:tab/>
      </w:r>
      <w:r w:rsidR="00C55311" w:rsidRPr="00420687">
        <w:t>Prodávající</w:t>
      </w:r>
      <w:r w:rsidR="00444151" w:rsidRPr="00420687">
        <w:t xml:space="preserve"> odevzdá </w:t>
      </w:r>
      <w:r w:rsidR="00C55311" w:rsidRPr="00420687">
        <w:t>Kupujícímu</w:t>
      </w:r>
      <w:r w:rsidR="00444151" w:rsidRPr="00420687">
        <w:t xml:space="preserve"> </w:t>
      </w:r>
      <w:r w:rsidR="004B5E79" w:rsidRPr="00420687">
        <w:t xml:space="preserve">sadu </w:t>
      </w:r>
      <w:r w:rsidR="00444151" w:rsidRPr="00420687">
        <w:t>díl</w:t>
      </w:r>
      <w:r w:rsidR="004B5E79" w:rsidRPr="00420687">
        <w:t>ů</w:t>
      </w:r>
      <w:r w:rsidR="00444151" w:rsidRPr="00420687">
        <w:t xml:space="preserve"> nákladního automobilu značky </w:t>
      </w:r>
      <w:r w:rsidR="00125D20" w:rsidRPr="00420687">
        <w:t xml:space="preserve">TATRA </w:t>
      </w:r>
      <w:r w:rsidR="00444151" w:rsidRPr="00420687">
        <w:t xml:space="preserve">a umožní </w:t>
      </w:r>
      <w:r w:rsidR="00645240" w:rsidRPr="00420687">
        <w:t>ji</w:t>
      </w:r>
      <w:r w:rsidR="00444151" w:rsidRPr="00420687">
        <w:t xml:space="preserve"> nabýt </w:t>
      </w:r>
      <w:r w:rsidR="00A20C5B" w:rsidRPr="00420687">
        <w:t>k </w:t>
      </w:r>
      <w:r w:rsidR="004B5E79" w:rsidRPr="00420687">
        <w:t>ní</w:t>
      </w:r>
      <w:r w:rsidR="00A20C5B" w:rsidRPr="00420687">
        <w:t xml:space="preserve"> vlastnické právo.</w:t>
      </w:r>
    </w:p>
    <w:p w:rsidR="00A20C5B" w:rsidRPr="00420687" w:rsidRDefault="0034443D" w:rsidP="0034443D">
      <w:pPr>
        <w:ind w:left="709" w:hanging="709"/>
        <w:contextualSpacing/>
        <w:jc w:val="both"/>
      </w:pPr>
      <w:r w:rsidRPr="00420687">
        <w:t>1.2</w:t>
      </w:r>
      <w:r w:rsidRPr="00420687">
        <w:tab/>
      </w:r>
      <w:r w:rsidR="00C55311" w:rsidRPr="00420687">
        <w:t>Kupující</w:t>
      </w:r>
      <w:r w:rsidR="00A20C5B" w:rsidRPr="00420687">
        <w:t xml:space="preserve"> se zavazuje </w:t>
      </w:r>
      <w:r w:rsidR="004B5E79" w:rsidRPr="00420687">
        <w:t xml:space="preserve">sadu </w:t>
      </w:r>
      <w:r w:rsidR="00A20C5B" w:rsidRPr="00420687">
        <w:t>díl</w:t>
      </w:r>
      <w:r w:rsidR="004B5E79" w:rsidRPr="00420687">
        <w:t>ů</w:t>
      </w:r>
      <w:r w:rsidR="00A20C5B" w:rsidRPr="00420687">
        <w:t xml:space="preserve"> převzít a zaplatit kupní cenu.</w:t>
      </w:r>
    </w:p>
    <w:p w:rsidR="00A20C5B" w:rsidRPr="00420687" w:rsidRDefault="0034443D" w:rsidP="0034443D">
      <w:pPr>
        <w:ind w:left="709" w:hanging="709"/>
        <w:contextualSpacing/>
        <w:jc w:val="both"/>
      </w:pPr>
      <w:r w:rsidRPr="00420687">
        <w:t>1.3</w:t>
      </w:r>
      <w:r w:rsidRPr="00420687">
        <w:tab/>
      </w:r>
      <w:r w:rsidR="00A20C5B" w:rsidRPr="00420687">
        <w:t>Touto smlouvou se dále sjednávají práva a povinnosti smluvních stran a jejich vzájemná součinnost a spolupráce při montáži nákladního automobilu z</w:t>
      </w:r>
      <w:r w:rsidR="004B5E79" w:rsidRPr="00420687">
        <w:t> </w:t>
      </w:r>
      <w:r w:rsidR="00A20C5B" w:rsidRPr="00420687">
        <w:t>dodan</w:t>
      </w:r>
      <w:r w:rsidR="004B5E79" w:rsidRPr="00420687">
        <w:t>é sady</w:t>
      </w:r>
      <w:r w:rsidR="00A20C5B" w:rsidRPr="00420687">
        <w:t xml:space="preserve"> dílů.</w:t>
      </w:r>
    </w:p>
    <w:p w:rsidR="00A20C5B" w:rsidRPr="00420687" w:rsidRDefault="0034443D" w:rsidP="0034443D">
      <w:pPr>
        <w:ind w:left="709" w:hanging="709"/>
        <w:contextualSpacing/>
        <w:jc w:val="both"/>
      </w:pPr>
      <w:r w:rsidRPr="00420687">
        <w:t>1.4</w:t>
      </w:r>
      <w:r w:rsidRPr="00420687">
        <w:tab/>
      </w:r>
      <w:r w:rsidR="00A20C5B" w:rsidRPr="00420687">
        <w:t xml:space="preserve">Účelem smlouvy je umožnit žákům střední </w:t>
      </w:r>
      <w:r w:rsidR="00645240" w:rsidRPr="00420687">
        <w:t>průmyslové školy dopravní</w:t>
      </w:r>
      <w:r w:rsidR="00A20C5B" w:rsidRPr="00420687">
        <w:t xml:space="preserve"> podílet se na montáži nákladního automobilu, seznámit se s moderními technologie</w:t>
      </w:r>
      <w:r w:rsidR="00C55311" w:rsidRPr="00420687">
        <w:t>mi</w:t>
      </w:r>
      <w:r w:rsidR="00A20C5B" w:rsidRPr="00420687">
        <w:t xml:space="preserve"> a získat základní praktické zkušenosti pro </w:t>
      </w:r>
      <w:r w:rsidR="004B5E79" w:rsidRPr="00420687">
        <w:t>jejich</w:t>
      </w:r>
      <w:r w:rsidR="00A20C5B" w:rsidRPr="00420687">
        <w:t xml:space="preserve"> budoucí pracovní uplatnění. Výsledkem bude rovněž nabytí plně hodnotného nákladního automobilu pro potřeby </w:t>
      </w:r>
      <w:r w:rsidR="00645240" w:rsidRPr="00420687">
        <w:t xml:space="preserve">Plzeňského </w:t>
      </w:r>
      <w:r w:rsidR="009A25A7" w:rsidRPr="00420687">
        <w:t>k</w:t>
      </w:r>
      <w:r w:rsidR="00A20C5B" w:rsidRPr="00420687">
        <w:t>raje.</w:t>
      </w:r>
    </w:p>
    <w:p w:rsidR="009A25A7" w:rsidRPr="00420687" w:rsidRDefault="009A25A7" w:rsidP="0034443D">
      <w:pPr>
        <w:ind w:left="709" w:hanging="709"/>
        <w:contextualSpacing/>
        <w:jc w:val="both"/>
        <w:rPr>
          <w:highlight w:val="yellow"/>
        </w:rPr>
      </w:pPr>
    </w:p>
    <w:p w:rsidR="009A25A7" w:rsidRPr="00420687" w:rsidRDefault="009A25A7" w:rsidP="0034443D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>Článek II.</w:t>
      </w:r>
    </w:p>
    <w:p w:rsidR="00140894" w:rsidRPr="00420687" w:rsidRDefault="00E0626D" w:rsidP="0034443D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>PŘEDMĚT KOUPĚ</w:t>
      </w:r>
    </w:p>
    <w:p w:rsidR="00140894" w:rsidRPr="00420687" w:rsidRDefault="00140894" w:rsidP="0034443D">
      <w:pPr>
        <w:ind w:left="709" w:hanging="709"/>
        <w:contextualSpacing/>
        <w:jc w:val="both"/>
        <w:rPr>
          <w:b/>
        </w:rPr>
      </w:pPr>
    </w:p>
    <w:p w:rsidR="004B5E79" w:rsidRPr="00420687" w:rsidRDefault="004B5E79" w:rsidP="0034443D">
      <w:pPr>
        <w:ind w:left="709" w:hanging="709"/>
        <w:contextualSpacing/>
        <w:jc w:val="both"/>
      </w:pPr>
      <w:r w:rsidRPr="00420687">
        <w:t>2.1</w:t>
      </w:r>
      <w:r w:rsidRPr="00420687">
        <w:tab/>
        <w:t xml:space="preserve">Nákladním automobilem se pro účely této smlouvy rozumí nákladní automobil značky </w:t>
      </w:r>
      <w:r w:rsidR="00125D20" w:rsidRPr="00420687">
        <w:t xml:space="preserve">TATRA PHOENIX T158-8P6R23.379 </w:t>
      </w:r>
      <w:r w:rsidRPr="00420687">
        <w:t xml:space="preserve">(dále jen </w:t>
      </w:r>
      <w:r w:rsidRPr="00420687">
        <w:rPr>
          <w:b/>
        </w:rPr>
        <w:t>„nákladní automobil“</w:t>
      </w:r>
      <w:r w:rsidRPr="00420687">
        <w:t>).</w:t>
      </w:r>
    </w:p>
    <w:p w:rsidR="00140894" w:rsidRPr="00420687" w:rsidRDefault="004B5E79" w:rsidP="0034443D">
      <w:pPr>
        <w:ind w:left="709" w:hanging="709"/>
        <w:contextualSpacing/>
        <w:jc w:val="both"/>
      </w:pPr>
      <w:r w:rsidRPr="00420687">
        <w:t>2.2</w:t>
      </w:r>
      <w:r w:rsidRPr="00420687">
        <w:tab/>
        <w:t xml:space="preserve">Předmět koupě, tj. sada dílů pro montáž nákladního automobilu je specifikován v příloze č. 1 této smlouvy (dále jen </w:t>
      </w:r>
      <w:r w:rsidRPr="00420687">
        <w:rPr>
          <w:b/>
        </w:rPr>
        <w:t>„sada dílů“</w:t>
      </w:r>
      <w:r w:rsidRPr="00420687">
        <w:t>). Součástí sady dílů budou pouze díly nové, tj. dosud nepoužité.</w:t>
      </w:r>
    </w:p>
    <w:p w:rsidR="00E0626D" w:rsidRPr="00420687" w:rsidRDefault="004B5E79" w:rsidP="0034443D">
      <w:pPr>
        <w:ind w:left="709" w:hanging="709"/>
        <w:contextualSpacing/>
        <w:jc w:val="both"/>
      </w:pPr>
      <w:r w:rsidRPr="00420687">
        <w:t>2.3</w:t>
      </w:r>
      <w:r w:rsidRPr="00420687">
        <w:tab/>
      </w:r>
      <w:r w:rsidR="00E0626D" w:rsidRPr="00420687">
        <w:t xml:space="preserve">Společně se sadou dílů dodá </w:t>
      </w:r>
      <w:r w:rsidR="00C55311" w:rsidRPr="00420687">
        <w:t>Prodávající</w:t>
      </w:r>
      <w:r w:rsidR="00E0626D" w:rsidRPr="00420687">
        <w:t xml:space="preserve"> soubor základní technologické dokumentace v rozsahu a obsahu, který je dle </w:t>
      </w:r>
      <w:r w:rsidR="00C55311" w:rsidRPr="00420687">
        <w:t>jeho ná</w:t>
      </w:r>
      <w:r w:rsidR="00E0626D" w:rsidRPr="00420687">
        <w:t>zoru nezbytn</w:t>
      </w:r>
      <w:r w:rsidR="00C55311" w:rsidRPr="00420687">
        <w:t>ý</w:t>
      </w:r>
      <w:r w:rsidR="00E0626D" w:rsidRPr="00420687">
        <w:t xml:space="preserve"> pro montáž nákladního automobilu ze sady dílů.</w:t>
      </w:r>
    </w:p>
    <w:p w:rsidR="004B5E79" w:rsidRPr="00420687" w:rsidRDefault="00E0626D" w:rsidP="0034443D">
      <w:pPr>
        <w:ind w:left="709" w:hanging="709"/>
        <w:contextualSpacing/>
        <w:jc w:val="both"/>
      </w:pPr>
      <w:r w:rsidRPr="00420687">
        <w:t>2.4</w:t>
      </w:r>
      <w:r w:rsidRPr="00420687">
        <w:tab/>
      </w:r>
      <w:r w:rsidR="00C55311" w:rsidRPr="00420687">
        <w:t>Prodávající</w:t>
      </w:r>
      <w:r w:rsidR="004B5E79" w:rsidRPr="00420687">
        <w:t xml:space="preserve"> prohlašuje, že ze sady dílů je sestavitelný plně hodnotný a provozuschopný nákladní automobil.</w:t>
      </w:r>
    </w:p>
    <w:p w:rsidR="00140894" w:rsidRPr="00420687" w:rsidRDefault="00140894" w:rsidP="0034443D">
      <w:pPr>
        <w:ind w:left="709" w:hanging="709"/>
        <w:contextualSpacing/>
        <w:jc w:val="both"/>
        <w:rPr>
          <w:b/>
          <w:highlight w:val="yellow"/>
        </w:rPr>
      </w:pPr>
    </w:p>
    <w:p w:rsidR="00140894" w:rsidRPr="00420687" w:rsidRDefault="00140894" w:rsidP="0034443D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>Článek III.</w:t>
      </w:r>
    </w:p>
    <w:p w:rsidR="009A25A7" w:rsidRPr="00420687" w:rsidRDefault="009A25A7" w:rsidP="0034443D">
      <w:pPr>
        <w:ind w:left="709" w:hanging="709"/>
        <w:contextualSpacing/>
        <w:jc w:val="center"/>
        <w:rPr>
          <w:b/>
          <w:caps/>
        </w:rPr>
      </w:pPr>
      <w:r w:rsidRPr="00420687">
        <w:rPr>
          <w:b/>
          <w:caps/>
        </w:rPr>
        <w:t>Kupní cena, platební podmínky</w:t>
      </w:r>
    </w:p>
    <w:p w:rsidR="009A25A7" w:rsidRPr="00420687" w:rsidRDefault="009A25A7" w:rsidP="0034443D">
      <w:pPr>
        <w:ind w:left="709" w:hanging="709"/>
        <w:contextualSpacing/>
        <w:jc w:val="both"/>
        <w:rPr>
          <w:b/>
          <w:highlight w:val="yellow"/>
        </w:rPr>
      </w:pPr>
    </w:p>
    <w:p w:rsidR="009A25A7" w:rsidRPr="00420687" w:rsidRDefault="00E0626D" w:rsidP="0034443D">
      <w:pPr>
        <w:ind w:left="709" w:hanging="709"/>
        <w:contextualSpacing/>
        <w:jc w:val="both"/>
      </w:pPr>
      <w:r w:rsidRPr="00420687">
        <w:t>3</w:t>
      </w:r>
      <w:r w:rsidR="009A25A7" w:rsidRPr="00420687">
        <w:t>.1</w:t>
      </w:r>
      <w:r w:rsidR="009A25A7" w:rsidRPr="00420687">
        <w:tab/>
        <w:t xml:space="preserve">Kupní cena </w:t>
      </w:r>
      <w:r w:rsidR="004B5E79" w:rsidRPr="00420687">
        <w:t xml:space="preserve">sady </w:t>
      </w:r>
      <w:r w:rsidR="009A25A7" w:rsidRPr="00420687">
        <w:t xml:space="preserve">dílů je sjednána dohodou smluvních stran v souladu s ustanoveními zákona č. 526/1990 Sb., o cenách ve znění pozdějších předpisů ve výši </w:t>
      </w:r>
      <w:r w:rsidR="00C55311" w:rsidRPr="00420687">
        <w:t xml:space="preserve"> </w:t>
      </w:r>
      <w:r w:rsidR="00420687" w:rsidRPr="00420687">
        <w:rPr>
          <w:b/>
        </w:rPr>
        <w:t xml:space="preserve">1 975 000,- </w:t>
      </w:r>
      <w:r w:rsidR="009A25A7" w:rsidRPr="00420687">
        <w:rPr>
          <w:b/>
        </w:rPr>
        <w:t>Kč bez DPH</w:t>
      </w:r>
      <w:r w:rsidR="009A25A7" w:rsidRPr="00420687">
        <w:t>.</w:t>
      </w:r>
      <w:r w:rsidR="009D43FE" w:rsidRPr="00420687">
        <w:t xml:space="preserve"> K této kupní ceně bude připočtena DPH ve výši 21 %, tj. </w:t>
      </w:r>
      <w:r w:rsidR="00420687" w:rsidRPr="00420687">
        <w:t xml:space="preserve">414 750,- </w:t>
      </w:r>
      <w:r w:rsidR="009D43FE" w:rsidRPr="00420687">
        <w:t xml:space="preserve">Kč. Celková kupní cena dílů činí </w:t>
      </w:r>
      <w:r w:rsidR="00420687" w:rsidRPr="00420687">
        <w:rPr>
          <w:b/>
        </w:rPr>
        <w:t xml:space="preserve">2 389 750,- </w:t>
      </w:r>
      <w:r w:rsidR="009D43FE" w:rsidRPr="00420687">
        <w:rPr>
          <w:b/>
        </w:rPr>
        <w:t xml:space="preserve">Kč </w:t>
      </w:r>
      <w:r w:rsidR="00C55311" w:rsidRPr="00420687">
        <w:rPr>
          <w:b/>
        </w:rPr>
        <w:t>včetně DPH</w:t>
      </w:r>
      <w:r w:rsidR="00C55311" w:rsidRPr="00420687">
        <w:t xml:space="preserve"> </w:t>
      </w:r>
      <w:r w:rsidR="009D43FE" w:rsidRPr="00420687">
        <w:t xml:space="preserve">(dále jen </w:t>
      </w:r>
      <w:r w:rsidR="009D43FE" w:rsidRPr="00420687">
        <w:rPr>
          <w:b/>
        </w:rPr>
        <w:t>„kupní cena“</w:t>
      </w:r>
      <w:r w:rsidR="009D43FE" w:rsidRPr="00420687">
        <w:t>).</w:t>
      </w:r>
    </w:p>
    <w:p w:rsidR="009D43FE" w:rsidRPr="00420687" w:rsidRDefault="00E0626D" w:rsidP="0034443D">
      <w:pPr>
        <w:ind w:left="709" w:hanging="709"/>
        <w:contextualSpacing/>
        <w:jc w:val="both"/>
      </w:pPr>
      <w:r w:rsidRPr="00420687">
        <w:t>3</w:t>
      </w:r>
      <w:r w:rsidR="009D43FE" w:rsidRPr="00420687">
        <w:t>.2</w:t>
      </w:r>
      <w:r w:rsidR="009D43FE" w:rsidRPr="00420687">
        <w:tab/>
        <w:t xml:space="preserve">Kupní cena se platí proti faktuře (daňovému dokladu) vystavené </w:t>
      </w:r>
      <w:r w:rsidR="00782E86" w:rsidRPr="00420687">
        <w:t>Prodávajícím</w:t>
      </w:r>
      <w:r w:rsidR="009D43FE" w:rsidRPr="00420687">
        <w:t xml:space="preserve"> </w:t>
      </w:r>
      <w:r w:rsidR="00853251" w:rsidRPr="00420687">
        <w:t>při předání poslední dílčí dodávky dílů (den uskutečnění zdanitelného plnění).</w:t>
      </w:r>
    </w:p>
    <w:p w:rsidR="00853251" w:rsidRPr="00420687" w:rsidRDefault="00E0626D" w:rsidP="0034443D">
      <w:pPr>
        <w:ind w:left="709" w:hanging="709"/>
        <w:contextualSpacing/>
        <w:jc w:val="both"/>
      </w:pPr>
      <w:r w:rsidRPr="00420687">
        <w:t>3</w:t>
      </w:r>
      <w:r w:rsidR="00853251" w:rsidRPr="00420687">
        <w:t>.3</w:t>
      </w:r>
      <w:r w:rsidR="00A7130F" w:rsidRPr="00420687">
        <w:tab/>
      </w:r>
      <w:r w:rsidR="00853251" w:rsidRPr="00420687">
        <w:t>Splatnost faktury sjednaly smluvní strany na 30 (třicet) dnů od vystavení faktury.</w:t>
      </w:r>
    </w:p>
    <w:p w:rsidR="00853251" w:rsidRPr="00420687" w:rsidRDefault="00E0626D" w:rsidP="0034443D">
      <w:pPr>
        <w:ind w:left="709" w:hanging="709"/>
        <w:contextualSpacing/>
        <w:jc w:val="both"/>
      </w:pPr>
      <w:r w:rsidRPr="00420687">
        <w:t>3</w:t>
      </w:r>
      <w:r w:rsidR="00853251" w:rsidRPr="00420687">
        <w:t>.4</w:t>
      </w:r>
      <w:r w:rsidR="00853251" w:rsidRPr="00420687">
        <w:tab/>
        <w:t xml:space="preserve">Faktura musí obsahovat nejméně náležitosti daňového dokladu a obchodní listiny podle obecně závazných právních předpisů. Nebude-li faktura obsahovat </w:t>
      </w:r>
      <w:r w:rsidR="002D4859" w:rsidRPr="00420687">
        <w:t xml:space="preserve">sjednané náležitosti nebo bude obsahovat nesprávné cenové údaje, je </w:t>
      </w:r>
      <w:r w:rsidR="00782E86" w:rsidRPr="00420687">
        <w:t>Kupující</w:t>
      </w:r>
      <w:r w:rsidR="002D4859" w:rsidRPr="00420687">
        <w:t xml:space="preserve"> oprávněn před uplynutím lhůty splatnosti fakturu vrátit </w:t>
      </w:r>
      <w:r w:rsidR="00782E86" w:rsidRPr="00420687">
        <w:t>Prodávajícímu</w:t>
      </w:r>
      <w:r w:rsidR="002D4859" w:rsidRPr="00420687">
        <w:t>. Oprávněným vrácením faktury přestává běžet původní lhůta splatnosti. Nová případně opravená faktura má v takovém případě novou lhůtu splatnosti ve zde výše sjednané délce.</w:t>
      </w:r>
    </w:p>
    <w:p w:rsidR="002D4859" w:rsidRPr="00420687" w:rsidRDefault="00E0626D" w:rsidP="0034443D">
      <w:pPr>
        <w:ind w:left="709" w:hanging="709"/>
        <w:contextualSpacing/>
        <w:jc w:val="both"/>
      </w:pPr>
      <w:r w:rsidRPr="00420687">
        <w:t>3</w:t>
      </w:r>
      <w:r w:rsidR="002D4859" w:rsidRPr="00420687">
        <w:t>.5</w:t>
      </w:r>
      <w:r w:rsidR="00A7130F" w:rsidRPr="00420687">
        <w:tab/>
      </w:r>
      <w:r w:rsidR="002D4859" w:rsidRPr="00420687">
        <w:t xml:space="preserve">Kupní cena se platí bezhotovostním převodem na účet uvedený ve faktuře. Zaplacením kupní ceny se rozumí připsání fakturované částky v plné výši na příslušný účet </w:t>
      </w:r>
      <w:r w:rsidR="00782E86" w:rsidRPr="00420687">
        <w:t>Prodávajícího</w:t>
      </w:r>
      <w:r w:rsidR="002D4859" w:rsidRPr="00420687">
        <w:t>.</w:t>
      </w:r>
    </w:p>
    <w:p w:rsidR="002D4859" w:rsidRPr="00420687" w:rsidRDefault="00E0626D" w:rsidP="0034443D">
      <w:pPr>
        <w:ind w:left="709" w:hanging="709"/>
        <w:contextualSpacing/>
        <w:jc w:val="both"/>
      </w:pPr>
      <w:r w:rsidRPr="00420687">
        <w:lastRenderedPageBreak/>
        <w:t>3</w:t>
      </w:r>
      <w:r w:rsidR="002D4859" w:rsidRPr="00420687">
        <w:t>.6</w:t>
      </w:r>
      <w:r w:rsidR="00A7130F" w:rsidRPr="00420687">
        <w:tab/>
      </w:r>
      <w:r w:rsidR="00140894" w:rsidRPr="00420687">
        <w:t xml:space="preserve">V případě prodlení se zaplacením kupní ceny zaplatí </w:t>
      </w:r>
      <w:r w:rsidR="00782E86" w:rsidRPr="00420687">
        <w:t>Kupující Prodávajícímu</w:t>
      </w:r>
      <w:r w:rsidR="00140894" w:rsidRPr="00420687">
        <w:t xml:space="preserve"> úrok z prodlení ve výši 0,03 % za každý započatý den prodlení. </w:t>
      </w:r>
      <w:r w:rsidR="002D4859" w:rsidRPr="00420687">
        <w:t xml:space="preserve">Prodlení se zaplacením kupní ceny delší než 30 (třicet) dnů </w:t>
      </w:r>
      <w:r w:rsidR="00E063D2" w:rsidRPr="00420687">
        <w:t xml:space="preserve">je důvodem pro odstoupení od smlouvy ze strany </w:t>
      </w:r>
      <w:r w:rsidR="00782E86" w:rsidRPr="00420687">
        <w:t>Prodávajícího</w:t>
      </w:r>
      <w:r w:rsidR="00E063D2" w:rsidRPr="00420687">
        <w:t>.</w:t>
      </w:r>
    </w:p>
    <w:p w:rsidR="00E0626D" w:rsidRPr="00420687" w:rsidRDefault="00E0626D" w:rsidP="0034443D">
      <w:pPr>
        <w:ind w:left="709" w:hanging="709"/>
        <w:contextualSpacing/>
        <w:jc w:val="both"/>
        <w:rPr>
          <w:highlight w:val="yellow"/>
        </w:rPr>
      </w:pPr>
    </w:p>
    <w:p w:rsidR="00E063D2" w:rsidRPr="00420687" w:rsidRDefault="00E063D2" w:rsidP="00A7130F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>Článek I</w:t>
      </w:r>
      <w:r w:rsidR="00E0626D" w:rsidRPr="00420687">
        <w:rPr>
          <w:b/>
        </w:rPr>
        <w:t>V</w:t>
      </w:r>
      <w:r w:rsidRPr="00420687">
        <w:rPr>
          <w:b/>
        </w:rPr>
        <w:t>.</w:t>
      </w:r>
    </w:p>
    <w:p w:rsidR="00E063D2" w:rsidRPr="00420687" w:rsidRDefault="00E063D2" w:rsidP="00A7130F">
      <w:pPr>
        <w:ind w:left="709" w:hanging="709"/>
        <w:contextualSpacing/>
        <w:jc w:val="center"/>
      </w:pPr>
      <w:r w:rsidRPr="00420687">
        <w:rPr>
          <w:b/>
        </w:rPr>
        <w:t>DODACÍ PODMÍNKY</w:t>
      </w:r>
    </w:p>
    <w:p w:rsidR="00E063D2" w:rsidRPr="00420687" w:rsidRDefault="00E063D2" w:rsidP="0034443D">
      <w:pPr>
        <w:ind w:left="709" w:hanging="709"/>
        <w:contextualSpacing/>
        <w:jc w:val="both"/>
      </w:pPr>
    </w:p>
    <w:p w:rsidR="00E063D2" w:rsidRPr="00420687" w:rsidRDefault="00E0626D" w:rsidP="0034443D">
      <w:pPr>
        <w:ind w:left="709" w:hanging="709"/>
        <w:contextualSpacing/>
        <w:jc w:val="both"/>
      </w:pPr>
      <w:r w:rsidRPr="00420687">
        <w:t>4</w:t>
      </w:r>
      <w:r w:rsidR="00E063D2" w:rsidRPr="00420687">
        <w:t>.1</w:t>
      </w:r>
      <w:r w:rsidR="00E063D2" w:rsidRPr="00420687">
        <w:tab/>
      </w:r>
      <w:r w:rsidR="00782E86" w:rsidRPr="00420687">
        <w:t>Prodávající</w:t>
      </w:r>
      <w:r w:rsidR="00E063D2" w:rsidRPr="00420687">
        <w:t xml:space="preserve"> dodá </w:t>
      </w:r>
      <w:r w:rsidR="00782E86" w:rsidRPr="00420687">
        <w:t>Kupujícímu</w:t>
      </w:r>
      <w:r w:rsidR="00E063D2" w:rsidRPr="00420687">
        <w:t xml:space="preserve"> </w:t>
      </w:r>
      <w:r w:rsidR="004B5E79" w:rsidRPr="00420687">
        <w:t xml:space="preserve">sadu </w:t>
      </w:r>
      <w:r w:rsidR="00E063D2" w:rsidRPr="00420687">
        <w:t>díl</w:t>
      </w:r>
      <w:r w:rsidR="004B5E79" w:rsidRPr="00420687">
        <w:t>ů</w:t>
      </w:r>
      <w:r w:rsidR="00D0008B" w:rsidRPr="00420687">
        <w:t xml:space="preserve"> </w:t>
      </w:r>
      <w:r w:rsidR="00782E86" w:rsidRPr="00420687">
        <w:t xml:space="preserve">nejpozději </w:t>
      </w:r>
      <w:r w:rsidR="00D0008B" w:rsidRPr="00420687">
        <w:t xml:space="preserve">do </w:t>
      </w:r>
      <w:r w:rsidR="00420687" w:rsidRPr="00420687">
        <w:rPr>
          <w:b/>
        </w:rPr>
        <w:t>30</w:t>
      </w:r>
      <w:r w:rsidR="003337DD" w:rsidRPr="00420687">
        <w:rPr>
          <w:b/>
        </w:rPr>
        <w:t>.</w:t>
      </w:r>
      <w:r w:rsidR="00420687" w:rsidRPr="00420687">
        <w:rPr>
          <w:b/>
        </w:rPr>
        <w:t xml:space="preserve"> 4</w:t>
      </w:r>
      <w:r w:rsidR="00FA35E4" w:rsidRPr="00420687">
        <w:rPr>
          <w:b/>
        </w:rPr>
        <w:t>.</w:t>
      </w:r>
      <w:r w:rsidR="00420687" w:rsidRPr="00420687">
        <w:rPr>
          <w:b/>
        </w:rPr>
        <w:t xml:space="preserve"> </w:t>
      </w:r>
      <w:r w:rsidR="003337DD" w:rsidRPr="00420687">
        <w:rPr>
          <w:b/>
        </w:rPr>
        <w:t>2020</w:t>
      </w:r>
      <w:r w:rsidR="00E063D2" w:rsidRPr="00420687">
        <w:rPr>
          <w:b/>
        </w:rPr>
        <w:t>.</w:t>
      </w:r>
    </w:p>
    <w:p w:rsidR="00E063D2" w:rsidRPr="00420687" w:rsidRDefault="00E0626D" w:rsidP="0034443D">
      <w:pPr>
        <w:ind w:left="709" w:hanging="709"/>
        <w:contextualSpacing/>
        <w:jc w:val="both"/>
      </w:pPr>
      <w:r w:rsidRPr="00420687">
        <w:t>4</w:t>
      </w:r>
      <w:r w:rsidR="00E063D2" w:rsidRPr="00420687">
        <w:t>.</w:t>
      </w:r>
      <w:r w:rsidRPr="00420687">
        <w:t>2</w:t>
      </w:r>
      <w:r w:rsidR="00E063D2" w:rsidRPr="00420687">
        <w:tab/>
      </w:r>
      <w:r w:rsidR="004B5E79" w:rsidRPr="00420687">
        <w:t>Sada d</w:t>
      </w:r>
      <w:r w:rsidR="00E063D2" w:rsidRPr="00420687">
        <w:t>íl</w:t>
      </w:r>
      <w:r w:rsidR="004B5E79" w:rsidRPr="00420687">
        <w:t>ů</w:t>
      </w:r>
      <w:r w:rsidR="00E063D2" w:rsidRPr="00420687">
        <w:t xml:space="preserve"> bud</w:t>
      </w:r>
      <w:r w:rsidR="004B5E79" w:rsidRPr="00420687">
        <w:t>e</w:t>
      </w:r>
      <w:r w:rsidR="00E063D2" w:rsidRPr="00420687">
        <w:t xml:space="preserve"> dodán</w:t>
      </w:r>
      <w:r w:rsidR="004B5E79" w:rsidRPr="00420687">
        <w:t>a</w:t>
      </w:r>
      <w:r w:rsidR="00E063D2" w:rsidRPr="00420687">
        <w:t xml:space="preserve"> </w:t>
      </w:r>
      <w:r w:rsidR="009906D7" w:rsidRPr="00420687">
        <w:t>s</w:t>
      </w:r>
      <w:r w:rsidR="00E063D2" w:rsidRPr="00420687">
        <w:t> dodací p</w:t>
      </w:r>
      <w:r w:rsidR="009906D7" w:rsidRPr="00420687">
        <w:t>odmínkou</w:t>
      </w:r>
      <w:r w:rsidR="00E063D2" w:rsidRPr="00420687">
        <w:t xml:space="preserve"> </w:t>
      </w:r>
      <w:r w:rsidR="009906D7" w:rsidRPr="00420687">
        <w:t>INCOTERMS 2010</w:t>
      </w:r>
      <w:r w:rsidR="00E063D2" w:rsidRPr="00420687">
        <w:t>.</w:t>
      </w:r>
    </w:p>
    <w:p w:rsidR="00E063D2" w:rsidRPr="00420687" w:rsidRDefault="00E063D2" w:rsidP="0034443D">
      <w:pPr>
        <w:ind w:left="709" w:hanging="709"/>
        <w:contextualSpacing/>
        <w:jc w:val="both"/>
      </w:pPr>
      <w:r w:rsidRPr="00420687">
        <w:t>4</w:t>
      </w:r>
      <w:r w:rsidR="00E0626D" w:rsidRPr="00420687">
        <w:t>.3</w:t>
      </w:r>
      <w:r w:rsidR="00A7130F" w:rsidRPr="00420687">
        <w:tab/>
      </w:r>
      <w:r w:rsidR="004B5E79" w:rsidRPr="00420687">
        <w:t>Sada d</w:t>
      </w:r>
      <w:r w:rsidRPr="00420687">
        <w:t>íl</w:t>
      </w:r>
      <w:r w:rsidR="004B5E79" w:rsidRPr="00420687">
        <w:t>ů</w:t>
      </w:r>
      <w:r w:rsidRPr="00420687">
        <w:t xml:space="preserve"> bud</w:t>
      </w:r>
      <w:r w:rsidR="004B5E79" w:rsidRPr="00420687">
        <w:t>e</w:t>
      </w:r>
      <w:r w:rsidRPr="00420687">
        <w:t xml:space="preserve"> dodán</w:t>
      </w:r>
      <w:r w:rsidR="004B5E79" w:rsidRPr="00420687">
        <w:t>a</w:t>
      </w:r>
      <w:r w:rsidRPr="00420687">
        <w:t xml:space="preserve"> ve třech dílčích dodávkách. O připravenosti každé dílčí dodávky k dodání a o termínu jejího dodání bude </w:t>
      </w:r>
      <w:r w:rsidR="00782E86" w:rsidRPr="00420687">
        <w:t>Prodávající</w:t>
      </w:r>
      <w:r w:rsidRPr="00420687">
        <w:t xml:space="preserve"> písemně informovat </w:t>
      </w:r>
      <w:r w:rsidR="00782E86" w:rsidRPr="00420687">
        <w:t>Kupujícího</w:t>
      </w:r>
      <w:r w:rsidRPr="00420687">
        <w:t xml:space="preserve"> nejméně 3</w:t>
      </w:r>
      <w:r w:rsidR="00645240" w:rsidRPr="00420687">
        <w:t xml:space="preserve"> pracovní</w:t>
      </w:r>
      <w:r w:rsidRPr="00420687">
        <w:t xml:space="preserve"> dny předem. Za dodržení písemné formy se pro účely tohoto odstavce rozumí rovněž e-mailové sdělení zaslané na e-mailovou adresu osoby pověřené </w:t>
      </w:r>
      <w:r w:rsidR="00782E86" w:rsidRPr="00420687">
        <w:t>Kupujícím</w:t>
      </w:r>
      <w:r w:rsidRPr="00420687">
        <w:t xml:space="preserve"> k převzetí dílů.</w:t>
      </w:r>
    </w:p>
    <w:p w:rsidR="00E063D2" w:rsidRPr="00420687" w:rsidRDefault="00E0626D" w:rsidP="0034443D">
      <w:pPr>
        <w:ind w:left="709" w:hanging="709"/>
        <w:contextualSpacing/>
        <w:jc w:val="both"/>
      </w:pPr>
      <w:r w:rsidRPr="00420687">
        <w:t>4</w:t>
      </w:r>
      <w:r w:rsidR="00E063D2" w:rsidRPr="00420687">
        <w:t>.</w:t>
      </w:r>
      <w:r w:rsidRPr="00420687">
        <w:t>4</w:t>
      </w:r>
      <w:r w:rsidR="00E063D2" w:rsidRPr="00420687">
        <w:tab/>
        <w:t>O p</w:t>
      </w:r>
      <w:r w:rsidR="004B5E79" w:rsidRPr="00420687">
        <w:t xml:space="preserve">ředání a převzetí </w:t>
      </w:r>
      <w:r w:rsidR="00E063D2" w:rsidRPr="00420687">
        <w:t xml:space="preserve">každé jednotlivé dílčí dodávky bude sepsán a oprávněnými zástupci obou smluvních stran podepsán protokol o předání a převzetí </w:t>
      </w:r>
      <w:r w:rsidRPr="00420687">
        <w:t>dílů</w:t>
      </w:r>
      <w:r w:rsidR="00E063D2" w:rsidRPr="00420687">
        <w:t xml:space="preserve">. Návrh protokolu připraví </w:t>
      </w:r>
      <w:r w:rsidR="00782E86" w:rsidRPr="00420687">
        <w:t>Prodávající</w:t>
      </w:r>
      <w:r w:rsidR="00E063D2" w:rsidRPr="00420687">
        <w:t>. Každá smluvní strana obdrží jedno originální vyhotovení protokolu.</w:t>
      </w:r>
    </w:p>
    <w:p w:rsidR="00E063D2" w:rsidRPr="00420687" w:rsidRDefault="00E0626D" w:rsidP="0034443D">
      <w:pPr>
        <w:ind w:left="709" w:hanging="709"/>
        <w:contextualSpacing/>
        <w:jc w:val="both"/>
      </w:pPr>
      <w:r w:rsidRPr="00420687">
        <w:t>4.5</w:t>
      </w:r>
      <w:r w:rsidR="00E063D2" w:rsidRPr="00420687">
        <w:tab/>
        <w:t>Dnem zdanitelného plnění se pro účely této smlouvy rozumí den odevzdání poslední dílčí dodávky dílů</w:t>
      </w:r>
      <w:r w:rsidRPr="00420687">
        <w:t xml:space="preserve">, tj. dodání </w:t>
      </w:r>
      <w:r w:rsidR="00E063D2" w:rsidRPr="00420687">
        <w:t>úplné s</w:t>
      </w:r>
      <w:r w:rsidRPr="00420687">
        <w:t>ady dílů</w:t>
      </w:r>
      <w:r w:rsidR="00E063D2" w:rsidRPr="00420687">
        <w:t>.</w:t>
      </w:r>
    </w:p>
    <w:p w:rsidR="009906D7" w:rsidRPr="00420687" w:rsidRDefault="00E0626D" w:rsidP="0034443D">
      <w:pPr>
        <w:ind w:left="709" w:hanging="709"/>
        <w:contextualSpacing/>
        <w:jc w:val="both"/>
      </w:pPr>
      <w:r w:rsidRPr="00420687">
        <w:t>4.6</w:t>
      </w:r>
      <w:r w:rsidR="00E063D2" w:rsidRPr="00420687">
        <w:tab/>
      </w:r>
      <w:r w:rsidR="009906D7" w:rsidRPr="00420687">
        <w:t xml:space="preserve">V případě prodlení s dodávkou </w:t>
      </w:r>
      <w:r w:rsidRPr="00420687">
        <w:t xml:space="preserve">sady </w:t>
      </w:r>
      <w:r w:rsidR="009906D7" w:rsidRPr="00420687">
        <w:t xml:space="preserve">dílů zaplatí </w:t>
      </w:r>
      <w:r w:rsidR="00782E86" w:rsidRPr="00420687">
        <w:t>Prodávající</w:t>
      </w:r>
      <w:r w:rsidR="009906D7" w:rsidRPr="00420687">
        <w:t xml:space="preserve"> smluvní pokutu ve výši 0,03 % z kupní ceny za každý započatý den prodlení.</w:t>
      </w:r>
      <w:r w:rsidR="00140894" w:rsidRPr="00420687">
        <w:t xml:space="preserve"> Prodlení delší než 30 (třicet) dnů je důvodem pro odstoupení od smlouvy ze strany </w:t>
      </w:r>
      <w:r w:rsidR="00782E86" w:rsidRPr="00420687">
        <w:t>Kupujícího</w:t>
      </w:r>
      <w:r w:rsidR="00140894" w:rsidRPr="00420687">
        <w:t>.</w:t>
      </w:r>
    </w:p>
    <w:p w:rsidR="00E063D2" w:rsidRPr="00420687" w:rsidRDefault="00E0626D" w:rsidP="0034443D">
      <w:pPr>
        <w:ind w:left="709" w:hanging="709"/>
        <w:contextualSpacing/>
        <w:jc w:val="both"/>
      </w:pPr>
      <w:r w:rsidRPr="00420687">
        <w:t>4.7</w:t>
      </w:r>
      <w:r w:rsidR="009906D7" w:rsidRPr="00420687">
        <w:tab/>
      </w:r>
      <w:r w:rsidR="00E063D2" w:rsidRPr="00420687">
        <w:t>Vlastnické právo k</w:t>
      </w:r>
      <w:r w:rsidRPr="00420687">
        <w:t xml:space="preserve"> sadě </w:t>
      </w:r>
      <w:r w:rsidR="00E063D2" w:rsidRPr="00420687">
        <w:t xml:space="preserve">dílů přechází na </w:t>
      </w:r>
      <w:r w:rsidR="00782E86" w:rsidRPr="00420687">
        <w:t>Kupujícího</w:t>
      </w:r>
      <w:r w:rsidR="00E063D2" w:rsidRPr="00420687">
        <w:t xml:space="preserve"> úplným zaplacením kupní ceny. </w:t>
      </w:r>
      <w:r w:rsidR="009906D7" w:rsidRPr="00420687">
        <w:t xml:space="preserve">Riziko vzniku škody na dílech přechází na </w:t>
      </w:r>
      <w:r w:rsidR="00782E86" w:rsidRPr="00420687">
        <w:t>Kupujícího</w:t>
      </w:r>
      <w:r w:rsidR="009906D7" w:rsidRPr="00420687">
        <w:t xml:space="preserve"> v souladu se zde výše sjednanou dodací podmínkou.</w:t>
      </w:r>
    </w:p>
    <w:p w:rsidR="009906D7" w:rsidRPr="00420687" w:rsidRDefault="009906D7" w:rsidP="0034443D">
      <w:pPr>
        <w:ind w:left="709" w:hanging="709"/>
        <w:contextualSpacing/>
        <w:jc w:val="both"/>
        <w:rPr>
          <w:highlight w:val="yellow"/>
        </w:rPr>
      </w:pPr>
    </w:p>
    <w:p w:rsidR="009906D7" w:rsidRPr="00420687" w:rsidRDefault="00E0626D" w:rsidP="00A7130F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 xml:space="preserve">Článek </w:t>
      </w:r>
      <w:r w:rsidR="009906D7" w:rsidRPr="00420687">
        <w:rPr>
          <w:b/>
        </w:rPr>
        <w:t>V.</w:t>
      </w:r>
    </w:p>
    <w:p w:rsidR="009906D7" w:rsidRPr="00420687" w:rsidRDefault="00140894" w:rsidP="00A7130F">
      <w:pPr>
        <w:ind w:left="709" w:hanging="709"/>
        <w:contextualSpacing/>
        <w:jc w:val="center"/>
        <w:rPr>
          <w:b/>
          <w:caps/>
        </w:rPr>
      </w:pPr>
      <w:r w:rsidRPr="00420687">
        <w:rPr>
          <w:b/>
          <w:caps/>
        </w:rPr>
        <w:t>Právo montáže, zásady součinnosti a spolupráce</w:t>
      </w:r>
    </w:p>
    <w:p w:rsidR="009906D7" w:rsidRPr="00420687" w:rsidRDefault="009906D7" w:rsidP="0034443D">
      <w:pPr>
        <w:ind w:left="709" w:hanging="709"/>
        <w:contextualSpacing/>
        <w:jc w:val="both"/>
      </w:pPr>
    </w:p>
    <w:p w:rsidR="009906D7" w:rsidRPr="00420687" w:rsidRDefault="00E0626D" w:rsidP="0034443D">
      <w:pPr>
        <w:ind w:left="709" w:hanging="709"/>
        <w:contextualSpacing/>
        <w:jc w:val="both"/>
      </w:pPr>
      <w:r w:rsidRPr="00420687">
        <w:t>5</w:t>
      </w:r>
      <w:r w:rsidR="009906D7" w:rsidRPr="00420687">
        <w:t>.1</w:t>
      </w:r>
      <w:r w:rsidR="009906D7" w:rsidRPr="00420687">
        <w:tab/>
      </w:r>
      <w:r w:rsidR="00782E86" w:rsidRPr="00420687">
        <w:t>Prodávající</w:t>
      </w:r>
      <w:r w:rsidR="009906D7" w:rsidRPr="00420687">
        <w:t xml:space="preserve"> poskytuje </w:t>
      </w:r>
      <w:r w:rsidR="00782E86" w:rsidRPr="00420687">
        <w:t>Kupujícímu</w:t>
      </w:r>
      <w:r w:rsidR="009906D7" w:rsidRPr="00420687">
        <w:t xml:space="preserve"> za podmínek sjednaných touto smlouvou právo k montáži nákladního automobilu z dodaných dílů a k jeho následnému </w:t>
      </w:r>
      <w:r w:rsidR="00726C01" w:rsidRPr="00420687">
        <w:t>př</w:t>
      </w:r>
      <w:r w:rsidR="009906D7" w:rsidRPr="00420687">
        <w:t>edání do užívání jinému právnímu subjektu.</w:t>
      </w:r>
    </w:p>
    <w:p w:rsidR="009906D7" w:rsidRPr="00420687" w:rsidRDefault="00E0626D" w:rsidP="0034443D">
      <w:pPr>
        <w:ind w:left="709" w:hanging="709"/>
        <w:contextualSpacing/>
        <w:jc w:val="both"/>
      </w:pPr>
      <w:r w:rsidRPr="00420687">
        <w:t>5</w:t>
      </w:r>
      <w:r w:rsidR="009906D7" w:rsidRPr="00420687">
        <w:t>.2</w:t>
      </w:r>
      <w:r w:rsidR="009906D7" w:rsidRPr="00420687">
        <w:tab/>
        <w:t xml:space="preserve">Montáž nákladního automobilu se uskuteční </w:t>
      </w:r>
      <w:r w:rsidRPr="00420687">
        <w:t>v mon</w:t>
      </w:r>
      <w:r w:rsidR="00585BBA" w:rsidRPr="00420687">
        <w:t xml:space="preserve">tážích dílnách </w:t>
      </w:r>
      <w:r w:rsidR="000E7EEF" w:rsidRPr="00420687">
        <w:t>Střední průmyslové školy dopravní Plzeň – Křimice, průkopníků 290. P</w:t>
      </w:r>
      <w:r w:rsidR="009906D7" w:rsidRPr="00420687">
        <w:t>řed zahájením montáže</w:t>
      </w:r>
      <w:r w:rsidR="00726C01" w:rsidRPr="00420687">
        <w:t>,</w:t>
      </w:r>
      <w:r w:rsidR="009906D7" w:rsidRPr="00420687">
        <w:t xml:space="preserve"> musí být vhodnost prostorů a vybavení k montáži ověřeny a potvrzeny zástupcem </w:t>
      </w:r>
      <w:r w:rsidR="00726C01" w:rsidRPr="00420687">
        <w:t>Prodávajícího</w:t>
      </w:r>
      <w:r w:rsidR="009906D7" w:rsidRPr="00420687">
        <w:t>.</w:t>
      </w:r>
    </w:p>
    <w:p w:rsidR="00E0626D" w:rsidRPr="00420687" w:rsidRDefault="00E0626D" w:rsidP="0034443D">
      <w:pPr>
        <w:ind w:left="709" w:hanging="709"/>
        <w:contextualSpacing/>
        <w:jc w:val="both"/>
      </w:pPr>
      <w:r w:rsidRPr="00420687">
        <w:t>5</w:t>
      </w:r>
      <w:r w:rsidR="00140894" w:rsidRPr="00420687">
        <w:t>.</w:t>
      </w:r>
      <w:r w:rsidRPr="00420687">
        <w:t>3</w:t>
      </w:r>
      <w:r w:rsidR="00140894" w:rsidRPr="00420687">
        <w:tab/>
      </w:r>
      <w:r w:rsidRPr="00420687">
        <w:t xml:space="preserve">Montáž nákladního automobilu a práce s ní související budou prováděny </w:t>
      </w:r>
      <w:r w:rsidR="00D64FAF" w:rsidRPr="00420687">
        <w:t xml:space="preserve">studenty </w:t>
      </w:r>
      <w:r w:rsidR="000E7EEF" w:rsidRPr="00420687">
        <w:t xml:space="preserve">2. a 3. ročníku oboru Mechanik opravář motorových vozidel a Autotronik </w:t>
      </w:r>
      <w:r w:rsidR="00D64FAF" w:rsidRPr="00420687">
        <w:t xml:space="preserve">Střední </w:t>
      </w:r>
      <w:r w:rsidR="00645240" w:rsidRPr="00420687">
        <w:t xml:space="preserve">průmyslové </w:t>
      </w:r>
      <w:r w:rsidR="00D64FAF" w:rsidRPr="00420687">
        <w:t xml:space="preserve">školy </w:t>
      </w:r>
      <w:r w:rsidR="00645240" w:rsidRPr="00420687">
        <w:t>dopravní, Plzeň, Karlovarská 99</w:t>
      </w:r>
      <w:r w:rsidR="00D675CB" w:rsidRPr="00420687">
        <w:t xml:space="preserve"> </w:t>
      </w:r>
      <w:r w:rsidRPr="00420687">
        <w:t xml:space="preserve">za vedení a podle pokynů pedagogického a odborného personálu </w:t>
      </w:r>
      <w:r w:rsidR="00D675CB" w:rsidRPr="00420687">
        <w:t>školy</w:t>
      </w:r>
      <w:r w:rsidRPr="00420687">
        <w:t>.</w:t>
      </w:r>
    </w:p>
    <w:p w:rsidR="009906D7" w:rsidRPr="00420687" w:rsidRDefault="00E0626D" w:rsidP="0034443D">
      <w:pPr>
        <w:ind w:left="709" w:hanging="709"/>
        <w:contextualSpacing/>
        <w:jc w:val="both"/>
      </w:pPr>
      <w:r w:rsidRPr="00420687">
        <w:t>5.4</w:t>
      </w:r>
      <w:r w:rsidRPr="00420687">
        <w:tab/>
      </w:r>
      <w:r w:rsidR="009906D7" w:rsidRPr="00420687">
        <w:t xml:space="preserve">Montáž nákladního automobilu a práce s ní související budou prováděny za přítomnosti </w:t>
      </w:r>
      <w:r w:rsidR="00140894" w:rsidRPr="00420687">
        <w:t xml:space="preserve">odborného zástupce </w:t>
      </w:r>
      <w:r w:rsidR="00726C01" w:rsidRPr="00420687">
        <w:t>Prodávajícího</w:t>
      </w:r>
      <w:r w:rsidR="00140894" w:rsidRPr="00420687">
        <w:t>, který</w:t>
      </w:r>
      <w:r w:rsidR="009906D7" w:rsidRPr="00420687">
        <w:t> je za tímto účelem oprávněn vstupovat do prostor</w:t>
      </w:r>
      <w:r w:rsidR="00D675CB" w:rsidRPr="00420687">
        <w:t xml:space="preserve"> montážních dílen</w:t>
      </w:r>
      <w:r w:rsidR="009906D7" w:rsidRPr="00420687">
        <w:t xml:space="preserve">, kde se montáž </w:t>
      </w:r>
      <w:r w:rsidR="00D675CB" w:rsidRPr="00420687">
        <w:t xml:space="preserve">nákladního automobilu </w:t>
      </w:r>
      <w:r w:rsidR="009906D7" w:rsidRPr="00420687">
        <w:t>a jednotlivé práce provádějí.</w:t>
      </w:r>
    </w:p>
    <w:p w:rsidR="009906D7" w:rsidRPr="00420687" w:rsidRDefault="00E0626D" w:rsidP="0034443D">
      <w:pPr>
        <w:ind w:left="709" w:hanging="709"/>
        <w:contextualSpacing/>
        <w:jc w:val="both"/>
      </w:pPr>
      <w:r w:rsidRPr="00420687">
        <w:t>5</w:t>
      </w:r>
      <w:r w:rsidR="00D675CB" w:rsidRPr="00420687">
        <w:t>.5</w:t>
      </w:r>
      <w:r w:rsidR="00D675CB" w:rsidRPr="00420687">
        <w:tab/>
      </w:r>
      <w:r w:rsidR="00645240" w:rsidRPr="00420687">
        <w:t>P</w:t>
      </w:r>
      <w:r w:rsidR="00D675CB" w:rsidRPr="00420687">
        <w:t xml:space="preserve">edagogický a odborný personál školy nesou plnou odpovědnost a odpovídají za </w:t>
      </w:r>
    </w:p>
    <w:p w:rsidR="00D675CB" w:rsidRPr="00420687" w:rsidRDefault="00D675CB" w:rsidP="0034443D">
      <w:pPr>
        <w:ind w:left="709" w:hanging="709"/>
        <w:contextualSpacing/>
        <w:jc w:val="both"/>
      </w:pPr>
      <w:r w:rsidRPr="00420687">
        <w:t>5.5.1</w:t>
      </w:r>
      <w:r w:rsidRPr="00420687">
        <w:tab/>
        <w:t xml:space="preserve">prokazatelné proškolení žáků a osob </w:t>
      </w:r>
      <w:r w:rsidR="00233239" w:rsidRPr="00420687">
        <w:t>ú</w:t>
      </w:r>
      <w:r w:rsidRPr="00420687">
        <w:t>častnících se montáže nákladního automobilu v oblasti bezpečnosti a ochrany zdraví při práci,</w:t>
      </w:r>
    </w:p>
    <w:p w:rsidR="00D675CB" w:rsidRPr="00420687" w:rsidRDefault="00D675CB" w:rsidP="0034443D">
      <w:pPr>
        <w:ind w:left="709" w:hanging="709"/>
        <w:contextualSpacing/>
        <w:jc w:val="both"/>
      </w:pPr>
      <w:r w:rsidRPr="00420687">
        <w:lastRenderedPageBreak/>
        <w:t>5.5.2</w:t>
      </w:r>
      <w:r w:rsidRPr="00420687">
        <w:tab/>
        <w:t>dodržování bezpečnosti práce a ochrany zdraví při práci při montáži nákladního automobilu a všech pracích s ní souvisejících, včetně vybavení a používání předepsaných ochranných pracovních pomůcek,</w:t>
      </w:r>
    </w:p>
    <w:p w:rsidR="00D675CB" w:rsidRPr="00420687" w:rsidRDefault="00D675CB" w:rsidP="0034443D">
      <w:pPr>
        <w:ind w:left="709" w:hanging="709"/>
        <w:contextualSpacing/>
        <w:jc w:val="both"/>
      </w:pPr>
      <w:r w:rsidRPr="00420687">
        <w:t>5.5.3</w:t>
      </w:r>
      <w:r w:rsidRPr="00420687">
        <w:tab/>
        <w:t xml:space="preserve">vedení </w:t>
      </w:r>
      <w:r w:rsidR="00233239" w:rsidRPr="00420687">
        <w:t>montážního deníku o postupu montážních prací,</w:t>
      </w:r>
    </w:p>
    <w:p w:rsidR="000C31A7" w:rsidRPr="00420687" w:rsidRDefault="00233239" w:rsidP="0034443D">
      <w:pPr>
        <w:ind w:left="709" w:hanging="709"/>
        <w:contextualSpacing/>
        <w:jc w:val="both"/>
      </w:pPr>
      <w:r w:rsidRPr="00420687">
        <w:t>5.5.4</w:t>
      </w:r>
      <w:r w:rsidRPr="00420687">
        <w:tab/>
        <w:t>provádění kontrolních zkoušek a měření stanovených v předané technologické dokumentaci</w:t>
      </w:r>
      <w:r w:rsidR="000C31A7" w:rsidRPr="00420687">
        <w:t>,</w:t>
      </w:r>
    </w:p>
    <w:p w:rsidR="00233239" w:rsidRPr="00420687" w:rsidRDefault="000C31A7" w:rsidP="0034443D">
      <w:pPr>
        <w:ind w:left="709" w:hanging="709"/>
        <w:contextualSpacing/>
        <w:jc w:val="both"/>
      </w:pPr>
      <w:r w:rsidRPr="00420687">
        <w:t>5.5.5</w:t>
      </w:r>
      <w:r w:rsidRPr="00420687">
        <w:tab/>
        <w:t>postup montážních prací v souladu se schváleným harmonogramem</w:t>
      </w:r>
      <w:r w:rsidR="00233239" w:rsidRPr="00420687">
        <w:t>.</w:t>
      </w:r>
    </w:p>
    <w:p w:rsidR="009906D7" w:rsidRPr="00420687" w:rsidRDefault="00233239" w:rsidP="0034443D">
      <w:pPr>
        <w:ind w:left="709" w:hanging="709"/>
        <w:contextualSpacing/>
        <w:jc w:val="both"/>
      </w:pPr>
      <w:r w:rsidRPr="00420687">
        <w:t>5.6</w:t>
      </w:r>
      <w:r w:rsidRPr="00420687">
        <w:tab/>
      </w:r>
      <w:r w:rsidR="00726C01" w:rsidRPr="00420687">
        <w:t>Kupující</w:t>
      </w:r>
      <w:r w:rsidR="000C31A7" w:rsidRPr="00420687">
        <w:t xml:space="preserve"> zajistí</w:t>
      </w:r>
    </w:p>
    <w:p w:rsidR="000C31A7" w:rsidRPr="00420687" w:rsidRDefault="000C31A7" w:rsidP="0034443D">
      <w:pPr>
        <w:ind w:left="709" w:hanging="709"/>
        <w:contextualSpacing/>
        <w:jc w:val="both"/>
      </w:pPr>
      <w:r w:rsidRPr="00420687">
        <w:t>5.6.1</w:t>
      </w:r>
      <w:r w:rsidRPr="00420687">
        <w:tab/>
        <w:t>řádné skladování sad dílů., aby nedošlo k jejich poškození nebo snížení užitných vlastních,</w:t>
      </w:r>
    </w:p>
    <w:p w:rsidR="000C31A7" w:rsidRPr="00420687" w:rsidRDefault="000C31A7" w:rsidP="0034443D">
      <w:pPr>
        <w:ind w:left="709" w:hanging="709"/>
        <w:contextualSpacing/>
        <w:jc w:val="both"/>
      </w:pPr>
      <w:r w:rsidRPr="00420687">
        <w:t>5.6.2</w:t>
      </w:r>
      <w:r w:rsidRPr="00420687">
        <w:tab/>
        <w:t>zabezpečení montážní haly, aby nedošlo k poškození montovaného nákladního automobilu a neměly přístup neoprávněné osoby.</w:t>
      </w:r>
    </w:p>
    <w:p w:rsidR="000C31A7" w:rsidRPr="00420687" w:rsidRDefault="000C31A7" w:rsidP="0034443D">
      <w:pPr>
        <w:ind w:left="709" w:hanging="709"/>
        <w:contextualSpacing/>
        <w:jc w:val="both"/>
      </w:pPr>
      <w:r w:rsidRPr="00420687">
        <w:t>5.7</w:t>
      </w:r>
      <w:r w:rsidRPr="00420687">
        <w:tab/>
      </w:r>
      <w:r w:rsidR="00726C01" w:rsidRPr="00420687">
        <w:t>Kupující</w:t>
      </w:r>
      <w:r w:rsidRPr="00420687">
        <w:t xml:space="preserve"> společně</w:t>
      </w:r>
      <w:r w:rsidR="00726C01" w:rsidRPr="00420687">
        <w:t xml:space="preserve"> </w:t>
      </w:r>
      <w:r w:rsidRPr="00420687">
        <w:t>s </w:t>
      </w:r>
      <w:r w:rsidR="00726C01" w:rsidRPr="00420687">
        <w:t>Prodávajícím</w:t>
      </w:r>
      <w:r w:rsidRPr="00420687">
        <w:t xml:space="preserve"> zpracují před zahájením montážních prací harmonogram montáže.</w:t>
      </w:r>
    </w:p>
    <w:p w:rsidR="007F1FFA" w:rsidRPr="00420687" w:rsidRDefault="000C31A7" w:rsidP="0034443D">
      <w:pPr>
        <w:ind w:left="709" w:hanging="709"/>
        <w:contextualSpacing/>
        <w:jc w:val="both"/>
      </w:pPr>
      <w:r w:rsidRPr="00420687">
        <w:t>5.8</w:t>
      </w:r>
      <w:r w:rsidRPr="00420687">
        <w:tab/>
      </w:r>
      <w:r w:rsidR="007F1FFA" w:rsidRPr="00420687">
        <w:t xml:space="preserve">Riziko zničení či poškození dílů při montáži nákladního automobilu nese </w:t>
      </w:r>
      <w:r w:rsidR="00726C01" w:rsidRPr="00420687">
        <w:t>Kupující</w:t>
      </w:r>
      <w:r w:rsidR="007F1FFA" w:rsidRPr="00420687">
        <w:t>.</w:t>
      </w:r>
    </w:p>
    <w:p w:rsidR="000C31A7" w:rsidRPr="00420687" w:rsidRDefault="007F1FFA" w:rsidP="0034443D">
      <w:pPr>
        <w:ind w:left="709" w:hanging="709"/>
        <w:contextualSpacing/>
        <w:jc w:val="both"/>
      </w:pPr>
      <w:r w:rsidRPr="00420687">
        <w:t>5.9</w:t>
      </w:r>
      <w:r w:rsidRPr="00420687">
        <w:tab/>
      </w:r>
      <w:r w:rsidR="000C31A7" w:rsidRPr="00420687">
        <w:t xml:space="preserve">Návazně na ukončení montáže smluvní strany dohodnou přistavení nákladního automobilu ke kontrole, oživení a testování a harmonogram těchto činností. Přepravu nákladního automobilu do výrobního závodu zajišťuje a hradí </w:t>
      </w:r>
      <w:r w:rsidR="00726C01" w:rsidRPr="00420687">
        <w:t>Kupující</w:t>
      </w:r>
      <w:r w:rsidR="00362F66" w:rsidRPr="00420687">
        <w:t xml:space="preserve">, přeprava po </w:t>
      </w:r>
      <w:r w:rsidR="005C15BA" w:rsidRPr="00420687">
        <w:t xml:space="preserve">vlastní </w:t>
      </w:r>
      <w:r w:rsidR="00362F66" w:rsidRPr="00420687">
        <w:t xml:space="preserve">ose není přípustná. Náklady na kontrolu, oživení a testování nese </w:t>
      </w:r>
      <w:r w:rsidR="00726C01" w:rsidRPr="00420687">
        <w:t>Prodávající</w:t>
      </w:r>
      <w:r w:rsidR="00362F66" w:rsidRPr="00420687">
        <w:t>.</w:t>
      </w:r>
      <w:r w:rsidR="00182174" w:rsidRPr="00420687">
        <w:t xml:space="preserve"> O předání a převzetí nákladního automobilu ke kontrole, oživení a testování sepíší a podepíší smluvní strany protokol.</w:t>
      </w:r>
      <w:r w:rsidRPr="00420687">
        <w:t xml:space="preserve"> </w:t>
      </w:r>
    </w:p>
    <w:p w:rsidR="00362F66" w:rsidRPr="00420687" w:rsidRDefault="00362F66" w:rsidP="0034443D">
      <w:pPr>
        <w:ind w:left="709" w:hanging="709"/>
        <w:contextualSpacing/>
        <w:jc w:val="both"/>
      </w:pPr>
      <w:r w:rsidRPr="00420687">
        <w:t>5.</w:t>
      </w:r>
      <w:r w:rsidR="00A7130F" w:rsidRPr="00420687">
        <w:t>10</w:t>
      </w:r>
      <w:r w:rsidRPr="00420687">
        <w:tab/>
      </w:r>
      <w:r w:rsidR="00726C01" w:rsidRPr="00420687">
        <w:t>Prodávající</w:t>
      </w:r>
      <w:r w:rsidRPr="00420687">
        <w:t xml:space="preserve"> umožní po předchozí dohodě studentům a zástupcům </w:t>
      </w:r>
      <w:r w:rsidR="00726C01" w:rsidRPr="00420687">
        <w:t>Kupujícího</w:t>
      </w:r>
      <w:r w:rsidR="00414D47" w:rsidRPr="00420687">
        <w:t xml:space="preserve"> v počtu nejvýše 20. lidí</w:t>
      </w:r>
      <w:r w:rsidRPr="00420687">
        <w:t xml:space="preserve"> účast při kontrole, oživení a testování nákladního automobilu v trvání nejdéle 2 (dvou) pracovních směn. Náklady spojené s účastí studentů a zástupců </w:t>
      </w:r>
      <w:r w:rsidR="00726C01" w:rsidRPr="00420687">
        <w:t>Kupujícího</w:t>
      </w:r>
      <w:r w:rsidRPr="00420687">
        <w:t xml:space="preserve"> (cestovné, ubytování, strava atp.) nese </w:t>
      </w:r>
      <w:r w:rsidR="00726C01" w:rsidRPr="00420687">
        <w:t>Kupující</w:t>
      </w:r>
      <w:r w:rsidRPr="00420687">
        <w:t>.</w:t>
      </w:r>
    </w:p>
    <w:p w:rsidR="00362F66" w:rsidRPr="00420687" w:rsidRDefault="00362F66" w:rsidP="00D60D13">
      <w:pPr>
        <w:ind w:left="709" w:hanging="709"/>
        <w:contextualSpacing/>
        <w:jc w:val="both"/>
      </w:pPr>
      <w:r w:rsidRPr="00420687">
        <w:t>5.1</w:t>
      </w:r>
      <w:r w:rsidR="00A7130F" w:rsidRPr="00420687">
        <w:t>1</w:t>
      </w:r>
      <w:r w:rsidRPr="00420687">
        <w:tab/>
      </w:r>
      <w:r w:rsidR="00182174" w:rsidRPr="00420687">
        <w:t>Dopravu nákladního automobilu po ukončení kontroly, oživení a tes</w:t>
      </w:r>
      <w:r w:rsidR="00D60D13" w:rsidRPr="00420687">
        <w:t xml:space="preserve">tování zpět do </w:t>
      </w:r>
      <w:r w:rsidR="00726C01" w:rsidRPr="00420687">
        <w:t>XXXXX</w:t>
      </w:r>
      <w:r w:rsidR="006306DA" w:rsidRPr="00420687">
        <w:t xml:space="preserve"> </w:t>
      </w:r>
      <w:r w:rsidR="00182174" w:rsidRPr="00420687">
        <w:t xml:space="preserve">zajišťuje a hradí </w:t>
      </w:r>
      <w:r w:rsidR="00726C01" w:rsidRPr="00420687">
        <w:t>Prodávající</w:t>
      </w:r>
      <w:r w:rsidR="00182174" w:rsidRPr="00420687">
        <w:t xml:space="preserve">. O předání a převzetí nákladního automobilu po ukončení kontroly, oživení a testování sepíší a podepíší smluvní strany protokol. Termín předání dohodnou smluvní strany tak, aby k předání nákladního automobilu zpět </w:t>
      </w:r>
      <w:r w:rsidR="00726C01" w:rsidRPr="00420687">
        <w:t>Kupujícímu</w:t>
      </w:r>
      <w:r w:rsidR="00182174" w:rsidRPr="00420687">
        <w:t xml:space="preserve"> došlo do 10 (deseti) dnů od ukončení kontroly, oživení a testování.</w:t>
      </w:r>
    </w:p>
    <w:p w:rsidR="00182174" w:rsidRPr="00420687" w:rsidRDefault="00A7130F" w:rsidP="0034443D">
      <w:pPr>
        <w:ind w:left="709" w:hanging="709"/>
        <w:contextualSpacing/>
        <w:jc w:val="both"/>
      </w:pPr>
      <w:r w:rsidRPr="00420687">
        <w:t>5.12</w:t>
      </w:r>
      <w:r w:rsidR="00182174" w:rsidRPr="00420687">
        <w:tab/>
        <w:t xml:space="preserve">Společně s vrácením nákladního automobilu po </w:t>
      </w:r>
      <w:r w:rsidR="007F1FFA" w:rsidRPr="00420687">
        <w:t xml:space="preserve">kladném </w:t>
      </w:r>
      <w:r w:rsidR="00182174" w:rsidRPr="00420687">
        <w:t xml:space="preserve">ukončení kontroly, oživení a testování předá </w:t>
      </w:r>
      <w:r w:rsidR="006F2EDA" w:rsidRPr="00420687">
        <w:t>Prodávající Kupujícímu</w:t>
      </w:r>
      <w:r w:rsidR="00182174" w:rsidRPr="00420687">
        <w:t xml:space="preserve"> doklady nezbytné k registraci a provozování nákladního automobilu, technický průkaz, servisní knihu, atd.</w:t>
      </w:r>
    </w:p>
    <w:p w:rsidR="00D64FAF" w:rsidRPr="00420687" w:rsidRDefault="00D64FAF" w:rsidP="00A7130F">
      <w:pPr>
        <w:ind w:left="709" w:hanging="709"/>
        <w:contextualSpacing/>
        <w:jc w:val="center"/>
        <w:rPr>
          <w:b/>
          <w:highlight w:val="yellow"/>
        </w:rPr>
      </w:pPr>
    </w:p>
    <w:p w:rsidR="00182174" w:rsidRPr="00420687" w:rsidRDefault="00182174" w:rsidP="00A7130F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>Článek VI.</w:t>
      </w:r>
    </w:p>
    <w:p w:rsidR="000C31A7" w:rsidRPr="00420687" w:rsidRDefault="00182174" w:rsidP="00A7130F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>ŠKOLENÍ</w:t>
      </w:r>
    </w:p>
    <w:p w:rsidR="00233239" w:rsidRPr="00420687" w:rsidRDefault="00233239" w:rsidP="0034443D">
      <w:pPr>
        <w:ind w:left="709" w:hanging="709"/>
        <w:contextualSpacing/>
        <w:jc w:val="both"/>
      </w:pPr>
    </w:p>
    <w:p w:rsidR="00182174" w:rsidRPr="00420687" w:rsidRDefault="00182174" w:rsidP="0034443D">
      <w:pPr>
        <w:ind w:left="709" w:hanging="709"/>
        <w:contextualSpacing/>
        <w:jc w:val="both"/>
      </w:pPr>
      <w:r w:rsidRPr="00420687">
        <w:t>6.1</w:t>
      </w:r>
      <w:r w:rsidRPr="00420687">
        <w:tab/>
      </w:r>
      <w:r w:rsidRPr="00420687">
        <w:rPr>
          <w:color w:val="000000" w:themeColor="text1"/>
        </w:rPr>
        <w:t xml:space="preserve">Před zahájením montážních prací poskytne </w:t>
      </w:r>
      <w:r w:rsidR="006F2EDA" w:rsidRPr="00420687">
        <w:rPr>
          <w:color w:val="000000" w:themeColor="text1"/>
        </w:rPr>
        <w:t>Prodávající</w:t>
      </w:r>
      <w:r w:rsidRPr="00420687">
        <w:rPr>
          <w:color w:val="000000" w:themeColor="text1"/>
        </w:rPr>
        <w:t xml:space="preserve"> studentům školy v počtu max. 16, </w:t>
      </w:r>
      <w:r w:rsidR="00D64FAF" w:rsidRPr="00420687">
        <w:rPr>
          <w:color w:val="000000" w:themeColor="text1"/>
        </w:rPr>
        <w:t xml:space="preserve">učitelům odborného výcviku </w:t>
      </w:r>
      <w:r w:rsidRPr="00420687">
        <w:rPr>
          <w:color w:val="000000" w:themeColor="text1"/>
        </w:rPr>
        <w:t>školy v počtu 5</w:t>
      </w:r>
      <w:r w:rsidR="00CB7AA9" w:rsidRPr="00420687">
        <w:rPr>
          <w:color w:val="000000" w:themeColor="text1"/>
        </w:rPr>
        <w:t xml:space="preserve"> odborné školení v trvání </w:t>
      </w:r>
      <w:r w:rsidR="004227CC" w:rsidRPr="00420687">
        <w:rPr>
          <w:color w:val="000000" w:themeColor="text1"/>
        </w:rPr>
        <w:t>2-5</w:t>
      </w:r>
      <w:r w:rsidR="00CB7AA9" w:rsidRPr="00420687">
        <w:rPr>
          <w:color w:val="000000" w:themeColor="text1"/>
        </w:rPr>
        <w:t xml:space="preserve"> dnů (každý den 8 školících/pracovních hodin). </w:t>
      </w:r>
      <w:r w:rsidR="00CB7AA9" w:rsidRPr="00420687">
        <w:t>Školení poskytne účastníkům základní teoretické i praktické znalosti a zkušenosti spojené s výrobou nákladních automobilů, jejich zkoušením a užíváním. Podrobnosti školení dohodnou smluvní strany nejpozději 5 (pět) pracovních dnů před zahájením školení.</w:t>
      </w:r>
    </w:p>
    <w:p w:rsidR="00CB7AA9" w:rsidRPr="00420687" w:rsidRDefault="00CB7AA9" w:rsidP="0034443D">
      <w:pPr>
        <w:ind w:left="709" w:hanging="709"/>
        <w:contextualSpacing/>
        <w:jc w:val="both"/>
      </w:pPr>
      <w:r w:rsidRPr="00420687">
        <w:t>6.2</w:t>
      </w:r>
      <w:r w:rsidRPr="00420687">
        <w:tab/>
        <w:t>Náklady spojení s účastí studentů</w:t>
      </w:r>
      <w:r w:rsidR="006F2EDA" w:rsidRPr="00420687">
        <w:t xml:space="preserve"> a</w:t>
      </w:r>
      <w:r w:rsidRPr="00420687">
        <w:t xml:space="preserve"> odborných mistrů na úvodním školení hradí </w:t>
      </w:r>
      <w:r w:rsidR="006F2EDA" w:rsidRPr="00420687">
        <w:t>Kupující</w:t>
      </w:r>
      <w:r w:rsidRPr="00420687">
        <w:t>, kte</w:t>
      </w:r>
      <w:r w:rsidR="006F2EDA" w:rsidRPr="00420687">
        <w:t>rý</w:t>
      </w:r>
      <w:r w:rsidRPr="00420687">
        <w:t xml:space="preserve"> zajišťuj</w:t>
      </w:r>
      <w:r w:rsidR="006F2EDA" w:rsidRPr="00420687">
        <w:t>e</w:t>
      </w:r>
      <w:r w:rsidRPr="00420687">
        <w:t xml:space="preserve"> rovněž cestu, ubytování a stravování účastníků. Náklady spojené se samotným školením nese </w:t>
      </w:r>
      <w:r w:rsidR="006F2EDA" w:rsidRPr="00420687">
        <w:t>Prodávající</w:t>
      </w:r>
      <w:r w:rsidRPr="00420687">
        <w:t xml:space="preserve">, pracovní oděvy nejsou součástí nákladů hrazených </w:t>
      </w:r>
      <w:r w:rsidR="006F2EDA" w:rsidRPr="00420687">
        <w:t>Prodávajícím</w:t>
      </w:r>
      <w:r w:rsidRPr="00420687">
        <w:t>.</w:t>
      </w:r>
    </w:p>
    <w:p w:rsidR="0034443D" w:rsidRPr="00420687" w:rsidRDefault="0034443D" w:rsidP="0034443D">
      <w:pPr>
        <w:ind w:left="709" w:hanging="709"/>
        <w:contextualSpacing/>
        <w:jc w:val="both"/>
        <w:rPr>
          <w:highlight w:val="yellow"/>
        </w:rPr>
      </w:pPr>
    </w:p>
    <w:p w:rsidR="0034443D" w:rsidRPr="00420687" w:rsidRDefault="0034443D" w:rsidP="0034443D">
      <w:pPr>
        <w:ind w:left="709" w:hanging="709"/>
        <w:contextualSpacing/>
        <w:jc w:val="both"/>
        <w:rPr>
          <w:highlight w:val="yellow"/>
        </w:rPr>
      </w:pPr>
    </w:p>
    <w:p w:rsidR="00182174" w:rsidRPr="00420687" w:rsidRDefault="00CB7AA9" w:rsidP="00A7130F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lastRenderedPageBreak/>
        <w:t>Článek VII</w:t>
      </w:r>
      <w:r w:rsidR="007F1FFA" w:rsidRPr="00420687">
        <w:rPr>
          <w:b/>
        </w:rPr>
        <w:t>.</w:t>
      </w:r>
    </w:p>
    <w:p w:rsidR="00CB7AA9" w:rsidRPr="00420687" w:rsidRDefault="00CB7AA9" w:rsidP="00A7130F">
      <w:pPr>
        <w:ind w:left="709" w:hanging="709"/>
        <w:contextualSpacing/>
        <w:jc w:val="center"/>
        <w:rPr>
          <w:caps/>
        </w:rPr>
      </w:pPr>
      <w:r w:rsidRPr="00420687">
        <w:rPr>
          <w:b/>
          <w:caps/>
        </w:rPr>
        <w:t>Záruka za jakost</w:t>
      </w:r>
    </w:p>
    <w:p w:rsidR="00182174" w:rsidRPr="00420687" w:rsidRDefault="00182174" w:rsidP="0034443D">
      <w:pPr>
        <w:ind w:left="709" w:hanging="709"/>
        <w:contextualSpacing/>
        <w:jc w:val="both"/>
      </w:pPr>
    </w:p>
    <w:p w:rsidR="00CB7AA9" w:rsidRPr="00420687" w:rsidRDefault="00CB7AA9" w:rsidP="0034443D">
      <w:pPr>
        <w:ind w:left="709" w:hanging="709"/>
        <w:contextualSpacing/>
        <w:jc w:val="both"/>
      </w:pPr>
      <w:r w:rsidRPr="00420687">
        <w:t>7.1</w:t>
      </w:r>
      <w:r w:rsidRPr="00420687">
        <w:tab/>
      </w:r>
      <w:r w:rsidR="006F2EDA" w:rsidRPr="00420687">
        <w:t>Prodávající</w:t>
      </w:r>
      <w:r w:rsidRPr="00420687">
        <w:t xml:space="preserve"> přejímá </w:t>
      </w:r>
      <w:r w:rsidR="007F1FFA" w:rsidRPr="00420687">
        <w:t xml:space="preserve">po kladném ukončení kontroly, oživení a testování </w:t>
      </w:r>
      <w:r w:rsidRPr="00420687">
        <w:t>za nákladní automobil záruku za jakost</w:t>
      </w:r>
      <w:r w:rsidR="002A2B54" w:rsidRPr="00420687">
        <w:t xml:space="preserve"> dle Záručních podmínek </w:t>
      </w:r>
      <w:r w:rsidR="00420687" w:rsidRPr="00420687">
        <w:t>STANDARD č.111.E6 – Tatra Phoenix 12/36</w:t>
      </w:r>
      <w:r w:rsidR="007F1FFA" w:rsidRPr="00420687">
        <w:t>, které tvoří přílohu č. 2 této smlouvy.</w:t>
      </w:r>
    </w:p>
    <w:p w:rsidR="007F1FFA" w:rsidRPr="00420687" w:rsidRDefault="007F1FFA" w:rsidP="0034443D">
      <w:pPr>
        <w:ind w:left="709" w:hanging="709"/>
        <w:contextualSpacing/>
        <w:jc w:val="both"/>
        <w:rPr>
          <w:highlight w:val="yellow"/>
        </w:rPr>
      </w:pPr>
    </w:p>
    <w:p w:rsidR="007F1FFA" w:rsidRPr="00420687" w:rsidRDefault="007F1FFA" w:rsidP="00A7130F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>Článek VIII.</w:t>
      </w:r>
    </w:p>
    <w:p w:rsidR="007F1FFA" w:rsidRPr="00420687" w:rsidRDefault="007F1FFA" w:rsidP="00A7130F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>OCHRANA DŮVĚRNÝCH INFORMACÍ</w:t>
      </w:r>
    </w:p>
    <w:p w:rsidR="007F1FFA" w:rsidRPr="00420687" w:rsidRDefault="007F1FFA" w:rsidP="0034443D">
      <w:pPr>
        <w:ind w:left="709" w:hanging="709"/>
        <w:contextualSpacing/>
        <w:jc w:val="both"/>
      </w:pPr>
    </w:p>
    <w:p w:rsidR="007F1FFA" w:rsidRPr="00420687" w:rsidRDefault="007F1FFA" w:rsidP="0034443D">
      <w:pPr>
        <w:ind w:left="709" w:hanging="709"/>
        <w:contextualSpacing/>
        <w:jc w:val="both"/>
        <w:rPr>
          <w:rFonts w:cstheme="minorHAnsi"/>
        </w:rPr>
      </w:pPr>
      <w:r w:rsidRPr="00420687">
        <w:t>8.1</w:t>
      </w:r>
      <w:r w:rsidRPr="00420687">
        <w:tab/>
      </w:r>
      <w:r w:rsidR="0019574B" w:rsidRPr="00420687">
        <w:t xml:space="preserve">Na základě a v souvislosti s touto smlouvou </w:t>
      </w:r>
      <w:r w:rsidR="006F2EDA" w:rsidRPr="00420687">
        <w:t>Prodávající</w:t>
      </w:r>
      <w:r w:rsidR="0019574B" w:rsidRPr="00420687">
        <w:t xml:space="preserve"> zpřístupní </w:t>
      </w:r>
      <w:r w:rsidR="006F2EDA" w:rsidRPr="00420687">
        <w:t>Kupujícímu</w:t>
      </w:r>
      <w:r w:rsidR="0019574B" w:rsidRPr="00420687">
        <w:t xml:space="preserve"> (dále jen </w:t>
      </w:r>
      <w:r w:rsidR="0019574B" w:rsidRPr="00420687">
        <w:rPr>
          <w:b/>
        </w:rPr>
        <w:t>„zájemce o informaci“</w:t>
      </w:r>
      <w:r w:rsidR="0019574B" w:rsidRPr="00420687">
        <w:t>)</w:t>
      </w:r>
      <w:r w:rsidR="00A7130F" w:rsidRPr="00420687">
        <w:t xml:space="preserve"> </w:t>
      </w:r>
      <w:r w:rsidR="0019574B" w:rsidRPr="00420687">
        <w:t xml:space="preserve">nebo tito mohou nabýt a nabudou jiným způsobem důvěrné informace </w:t>
      </w:r>
      <w:r w:rsidR="006F2EDA" w:rsidRPr="00420687">
        <w:t>Prodávajícího</w:t>
      </w:r>
      <w:r w:rsidR="0019574B" w:rsidRPr="00420687">
        <w:t xml:space="preserve">, které nejsou obecně známé a které má </w:t>
      </w:r>
      <w:r w:rsidR="006F2EDA" w:rsidRPr="00420687">
        <w:t>Prodávající</w:t>
      </w:r>
      <w:r w:rsidR="0019574B" w:rsidRPr="00420687">
        <w:t xml:space="preserve"> zájem chránit. </w:t>
      </w:r>
      <w:r w:rsidR="0019574B" w:rsidRPr="00420687">
        <w:rPr>
          <w:b/>
        </w:rPr>
        <w:t>„Důvěrnými informacemi“</w:t>
      </w:r>
      <w:r w:rsidR="0019574B" w:rsidRPr="00420687">
        <w:t xml:space="preserve"> se rozumí </w:t>
      </w:r>
      <w:r w:rsidR="0019574B" w:rsidRPr="00420687">
        <w:rPr>
          <w:rFonts w:cstheme="minorHAnsi"/>
        </w:rPr>
        <w:t xml:space="preserve">informace obchodní, technické, finanční, organizační a jiné týkající se přímo nebo nepřímo </w:t>
      </w:r>
      <w:r w:rsidR="006F2EDA" w:rsidRPr="00420687">
        <w:rPr>
          <w:rFonts w:cstheme="minorHAnsi"/>
        </w:rPr>
        <w:t>Prodávajícího</w:t>
      </w:r>
      <w:r w:rsidR="0019574B" w:rsidRPr="00420687">
        <w:rPr>
          <w:rFonts w:cstheme="minorHAnsi"/>
        </w:rPr>
        <w:t>, jejích zaměstnanců, dceřiných společností, obchodních partnerů, zákazníků nebo dodavatelů, výrobků, informace konstrukční a technologické, avšak nejen tyto zde výslovně uvedené, zachycené v jakékoliv podobě na jakémkoliv nosiči, jakož i informace ústní.</w:t>
      </w:r>
    </w:p>
    <w:p w:rsidR="0019574B" w:rsidRPr="00420687" w:rsidRDefault="0019574B" w:rsidP="0034443D">
      <w:pPr>
        <w:ind w:left="709" w:hanging="709"/>
        <w:contextualSpacing/>
        <w:jc w:val="both"/>
        <w:rPr>
          <w:highlight w:val="yellow"/>
        </w:rPr>
      </w:pPr>
      <w:r w:rsidRPr="00420687">
        <w:rPr>
          <w:rFonts w:cstheme="minorHAnsi"/>
        </w:rPr>
        <w:t>8.2</w:t>
      </w:r>
      <w:r w:rsidRPr="00420687">
        <w:rPr>
          <w:rFonts w:cstheme="minorHAnsi"/>
        </w:rPr>
        <w:tab/>
        <w:t xml:space="preserve">Důvěrnými informacemi nejsou informace, které jsou nebo se po dobu účinnosti této smlouvy stanou veřejně známými, a to jinak, než porušením povinností ze zákona nebo této </w:t>
      </w:r>
      <w:r w:rsidR="00356304" w:rsidRPr="00420687">
        <w:rPr>
          <w:rFonts w:cstheme="minorHAnsi"/>
        </w:rPr>
        <w:t>s</w:t>
      </w:r>
      <w:r w:rsidRPr="00420687">
        <w:rPr>
          <w:rFonts w:cstheme="minorHAnsi"/>
        </w:rPr>
        <w:t>mlouvy ze strany Zájemce o informaci.</w:t>
      </w:r>
      <w:r w:rsidR="00356304" w:rsidRPr="00420687">
        <w:rPr>
          <w:rFonts w:cstheme="minorHAnsi"/>
        </w:rPr>
        <w:t xml:space="preserve"> </w:t>
      </w:r>
      <w:r w:rsidRPr="00420687">
        <w:rPr>
          <w:rFonts w:cstheme="minorHAnsi"/>
        </w:rPr>
        <w:t>Důvěrn</w:t>
      </w:r>
      <w:r w:rsidR="00356304" w:rsidRPr="00420687">
        <w:rPr>
          <w:rFonts w:cstheme="minorHAnsi"/>
        </w:rPr>
        <w:t xml:space="preserve">ými </w:t>
      </w:r>
      <w:r w:rsidRPr="00420687">
        <w:rPr>
          <w:rFonts w:cstheme="minorHAnsi"/>
        </w:rPr>
        <w:t>Informace</w:t>
      </w:r>
      <w:r w:rsidR="00356304" w:rsidRPr="00420687">
        <w:rPr>
          <w:rFonts w:cstheme="minorHAnsi"/>
        </w:rPr>
        <w:t>mi</w:t>
      </w:r>
      <w:r w:rsidRPr="00420687">
        <w:rPr>
          <w:rFonts w:cstheme="minorHAnsi"/>
        </w:rPr>
        <w:t xml:space="preserve"> </w:t>
      </w:r>
      <w:r w:rsidR="00356304" w:rsidRPr="00420687">
        <w:rPr>
          <w:rFonts w:cstheme="minorHAnsi"/>
        </w:rPr>
        <w:t xml:space="preserve">nejsou dále </w:t>
      </w:r>
      <w:r w:rsidRPr="00420687">
        <w:rPr>
          <w:rFonts w:cstheme="minorHAnsi"/>
        </w:rPr>
        <w:t xml:space="preserve">ani informace, které jsou Zájemci o informaci prokazatelně známy dříve, než mu je sdělil či jinak zpřístupnil </w:t>
      </w:r>
      <w:r w:rsidR="006F2EDA" w:rsidRPr="00420687">
        <w:rPr>
          <w:rFonts w:cstheme="minorHAnsi"/>
        </w:rPr>
        <w:t>Prodávající</w:t>
      </w:r>
      <w:r w:rsidRPr="00420687">
        <w:rPr>
          <w:rFonts w:cstheme="minorHAnsi"/>
        </w:rPr>
        <w:t>, aniž by k této znalosti došlo protiprávním jednáním Zájemce o informaci.</w:t>
      </w:r>
    </w:p>
    <w:p w:rsidR="007F1FFA" w:rsidRPr="00420687" w:rsidRDefault="00356304" w:rsidP="0034443D">
      <w:pPr>
        <w:ind w:left="709" w:hanging="709"/>
        <w:contextualSpacing/>
        <w:jc w:val="both"/>
      </w:pPr>
      <w:r w:rsidRPr="00420687">
        <w:t>8.3</w:t>
      </w:r>
      <w:r w:rsidRPr="00420687">
        <w:tab/>
        <w:t>Zájemce o informaci je povinen využít důvěrné informace pouze a jedině pro naplnění účelu této smlouvy, nesmí je zveřejnit, ani žádným jiným způsobem zpřístupnit třetím osobám.</w:t>
      </w:r>
    </w:p>
    <w:p w:rsidR="0034443D" w:rsidRPr="00420687" w:rsidRDefault="00A7130F" w:rsidP="0034443D">
      <w:pPr>
        <w:ind w:left="709" w:hanging="709"/>
        <w:contextualSpacing/>
        <w:jc w:val="both"/>
      </w:pPr>
      <w:r w:rsidRPr="00420687">
        <w:t>8.4</w:t>
      </w:r>
      <w:r w:rsidRPr="00420687">
        <w:tab/>
        <w:t xml:space="preserve">Bez ohledu na zde výše sjednané smluvní strany berou na vědomí a souhlasí se </w:t>
      </w:r>
      <w:r w:rsidRPr="00420687">
        <w:rPr>
          <w:rFonts w:cstheme="minorHAnsi"/>
        </w:rPr>
        <w:t>zveřejněním této smlouvy v informačním systému veřejné správy – Registru smluv dle zákona č. 340/2015 Sb., o registru smluv ve znění pozdějších předpisů.</w:t>
      </w:r>
    </w:p>
    <w:p w:rsidR="00A7130F" w:rsidRPr="00420687" w:rsidRDefault="00A7130F" w:rsidP="0034443D">
      <w:pPr>
        <w:ind w:left="709" w:hanging="709"/>
        <w:contextualSpacing/>
        <w:jc w:val="both"/>
        <w:rPr>
          <w:highlight w:val="yellow"/>
        </w:rPr>
      </w:pPr>
    </w:p>
    <w:p w:rsidR="0034443D" w:rsidRPr="00420687" w:rsidRDefault="0034443D" w:rsidP="00A7130F">
      <w:pPr>
        <w:ind w:left="709" w:hanging="709"/>
        <w:contextualSpacing/>
        <w:jc w:val="center"/>
        <w:rPr>
          <w:b/>
        </w:rPr>
      </w:pPr>
      <w:r w:rsidRPr="00420687">
        <w:rPr>
          <w:b/>
        </w:rPr>
        <w:t>Článek IX.</w:t>
      </w:r>
    </w:p>
    <w:p w:rsidR="0034443D" w:rsidRPr="00420687" w:rsidRDefault="0034443D" w:rsidP="00A7130F">
      <w:pPr>
        <w:ind w:left="709" w:hanging="709"/>
        <w:contextualSpacing/>
        <w:jc w:val="center"/>
        <w:rPr>
          <w:rFonts w:cstheme="minorHAnsi"/>
        </w:rPr>
      </w:pPr>
      <w:r w:rsidRPr="00420687">
        <w:rPr>
          <w:rFonts w:cstheme="minorHAnsi"/>
          <w:b/>
        </w:rPr>
        <w:t>SALVÁTORSKÁ KLAUZULE</w:t>
      </w:r>
    </w:p>
    <w:p w:rsidR="0034443D" w:rsidRPr="00420687" w:rsidRDefault="0034443D" w:rsidP="0034443D">
      <w:pPr>
        <w:ind w:left="709" w:hanging="709"/>
        <w:contextualSpacing/>
        <w:jc w:val="both"/>
        <w:rPr>
          <w:rFonts w:cstheme="minorHAnsi"/>
        </w:rPr>
      </w:pPr>
    </w:p>
    <w:p w:rsidR="0034443D" w:rsidRPr="00420687" w:rsidRDefault="00A7130F" w:rsidP="0034443D">
      <w:pPr>
        <w:ind w:left="709" w:hanging="709"/>
        <w:contextualSpacing/>
        <w:jc w:val="both"/>
        <w:rPr>
          <w:rFonts w:cstheme="minorHAnsi"/>
        </w:rPr>
      </w:pPr>
      <w:r w:rsidRPr="00420687">
        <w:rPr>
          <w:rFonts w:cstheme="minorHAnsi"/>
        </w:rPr>
        <w:t>9</w:t>
      </w:r>
      <w:r w:rsidR="0034443D" w:rsidRPr="00420687">
        <w:rPr>
          <w:rFonts w:cstheme="minorHAnsi"/>
        </w:rPr>
        <w:t>.1</w:t>
      </w:r>
      <w:r w:rsidR="0034443D" w:rsidRPr="00420687">
        <w:rPr>
          <w:rFonts w:cstheme="minorHAnsi"/>
        </w:rPr>
        <w:tab/>
      </w:r>
      <w:r w:rsidR="0034443D" w:rsidRPr="00420687">
        <w:rPr>
          <w:rFonts w:cs="Calibri"/>
          <w:bCs/>
        </w:rPr>
        <w:t>Pokud jakýkoliv závazek vyplývající z této smlouvy, avšak netvořící její podstatnou náležitost, je nebo se stane neplatným nebo nevymahatelným, a to ať jako celek nebo jen jeho část, a je plně oddělitelným od ostatních ustanovení této smlouvy, taková neplatnost a nevymahatelnost nemá a nebude mít žádný vliv na platnost a vymahatelnost ostatních závazků z této smlouvy. Smluvní strany se zavazují v rámci této smlouvy nahradit formou dodatku k této smlouvě takto neplatný nebo nevymahatelný oddělený závazek novým platným a vymahatelným závazkem, jehož předmět bude v nejvyšší možné míře odpovídat předmětu původního odděleného závazku. Pokud ale je nebo se stane neplatným nebo nevymahatelným, a to ať jako celek nebo jen jeho část, jakýkoliv závazek vyplývající z této smlouvy tvořící její podstatnou náležitost, smluvní strany nahradí takto neplatný nebo nevymahatelný závazek v rámci nové smlouvy takovým novým, platným a vymahatelným závazkem, jehož předmět bude v nejvyšší možné míře odpovídat předmětu původního závazku obsaženého v této smlouvě.</w:t>
      </w:r>
    </w:p>
    <w:p w:rsidR="0034443D" w:rsidRPr="00420687" w:rsidRDefault="0034443D" w:rsidP="0034443D">
      <w:pPr>
        <w:ind w:left="709" w:hanging="709"/>
        <w:contextualSpacing/>
        <w:jc w:val="both"/>
        <w:rPr>
          <w:rFonts w:cstheme="minorHAnsi"/>
          <w:highlight w:val="yellow"/>
        </w:rPr>
      </w:pPr>
    </w:p>
    <w:p w:rsidR="00A7130F" w:rsidRPr="00420687" w:rsidRDefault="00A7130F" w:rsidP="00A7130F">
      <w:pPr>
        <w:ind w:left="709" w:hanging="709"/>
        <w:contextualSpacing/>
        <w:jc w:val="center"/>
        <w:rPr>
          <w:rFonts w:cstheme="minorHAnsi"/>
          <w:b/>
        </w:rPr>
      </w:pPr>
      <w:r w:rsidRPr="00420687">
        <w:rPr>
          <w:rFonts w:cstheme="minorHAnsi"/>
          <w:b/>
        </w:rPr>
        <w:t>Článek X.</w:t>
      </w:r>
    </w:p>
    <w:p w:rsidR="0034443D" w:rsidRPr="00420687" w:rsidRDefault="0034443D" w:rsidP="00A7130F">
      <w:pPr>
        <w:ind w:left="709" w:hanging="709"/>
        <w:contextualSpacing/>
        <w:jc w:val="center"/>
        <w:rPr>
          <w:rFonts w:cstheme="minorHAnsi"/>
          <w:b/>
        </w:rPr>
      </w:pPr>
      <w:r w:rsidRPr="00420687">
        <w:rPr>
          <w:rFonts w:cstheme="minorHAnsi"/>
          <w:b/>
        </w:rPr>
        <w:t>ZÁVĚREČNÁ USTANOVENÍ</w:t>
      </w:r>
    </w:p>
    <w:p w:rsidR="0034443D" w:rsidRPr="00420687" w:rsidRDefault="0034443D" w:rsidP="002C52FD">
      <w:pPr>
        <w:spacing w:after="120"/>
        <w:ind w:left="709" w:hanging="709"/>
        <w:contextualSpacing/>
        <w:jc w:val="both"/>
        <w:rPr>
          <w:rFonts w:cstheme="minorHAnsi"/>
        </w:rPr>
      </w:pPr>
    </w:p>
    <w:p w:rsidR="00A7130F" w:rsidRPr="00420687" w:rsidRDefault="00A7130F" w:rsidP="0034443D">
      <w:pPr>
        <w:ind w:left="709" w:hanging="709"/>
        <w:contextualSpacing/>
        <w:jc w:val="both"/>
        <w:rPr>
          <w:rFonts w:cstheme="minorHAnsi"/>
        </w:rPr>
      </w:pPr>
      <w:r w:rsidRPr="00420687">
        <w:rPr>
          <w:rFonts w:cstheme="minorHAnsi"/>
        </w:rPr>
        <w:t>10</w:t>
      </w:r>
      <w:r w:rsidR="0034443D" w:rsidRPr="00420687">
        <w:rPr>
          <w:rFonts w:cstheme="minorHAnsi"/>
        </w:rPr>
        <w:t>.1</w:t>
      </w:r>
      <w:r w:rsidR="0034443D" w:rsidRPr="00420687">
        <w:rPr>
          <w:rFonts w:cstheme="minorHAnsi"/>
        </w:rPr>
        <w:tab/>
      </w:r>
      <w:r w:rsidRPr="00420687">
        <w:rPr>
          <w:rFonts w:cstheme="minorHAnsi"/>
        </w:rPr>
        <w:t xml:space="preserve">Tato smlouva se řídí právem České republiky, zejména zákonem č. 89/2012 Sb., občanským zákoníkem v platném znění (dále jen </w:t>
      </w:r>
      <w:r w:rsidRPr="00420687">
        <w:rPr>
          <w:rFonts w:cstheme="minorHAnsi"/>
          <w:b/>
        </w:rPr>
        <w:t>„občanský zákoník“</w:t>
      </w:r>
      <w:r w:rsidRPr="00420687">
        <w:rPr>
          <w:rFonts w:cstheme="minorHAnsi"/>
        </w:rPr>
        <w:t>).</w:t>
      </w:r>
    </w:p>
    <w:p w:rsidR="0034443D" w:rsidRPr="00420687" w:rsidRDefault="00A7130F" w:rsidP="0034443D">
      <w:pPr>
        <w:ind w:left="709" w:hanging="709"/>
        <w:contextualSpacing/>
        <w:jc w:val="both"/>
        <w:rPr>
          <w:rFonts w:cstheme="minorHAnsi"/>
        </w:rPr>
      </w:pPr>
      <w:r w:rsidRPr="00420687">
        <w:rPr>
          <w:rFonts w:cstheme="minorHAnsi"/>
        </w:rPr>
        <w:t>10.2</w:t>
      </w:r>
      <w:r w:rsidRPr="00420687">
        <w:rPr>
          <w:rFonts w:cstheme="minorHAnsi"/>
        </w:rPr>
        <w:tab/>
      </w:r>
      <w:r w:rsidR="0034443D" w:rsidRPr="00420687">
        <w:rPr>
          <w:rFonts w:cstheme="minorHAnsi"/>
        </w:rPr>
        <w:t>Tato smlouva nabývá platnosti po</w:t>
      </w:r>
      <w:r w:rsidRPr="00420687">
        <w:rPr>
          <w:rFonts w:cstheme="minorHAnsi"/>
        </w:rPr>
        <w:t>dpisem oběma smluvními stranami a účinnosti zveřejněním v informačním systému veřejné správy – Registru smluv dle zákona č. 340/2015 Sb., o registru smluv ve znění pozdějších předpisů.</w:t>
      </w:r>
    </w:p>
    <w:p w:rsidR="0034443D" w:rsidRPr="00420687" w:rsidRDefault="00A7130F" w:rsidP="0034443D">
      <w:pPr>
        <w:ind w:left="709" w:hanging="709"/>
        <w:contextualSpacing/>
        <w:jc w:val="both"/>
        <w:rPr>
          <w:rFonts w:cstheme="minorHAnsi"/>
        </w:rPr>
      </w:pPr>
      <w:r w:rsidRPr="00420687">
        <w:rPr>
          <w:rFonts w:cstheme="minorHAnsi"/>
        </w:rPr>
        <w:t>10.3</w:t>
      </w:r>
      <w:r w:rsidR="0034443D" w:rsidRPr="00420687">
        <w:rPr>
          <w:rFonts w:cstheme="minorHAnsi"/>
        </w:rPr>
        <w:tab/>
        <w:t>Tuto smlouvu lze měnit doplňovat pouze dodatky v písemné formě podepsané oprávněnými zástupci obou smluvních stran.</w:t>
      </w:r>
    </w:p>
    <w:p w:rsidR="00A7130F" w:rsidRPr="00420687" w:rsidRDefault="00A7130F" w:rsidP="0034443D">
      <w:pPr>
        <w:ind w:left="709" w:hanging="709"/>
        <w:contextualSpacing/>
        <w:jc w:val="both"/>
        <w:rPr>
          <w:rFonts w:cstheme="minorHAnsi"/>
        </w:rPr>
      </w:pPr>
      <w:r w:rsidRPr="00420687">
        <w:rPr>
          <w:rFonts w:cstheme="minorHAnsi"/>
        </w:rPr>
        <w:t>10.4</w:t>
      </w:r>
      <w:r w:rsidRPr="00420687">
        <w:rPr>
          <w:rFonts w:cstheme="minorHAnsi"/>
        </w:rPr>
        <w:tab/>
        <w:t>Smluvní strany každá samostatně prohlašují, že se v souvislosti se zadávacím řízení, na jehož základě je uzavírána tato smlouva nedopustila jednání, které je v rozporu se zákonem, zákon obcházelo či které by bylo v rozporu s poctivým obchodním stykem a dobrými mravy.</w:t>
      </w:r>
    </w:p>
    <w:p w:rsidR="0034443D" w:rsidRPr="00420687" w:rsidRDefault="006E3C22" w:rsidP="0034443D">
      <w:pPr>
        <w:ind w:left="709" w:hanging="709"/>
        <w:contextualSpacing/>
        <w:jc w:val="both"/>
      </w:pPr>
      <w:r w:rsidRPr="00420687">
        <w:t>10.5</w:t>
      </w:r>
      <w:r w:rsidR="0034443D" w:rsidRPr="00420687">
        <w:tab/>
      </w:r>
      <w:r w:rsidR="0034443D" w:rsidRPr="00420687">
        <w:rPr>
          <w:rFonts w:cs="Times New Roman"/>
        </w:rPr>
        <w:t xml:space="preserve">Smluvní strany na sebe přebírají nebezpečí změny okolností v souvislosti s právy a povinnostmi smluvních stran vzniklými na základě této smlouvy. Smluvní strany vylučují uplatnění ustanovení § 1765 odst. </w:t>
      </w:r>
      <w:smartTag w:uri="urn:schemas-microsoft-com:office:smarttags" w:element="metricconverter">
        <w:smartTagPr>
          <w:attr w:name="ProductID" w:val="1 a"/>
        </w:smartTagPr>
        <w:r w:rsidR="0034443D" w:rsidRPr="00420687">
          <w:rPr>
            <w:rFonts w:cs="Times New Roman"/>
          </w:rPr>
          <w:t>1 a</w:t>
        </w:r>
      </w:smartTag>
      <w:r w:rsidR="0034443D" w:rsidRPr="00420687">
        <w:rPr>
          <w:rFonts w:cs="Times New Roman"/>
        </w:rPr>
        <w:t xml:space="preserve"> § 1766 občanského zákoníku na svůj smluvní vztah založený touto smlouvou. </w:t>
      </w:r>
      <w:r w:rsidR="0034443D" w:rsidRPr="00420687">
        <w:t>Smluvní strany dále konstatují, že výše ceny Dokumentace je přiměřená a nemůže tedy za žádných okolností odůvodnit využití institutu tzv. „neúměrného zkrácení“ dle ustanovení § 1793 občanského zákoníku.</w:t>
      </w:r>
    </w:p>
    <w:p w:rsidR="00420687" w:rsidRPr="00420687" w:rsidRDefault="00AD7172" w:rsidP="0034443D">
      <w:pPr>
        <w:ind w:left="709" w:hanging="709"/>
        <w:contextualSpacing/>
        <w:jc w:val="both"/>
        <w:rPr>
          <w:iCs/>
        </w:rPr>
      </w:pPr>
      <w:r w:rsidRPr="00420687">
        <w:t>10.6</w:t>
      </w:r>
      <w:r w:rsidRPr="00420687">
        <w:tab/>
      </w:r>
      <w:r w:rsidRPr="00420687">
        <w:rPr>
          <w:iCs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</w:t>
      </w:r>
    </w:p>
    <w:p w:rsidR="008E5A2C" w:rsidRPr="00420687" w:rsidRDefault="00AD7172" w:rsidP="0034443D">
      <w:pPr>
        <w:ind w:left="709" w:hanging="709"/>
        <w:contextualSpacing/>
        <w:jc w:val="both"/>
      </w:pPr>
      <w:r w:rsidRPr="00420687">
        <w:t>10.7</w:t>
      </w:r>
      <w:r w:rsidR="0034443D" w:rsidRPr="00420687">
        <w:tab/>
        <w:t>Tato smlouva se vyhotovuje ve dvou výtiscích s platností originálu, každá smluvní strana obdrží po podpisu oběma smluvními stranami po jednom vyhotovení.</w:t>
      </w:r>
    </w:p>
    <w:p w:rsidR="006E3C22" w:rsidRPr="00420687" w:rsidRDefault="00AD7172" w:rsidP="0034443D">
      <w:pPr>
        <w:ind w:left="709" w:hanging="709"/>
        <w:contextualSpacing/>
        <w:jc w:val="both"/>
      </w:pPr>
      <w:r w:rsidRPr="00420687">
        <w:t>10.8</w:t>
      </w:r>
      <w:r w:rsidR="006E3C22" w:rsidRPr="00420687">
        <w:tab/>
        <w:t>Přílohy tvoří nedílnou součást smlouvy.</w:t>
      </w:r>
    </w:p>
    <w:p w:rsidR="0034443D" w:rsidRPr="00420687" w:rsidRDefault="0034443D" w:rsidP="0034443D">
      <w:pPr>
        <w:ind w:left="709" w:hanging="709"/>
        <w:contextualSpacing/>
        <w:jc w:val="both"/>
      </w:pPr>
      <w:r w:rsidRPr="00420687">
        <w:t>10</w:t>
      </w:r>
      <w:r w:rsidR="00AD7172" w:rsidRPr="00420687">
        <w:t>.9</w:t>
      </w:r>
      <w:r w:rsidRPr="00420687">
        <w:tab/>
        <w:t xml:space="preserve">Smluvní strany prohlašují, že si smlouvu před jejím podepsáním pečlivě přečetly, jejímu obsahu plně rozumí a ten odpovídá jejich pravé a vážné vůle, což stvrzují svými podpisy. </w:t>
      </w:r>
    </w:p>
    <w:p w:rsidR="0034443D" w:rsidRPr="00420687" w:rsidRDefault="006E3C22" w:rsidP="002C52FD">
      <w:pPr>
        <w:ind w:left="709" w:hanging="709"/>
        <w:contextualSpacing/>
        <w:jc w:val="both"/>
      </w:pPr>
      <w:r w:rsidRPr="00420687">
        <w:t>Příloha</w:t>
      </w:r>
    </w:p>
    <w:p w:rsidR="006E3C22" w:rsidRPr="00420687" w:rsidRDefault="006E3C22" w:rsidP="0034443D">
      <w:pPr>
        <w:ind w:left="709" w:hanging="709"/>
        <w:contextualSpacing/>
        <w:jc w:val="both"/>
      </w:pPr>
      <w:r w:rsidRPr="00420687">
        <w:t>č. 1</w:t>
      </w:r>
      <w:r w:rsidRPr="00420687">
        <w:tab/>
        <w:t>Definice Sady dílů</w:t>
      </w:r>
    </w:p>
    <w:p w:rsidR="006E3C22" w:rsidRPr="00420687" w:rsidRDefault="003E2B8C" w:rsidP="0034443D">
      <w:pPr>
        <w:ind w:left="709" w:hanging="709"/>
        <w:contextualSpacing/>
        <w:jc w:val="both"/>
      </w:pPr>
      <w:r w:rsidRPr="00420687">
        <w:t>č. 2</w:t>
      </w:r>
      <w:r w:rsidRPr="00420687">
        <w:tab/>
        <w:t xml:space="preserve">Záruční podmínky </w:t>
      </w:r>
      <w:r w:rsidR="008E5A2C" w:rsidRPr="00420687">
        <w:t>STANDARD č. 111.E6 - TATRA PHOENIX 12/36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AE1E38" w:rsidRPr="00420687" w:rsidTr="002C52FD">
        <w:trPr>
          <w:trHeight w:val="85"/>
        </w:trPr>
        <w:tc>
          <w:tcPr>
            <w:tcW w:w="4510" w:type="dxa"/>
            <w:vAlign w:val="bottom"/>
          </w:tcPr>
          <w:p w:rsidR="00AE1E38" w:rsidRPr="00420687" w:rsidRDefault="00AE1E38" w:rsidP="008E5A2C">
            <w:pPr>
              <w:tabs>
                <w:tab w:val="left" w:pos="6285"/>
                <w:tab w:val="right" w:pos="9638"/>
              </w:tabs>
              <w:spacing w:before="120"/>
            </w:pPr>
            <w:r w:rsidRPr="00420687">
              <w:t>V Plzni dne</w:t>
            </w:r>
            <w:r w:rsidR="008E5A2C" w:rsidRPr="00420687">
              <w:t xml:space="preserve"> 12. 2. 2020</w:t>
            </w:r>
          </w:p>
        </w:tc>
        <w:tc>
          <w:tcPr>
            <w:tcW w:w="4562" w:type="dxa"/>
            <w:vAlign w:val="bottom"/>
          </w:tcPr>
          <w:p w:rsidR="00AE1E38" w:rsidRPr="00420687" w:rsidRDefault="00AE1E38" w:rsidP="00125D20">
            <w:pPr>
              <w:tabs>
                <w:tab w:val="left" w:pos="6285"/>
                <w:tab w:val="right" w:pos="9638"/>
              </w:tabs>
            </w:pPr>
            <w:r w:rsidRPr="00420687">
              <w:t>V</w:t>
            </w:r>
            <w:r w:rsidR="008E5A2C" w:rsidRPr="00420687">
              <w:t xml:space="preserve"> Plzni </w:t>
            </w:r>
            <w:r w:rsidRPr="00420687">
              <w:t xml:space="preserve">dne </w:t>
            </w:r>
            <w:r w:rsidR="008E5A2C" w:rsidRPr="00420687">
              <w:t>12.</w:t>
            </w:r>
            <w:r w:rsidR="00125D20" w:rsidRPr="00420687">
              <w:t xml:space="preserve"> </w:t>
            </w:r>
            <w:r w:rsidR="008E5A2C" w:rsidRPr="00420687">
              <w:t>2.</w:t>
            </w:r>
            <w:r w:rsidR="00125D20" w:rsidRPr="00420687">
              <w:t xml:space="preserve"> </w:t>
            </w:r>
            <w:r w:rsidR="008E5A2C" w:rsidRPr="00420687">
              <w:t>2020</w:t>
            </w:r>
            <w:r w:rsidRPr="00420687">
              <w:t xml:space="preserve"> </w:t>
            </w:r>
            <w:bookmarkStart w:id="0" w:name="_GoBack"/>
            <w:bookmarkEnd w:id="0"/>
          </w:p>
        </w:tc>
      </w:tr>
      <w:tr w:rsidR="00AE1E38" w:rsidRPr="00420687" w:rsidTr="002C52FD">
        <w:trPr>
          <w:trHeight w:val="1425"/>
        </w:trPr>
        <w:tc>
          <w:tcPr>
            <w:tcW w:w="4510" w:type="dxa"/>
            <w:vAlign w:val="bottom"/>
          </w:tcPr>
          <w:p w:rsidR="00AE1E38" w:rsidRPr="00420687" w:rsidRDefault="00AE1E38" w:rsidP="00AE1E38">
            <w:pPr>
              <w:tabs>
                <w:tab w:val="left" w:pos="6285"/>
                <w:tab w:val="right" w:pos="9638"/>
              </w:tabs>
              <w:spacing w:after="120"/>
              <w:jc w:val="center"/>
            </w:pPr>
            <w:r w:rsidRPr="00420687">
              <w:t>.............................................................................</w:t>
            </w:r>
          </w:p>
        </w:tc>
        <w:tc>
          <w:tcPr>
            <w:tcW w:w="4562" w:type="dxa"/>
            <w:vAlign w:val="bottom"/>
          </w:tcPr>
          <w:p w:rsidR="00AE1E38" w:rsidRPr="00420687" w:rsidRDefault="00AE1E38" w:rsidP="00AE1E38">
            <w:pPr>
              <w:tabs>
                <w:tab w:val="left" w:pos="6285"/>
                <w:tab w:val="right" w:pos="9638"/>
              </w:tabs>
              <w:spacing w:after="120"/>
              <w:jc w:val="center"/>
            </w:pPr>
            <w:r w:rsidRPr="00420687">
              <w:t>..............................................................................</w:t>
            </w:r>
          </w:p>
        </w:tc>
      </w:tr>
      <w:tr w:rsidR="00AE1E38" w:rsidRPr="00420687" w:rsidTr="002C52FD">
        <w:tc>
          <w:tcPr>
            <w:tcW w:w="4510" w:type="dxa"/>
            <w:vAlign w:val="center"/>
          </w:tcPr>
          <w:p w:rsidR="00AE1E38" w:rsidRPr="00420687" w:rsidRDefault="00AE1E38" w:rsidP="00AE1E38">
            <w:pPr>
              <w:tabs>
                <w:tab w:val="left" w:pos="6285"/>
                <w:tab w:val="right" w:pos="9638"/>
              </w:tabs>
              <w:spacing w:after="0"/>
              <w:jc w:val="center"/>
            </w:pPr>
            <w:r w:rsidRPr="00420687">
              <w:t>Za Kupujícího</w:t>
            </w:r>
          </w:p>
        </w:tc>
        <w:tc>
          <w:tcPr>
            <w:tcW w:w="4562" w:type="dxa"/>
            <w:vAlign w:val="center"/>
          </w:tcPr>
          <w:p w:rsidR="00AE1E38" w:rsidRPr="00420687" w:rsidRDefault="00AE1E38" w:rsidP="00AE1E38">
            <w:pPr>
              <w:tabs>
                <w:tab w:val="left" w:pos="6285"/>
                <w:tab w:val="right" w:pos="9638"/>
              </w:tabs>
              <w:spacing w:after="0"/>
              <w:jc w:val="center"/>
            </w:pPr>
            <w:r w:rsidRPr="00420687">
              <w:t>Za Prodávajícího</w:t>
            </w:r>
          </w:p>
        </w:tc>
      </w:tr>
      <w:tr w:rsidR="00AE1E38" w:rsidRPr="00420687" w:rsidTr="002C52FD">
        <w:tc>
          <w:tcPr>
            <w:tcW w:w="4510" w:type="dxa"/>
            <w:vAlign w:val="center"/>
          </w:tcPr>
          <w:p w:rsidR="00AE1E38" w:rsidRPr="00420687" w:rsidRDefault="00AE1E38" w:rsidP="00AE1E38">
            <w:pPr>
              <w:tabs>
                <w:tab w:val="left" w:pos="6285"/>
                <w:tab w:val="right" w:pos="9638"/>
              </w:tabs>
              <w:spacing w:after="0"/>
              <w:jc w:val="center"/>
              <w:rPr>
                <w:b/>
              </w:rPr>
            </w:pPr>
            <w:r w:rsidRPr="00420687">
              <w:rPr>
                <w:b/>
              </w:rPr>
              <w:t>Ing. Irena Nováková</w:t>
            </w:r>
          </w:p>
        </w:tc>
        <w:tc>
          <w:tcPr>
            <w:tcW w:w="4562" w:type="dxa"/>
            <w:vAlign w:val="center"/>
          </w:tcPr>
          <w:p w:rsidR="00AE1E38" w:rsidRPr="00420687" w:rsidRDefault="008E5A2C" w:rsidP="00AE1E38">
            <w:pPr>
              <w:tabs>
                <w:tab w:val="left" w:pos="6285"/>
                <w:tab w:val="right" w:pos="9638"/>
              </w:tabs>
              <w:spacing w:after="0"/>
              <w:jc w:val="center"/>
              <w:rPr>
                <w:b/>
                <w:iCs/>
              </w:rPr>
            </w:pPr>
            <w:r w:rsidRPr="00420687">
              <w:rPr>
                <w:b/>
                <w:iCs/>
              </w:rPr>
              <w:t>Oto Růžička</w:t>
            </w:r>
          </w:p>
        </w:tc>
      </w:tr>
      <w:tr w:rsidR="00AE1E38" w:rsidRPr="00420687" w:rsidTr="002C52FD">
        <w:trPr>
          <w:trHeight w:val="106"/>
        </w:trPr>
        <w:tc>
          <w:tcPr>
            <w:tcW w:w="4510" w:type="dxa"/>
            <w:vAlign w:val="center"/>
          </w:tcPr>
          <w:p w:rsidR="00AE1E38" w:rsidRPr="00420687" w:rsidRDefault="00AE1E38" w:rsidP="00AE1E38">
            <w:pPr>
              <w:spacing w:after="0"/>
              <w:jc w:val="center"/>
            </w:pPr>
            <w:r w:rsidRPr="00420687">
              <w:t>ředitelka</w:t>
            </w:r>
          </w:p>
        </w:tc>
        <w:tc>
          <w:tcPr>
            <w:tcW w:w="4562" w:type="dxa"/>
            <w:vAlign w:val="center"/>
          </w:tcPr>
          <w:p w:rsidR="00AE1E38" w:rsidRPr="00420687" w:rsidRDefault="00420687" w:rsidP="00AE1E38">
            <w:pPr>
              <w:tabs>
                <w:tab w:val="left" w:pos="6285"/>
                <w:tab w:val="right" w:pos="9638"/>
              </w:tabs>
              <w:spacing w:after="0"/>
              <w:jc w:val="center"/>
              <w:rPr>
                <w:iCs/>
              </w:rPr>
            </w:pPr>
            <w:r w:rsidRPr="00420687">
              <w:rPr>
                <w:iCs/>
              </w:rPr>
              <w:t>j</w:t>
            </w:r>
            <w:r w:rsidR="008E5A2C" w:rsidRPr="00420687">
              <w:rPr>
                <w:iCs/>
              </w:rPr>
              <w:t>ednatel</w:t>
            </w:r>
          </w:p>
        </w:tc>
      </w:tr>
      <w:tr w:rsidR="00AE1E38" w:rsidRPr="00420687" w:rsidTr="002C52FD">
        <w:tc>
          <w:tcPr>
            <w:tcW w:w="4510" w:type="dxa"/>
            <w:vAlign w:val="center"/>
          </w:tcPr>
          <w:p w:rsidR="00AE1E38" w:rsidRPr="00420687" w:rsidRDefault="00AE1E38" w:rsidP="00AE1E38">
            <w:pPr>
              <w:tabs>
                <w:tab w:val="left" w:pos="6285"/>
                <w:tab w:val="right" w:pos="9638"/>
              </w:tabs>
              <w:spacing w:after="0"/>
              <w:jc w:val="center"/>
            </w:pPr>
            <w:r w:rsidRPr="00420687">
              <w:rPr>
                <w:color w:val="000000"/>
              </w:rPr>
              <w:t>Střední průmyslová škola dopravní, Plzeň, Karlovarská 99</w:t>
            </w:r>
          </w:p>
        </w:tc>
        <w:tc>
          <w:tcPr>
            <w:tcW w:w="4562" w:type="dxa"/>
            <w:vAlign w:val="center"/>
          </w:tcPr>
          <w:p w:rsidR="00AE1E38" w:rsidRPr="00420687" w:rsidRDefault="00AE1E38" w:rsidP="008E5A2C">
            <w:pPr>
              <w:spacing w:after="0"/>
              <w:jc w:val="center"/>
              <w:rPr>
                <w:iCs/>
              </w:rPr>
            </w:pPr>
            <w:r w:rsidRPr="00420687">
              <w:rPr>
                <w:iCs/>
              </w:rPr>
              <w:t>N</w:t>
            </w:r>
            <w:r w:rsidR="008E5A2C" w:rsidRPr="00420687">
              <w:rPr>
                <w:iCs/>
              </w:rPr>
              <w:t>EVA GROUP s.r.o.</w:t>
            </w:r>
          </w:p>
        </w:tc>
      </w:tr>
    </w:tbl>
    <w:p w:rsidR="002C52FD" w:rsidRPr="00420687" w:rsidRDefault="002C52FD" w:rsidP="002C52FD">
      <w:pPr>
        <w:tabs>
          <w:tab w:val="left" w:pos="5103"/>
        </w:tabs>
        <w:contextualSpacing/>
        <w:jc w:val="both"/>
      </w:pPr>
    </w:p>
    <w:sectPr w:rsidR="002C52FD" w:rsidRPr="00420687" w:rsidSect="002C52FD">
      <w:footerReference w:type="default" r:id="rId9"/>
      <w:pgSz w:w="11906" w:h="16838"/>
      <w:pgMar w:top="1417" w:right="1417" w:bottom="1417" w:left="1417" w:header="70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73" w:rsidRDefault="00743B73" w:rsidP="007F1FFA">
      <w:pPr>
        <w:spacing w:after="0" w:line="240" w:lineRule="auto"/>
      </w:pPr>
      <w:r>
        <w:separator/>
      </w:r>
    </w:p>
  </w:endnote>
  <w:endnote w:type="continuationSeparator" w:id="0">
    <w:p w:rsidR="00743B73" w:rsidRDefault="00743B73" w:rsidP="007F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701534"/>
      <w:docPartObj>
        <w:docPartGallery w:val="Page Numbers (Bottom of Page)"/>
        <w:docPartUnique/>
      </w:docPartObj>
    </w:sdtPr>
    <w:sdtEndPr/>
    <w:sdtContent>
      <w:p w:rsidR="007E5E28" w:rsidRDefault="007E5E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032">
          <w:rPr>
            <w:noProof/>
          </w:rPr>
          <w:t>6</w:t>
        </w:r>
        <w:r>
          <w:fldChar w:fldCharType="end"/>
        </w:r>
      </w:p>
    </w:sdtContent>
  </w:sdt>
  <w:p w:rsidR="007E5E28" w:rsidRDefault="007E5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73" w:rsidRDefault="00743B73" w:rsidP="007F1FFA">
      <w:pPr>
        <w:spacing w:after="0" w:line="240" w:lineRule="auto"/>
      </w:pPr>
      <w:r>
        <w:separator/>
      </w:r>
    </w:p>
  </w:footnote>
  <w:footnote w:type="continuationSeparator" w:id="0">
    <w:p w:rsidR="00743B73" w:rsidRDefault="00743B73" w:rsidP="007F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3FD6506"/>
    <w:multiLevelType w:val="hybridMultilevel"/>
    <w:tmpl w:val="F168C1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815FDF"/>
    <w:multiLevelType w:val="multilevel"/>
    <w:tmpl w:val="88220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F0"/>
    <w:rsid w:val="000558BE"/>
    <w:rsid w:val="00074117"/>
    <w:rsid w:val="000C31A7"/>
    <w:rsid w:val="000E7EEF"/>
    <w:rsid w:val="00120F59"/>
    <w:rsid w:val="00125D20"/>
    <w:rsid w:val="00140894"/>
    <w:rsid w:val="00176311"/>
    <w:rsid w:val="00182174"/>
    <w:rsid w:val="0019574B"/>
    <w:rsid w:val="001A1E47"/>
    <w:rsid w:val="001F3F8C"/>
    <w:rsid w:val="00206801"/>
    <w:rsid w:val="00233239"/>
    <w:rsid w:val="00240B53"/>
    <w:rsid w:val="002A2B54"/>
    <w:rsid w:val="002B19D6"/>
    <w:rsid w:val="002C3E51"/>
    <w:rsid w:val="002C52FD"/>
    <w:rsid w:val="002D4859"/>
    <w:rsid w:val="00321B0D"/>
    <w:rsid w:val="003337DD"/>
    <w:rsid w:val="0034443D"/>
    <w:rsid w:val="00356304"/>
    <w:rsid w:val="00362F66"/>
    <w:rsid w:val="003E2B8C"/>
    <w:rsid w:val="00414D47"/>
    <w:rsid w:val="00420687"/>
    <w:rsid w:val="004227CC"/>
    <w:rsid w:val="00444151"/>
    <w:rsid w:val="00474B4B"/>
    <w:rsid w:val="00497FBF"/>
    <w:rsid w:val="004B5E79"/>
    <w:rsid w:val="00585BBA"/>
    <w:rsid w:val="005C15BA"/>
    <w:rsid w:val="00607E43"/>
    <w:rsid w:val="006306DA"/>
    <w:rsid w:val="00633F6D"/>
    <w:rsid w:val="00645240"/>
    <w:rsid w:val="006B0D0B"/>
    <w:rsid w:val="006D28D1"/>
    <w:rsid w:val="006E3C22"/>
    <w:rsid w:val="006F255B"/>
    <w:rsid w:val="006F2EDA"/>
    <w:rsid w:val="006F5C2D"/>
    <w:rsid w:val="007014AD"/>
    <w:rsid w:val="00726C01"/>
    <w:rsid w:val="007302BB"/>
    <w:rsid w:val="00743B73"/>
    <w:rsid w:val="00782E86"/>
    <w:rsid w:val="007D0EC8"/>
    <w:rsid w:val="007E5E28"/>
    <w:rsid w:val="007F1FFA"/>
    <w:rsid w:val="00803032"/>
    <w:rsid w:val="00820A66"/>
    <w:rsid w:val="00853251"/>
    <w:rsid w:val="008E5A2C"/>
    <w:rsid w:val="008F7437"/>
    <w:rsid w:val="009450F0"/>
    <w:rsid w:val="00952C01"/>
    <w:rsid w:val="009906D7"/>
    <w:rsid w:val="009A25A7"/>
    <w:rsid w:val="009B2E05"/>
    <w:rsid w:val="009D43FE"/>
    <w:rsid w:val="00A20C5B"/>
    <w:rsid w:val="00A523D4"/>
    <w:rsid w:val="00A60A44"/>
    <w:rsid w:val="00A7130F"/>
    <w:rsid w:val="00AD7172"/>
    <w:rsid w:val="00AE1E38"/>
    <w:rsid w:val="00B15794"/>
    <w:rsid w:val="00B21EC9"/>
    <w:rsid w:val="00B745C0"/>
    <w:rsid w:val="00BE0BBB"/>
    <w:rsid w:val="00C21589"/>
    <w:rsid w:val="00C55311"/>
    <w:rsid w:val="00C83710"/>
    <w:rsid w:val="00CB53F1"/>
    <w:rsid w:val="00CB7AA9"/>
    <w:rsid w:val="00D0008B"/>
    <w:rsid w:val="00D258DE"/>
    <w:rsid w:val="00D60D13"/>
    <w:rsid w:val="00D64FAF"/>
    <w:rsid w:val="00D675CB"/>
    <w:rsid w:val="00E0626D"/>
    <w:rsid w:val="00E063D2"/>
    <w:rsid w:val="00E11654"/>
    <w:rsid w:val="00E14C1F"/>
    <w:rsid w:val="00E64789"/>
    <w:rsid w:val="00EC2DA8"/>
    <w:rsid w:val="00EC2F6C"/>
    <w:rsid w:val="00EE55F2"/>
    <w:rsid w:val="00F1083F"/>
    <w:rsid w:val="00F606D3"/>
    <w:rsid w:val="00FA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2A225E"/>
  <w15:docId w15:val="{B60FC6C2-6F94-4565-A8D4-FFC25EE2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19574B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C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FFA"/>
  </w:style>
  <w:style w:type="paragraph" w:styleId="Zpat">
    <w:name w:val="footer"/>
    <w:basedOn w:val="Normln"/>
    <w:link w:val="ZpatChar"/>
    <w:uiPriority w:val="99"/>
    <w:unhideWhenUsed/>
    <w:rsid w:val="007F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FFA"/>
  </w:style>
  <w:style w:type="paragraph" w:styleId="Textbubliny">
    <w:name w:val="Balloon Text"/>
    <w:basedOn w:val="Normln"/>
    <w:link w:val="TextbublinyChar"/>
    <w:uiPriority w:val="99"/>
    <w:semiHidden/>
    <w:unhideWhenUsed/>
    <w:rsid w:val="007F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FF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19574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locked/>
    <w:rsid w:val="0034443D"/>
    <w:rPr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34443D"/>
    <w:pPr>
      <w:shd w:val="clear" w:color="auto" w:fill="FFFFFF"/>
      <w:spacing w:after="0" w:line="240" w:lineRule="atLeast"/>
      <w:ind w:hanging="700"/>
    </w:pPr>
    <w:rPr>
      <w:sz w:val="21"/>
      <w:szCs w:val="21"/>
      <w:shd w:val="clear" w:color="auto" w:fill="FFFFFF"/>
    </w:rPr>
  </w:style>
  <w:style w:type="character" w:styleId="Hypertextovodkaz">
    <w:name w:val="Hyperlink"/>
    <w:uiPriority w:val="99"/>
    <w:semiHidden/>
    <w:unhideWhenUsed/>
    <w:rsid w:val="00AD7172"/>
    <w:rPr>
      <w:color w:val="0563C1"/>
      <w:u w:val="single"/>
    </w:rPr>
  </w:style>
  <w:style w:type="paragraph" w:styleId="Bezmezer">
    <w:name w:val="No Spacing"/>
    <w:uiPriority w:val="99"/>
    <w:qFormat/>
    <w:rsid w:val="00EC2DA8"/>
    <w:pPr>
      <w:spacing w:after="0" w:line="240" w:lineRule="auto"/>
    </w:pPr>
    <w:rPr>
      <w:rFonts w:ascii="Calibri" w:eastAsia="Calibri" w:hAnsi="Calibri" w:cs="Calibri"/>
    </w:rPr>
  </w:style>
  <w:style w:type="character" w:styleId="Siln">
    <w:name w:val="Strong"/>
    <w:basedOn w:val="Standardnpsmoodstavce"/>
    <w:uiPriority w:val="22"/>
    <w:qFormat/>
    <w:rsid w:val="00240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sezna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3FC8-9BDF-43F2-81BD-A6784A9A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2199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TATRA, a. s.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Vojtek Libor</dc:creator>
  <cp:lastModifiedBy>Jana Slámová</cp:lastModifiedBy>
  <cp:revision>2</cp:revision>
  <cp:lastPrinted>2020-02-11T14:09:00Z</cp:lastPrinted>
  <dcterms:created xsi:type="dcterms:W3CDTF">2020-02-18T15:53:00Z</dcterms:created>
  <dcterms:modified xsi:type="dcterms:W3CDTF">2020-02-18T15:53:00Z</dcterms:modified>
</cp:coreProperties>
</file>