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719"/>
        <w:gridCol w:w="3693"/>
        <w:gridCol w:w="1269"/>
        <w:gridCol w:w="974"/>
      </w:tblGrid>
      <w:tr w:rsidR="00244DC0" w14:paraId="0D6EA11F" w14:textId="77777777" w:rsidTr="00C70530">
        <w:trPr>
          <w:cantSplit/>
          <w:trHeight w:hRule="exact" w:val="1261"/>
        </w:trPr>
        <w:tc>
          <w:tcPr>
            <w:tcW w:w="7732" w:type="dxa"/>
            <w:gridSpan w:val="3"/>
            <w:noWrap/>
            <w:vAlign w:val="bottom"/>
          </w:tcPr>
          <w:p w14:paraId="772C755A" w14:textId="77777777" w:rsidR="00244DC0" w:rsidRPr="0066037F" w:rsidRDefault="00244DC0" w:rsidP="00C70530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66037F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2243" w:type="dxa"/>
            <w:gridSpan w:val="2"/>
            <w:vMerge w:val="restart"/>
            <w:noWrap/>
          </w:tcPr>
          <w:p w14:paraId="7F9EE2C5" w14:textId="77777777" w:rsidR="00244DC0" w:rsidRDefault="00244DC0" w:rsidP="00C70530">
            <w:r>
              <w:rPr>
                <w:noProof/>
              </w:rPr>
              <w:drawing>
                <wp:inline distT="0" distB="0" distL="0" distR="0" wp14:anchorId="4A6ABF4D" wp14:editId="7C39CB74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DC0" w14:paraId="67A8765F" w14:textId="77777777" w:rsidTr="00C70530">
        <w:trPr>
          <w:cantSplit/>
          <w:trHeight w:hRule="exact" w:val="541"/>
        </w:trPr>
        <w:tc>
          <w:tcPr>
            <w:tcW w:w="7732" w:type="dxa"/>
            <w:gridSpan w:val="3"/>
          </w:tcPr>
          <w:p w14:paraId="6827D7FC" w14:textId="77777777" w:rsidR="00244DC0" w:rsidRDefault="00244DC0" w:rsidP="00C70530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03F2337" wp14:editId="2136DB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BFD22B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5B95C173" w14:textId="77777777" w:rsidR="00244DC0" w:rsidRDefault="00244DC0" w:rsidP="00C70530"/>
        </w:tc>
        <w:tc>
          <w:tcPr>
            <w:tcW w:w="2243" w:type="dxa"/>
            <w:gridSpan w:val="2"/>
            <w:vMerge/>
          </w:tcPr>
          <w:p w14:paraId="1B2B4FFE" w14:textId="77777777" w:rsidR="00244DC0" w:rsidRDefault="00244DC0" w:rsidP="00C70530"/>
        </w:tc>
      </w:tr>
      <w:tr w:rsidR="00244DC0" w14:paraId="1F804C9B" w14:textId="77777777" w:rsidTr="00C70530">
        <w:trPr>
          <w:cantSplit/>
          <w:trHeight w:val="719"/>
        </w:trPr>
        <w:tc>
          <w:tcPr>
            <w:tcW w:w="4039" w:type="dxa"/>
            <w:gridSpan w:val="2"/>
            <w:vMerge w:val="restart"/>
            <w:noWrap/>
          </w:tcPr>
          <w:p w14:paraId="44D21612" w14:textId="77777777" w:rsidR="00244DC0" w:rsidRDefault="00244DC0" w:rsidP="00C70530"/>
        </w:tc>
        <w:tc>
          <w:tcPr>
            <w:tcW w:w="4962" w:type="dxa"/>
            <w:gridSpan w:val="2"/>
            <w:vAlign w:val="center"/>
          </w:tcPr>
          <w:p w14:paraId="4AA5782C" w14:textId="77777777" w:rsidR="00244DC0" w:rsidRPr="001C1ED8" w:rsidRDefault="00244DC0" w:rsidP="00C70530">
            <w:pPr>
              <w:pStyle w:val="Nadpis1"/>
              <w:jc w:val="center"/>
              <w:rPr>
                <w:b w:val="0"/>
                <w:bCs w:val="0"/>
                <w:sz w:val="56"/>
                <w:szCs w:val="56"/>
              </w:rPr>
            </w:pPr>
          </w:p>
        </w:tc>
        <w:tc>
          <w:tcPr>
            <w:tcW w:w="974" w:type="dxa"/>
            <w:vMerge w:val="restart"/>
          </w:tcPr>
          <w:p w14:paraId="48FFFC56" w14:textId="77777777" w:rsidR="00244DC0" w:rsidRPr="001C1ED8" w:rsidRDefault="00244DC0" w:rsidP="00C70530">
            <w:pPr>
              <w:rPr>
                <w:sz w:val="56"/>
                <w:szCs w:val="56"/>
              </w:rPr>
            </w:pPr>
          </w:p>
        </w:tc>
      </w:tr>
      <w:tr w:rsidR="00244DC0" w14:paraId="521EF642" w14:textId="77777777" w:rsidTr="00C70530">
        <w:trPr>
          <w:cantSplit/>
          <w:trHeight w:val="360"/>
        </w:trPr>
        <w:tc>
          <w:tcPr>
            <w:tcW w:w="4039" w:type="dxa"/>
            <w:gridSpan w:val="2"/>
            <w:vMerge/>
          </w:tcPr>
          <w:p w14:paraId="1807963A" w14:textId="77777777" w:rsidR="00244DC0" w:rsidRDefault="00244DC0" w:rsidP="00C70530"/>
        </w:tc>
        <w:tc>
          <w:tcPr>
            <w:tcW w:w="4962" w:type="dxa"/>
            <w:gridSpan w:val="2"/>
            <w:vAlign w:val="center"/>
          </w:tcPr>
          <w:p w14:paraId="761AE038" w14:textId="77777777" w:rsidR="00244DC0" w:rsidRPr="002B28E6" w:rsidRDefault="00244DC0" w:rsidP="00C70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0018CA8B" w14:textId="77777777" w:rsidR="00244DC0" w:rsidRDefault="00244DC0" w:rsidP="00C70530"/>
        </w:tc>
      </w:tr>
      <w:tr w:rsidR="00244DC0" w14:paraId="3ABBDF2E" w14:textId="77777777" w:rsidTr="00C70530">
        <w:trPr>
          <w:trHeight w:val="1039"/>
        </w:trPr>
        <w:tc>
          <w:tcPr>
            <w:tcW w:w="9975" w:type="dxa"/>
            <w:gridSpan w:val="5"/>
            <w:vAlign w:val="bottom"/>
          </w:tcPr>
          <w:p w14:paraId="08DA31ED" w14:textId="77777777" w:rsidR="00244DC0" w:rsidRPr="0066037F" w:rsidRDefault="00244DC0" w:rsidP="00C70530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SMLOUVA o poskytnutí účelové dotace z rozpočtu MĚSTSKÉ ČÁSTI </w:t>
            </w:r>
          </w:p>
          <w:p w14:paraId="35B9FA16" w14:textId="77777777" w:rsidR="00244DC0" w:rsidRDefault="00244DC0" w:rsidP="00C70530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244DC0" w14:paraId="11CF4E16" w14:textId="77777777" w:rsidTr="00C70530">
        <w:trPr>
          <w:trHeight w:val="345"/>
        </w:trPr>
        <w:tc>
          <w:tcPr>
            <w:tcW w:w="9975" w:type="dxa"/>
            <w:gridSpan w:val="5"/>
            <w:vAlign w:val="center"/>
          </w:tcPr>
          <w:p w14:paraId="546DC299" w14:textId="77777777" w:rsidR="00244DC0" w:rsidRDefault="00244DC0" w:rsidP="00C7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§ 1746 odst. 2 zákona č. 89/2012 Sb., občanský zákoník </w:t>
            </w:r>
          </w:p>
        </w:tc>
      </w:tr>
      <w:tr w:rsidR="00244DC0" w14:paraId="0CEB8E32" w14:textId="77777777" w:rsidTr="00C70530">
        <w:trPr>
          <w:trHeight w:val="477"/>
        </w:trPr>
        <w:tc>
          <w:tcPr>
            <w:tcW w:w="9975" w:type="dxa"/>
            <w:gridSpan w:val="5"/>
            <w:vAlign w:val="bottom"/>
          </w:tcPr>
          <w:p w14:paraId="58F3680D" w14:textId="77777777" w:rsidR="00244DC0" w:rsidRDefault="00244DC0" w:rsidP="00C7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244DC0" w14:paraId="7189593A" w14:textId="77777777" w:rsidTr="00C70530">
        <w:trPr>
          <w:trHeight w:val="345"/>
        </w:trPr>
        <w:tc>
          <w:tcPr>
            <w:tcW w:w="9975" w:type="dxa"/>
            <w:gridSpan w:val="5"/>
            <w:vAlign w:val="bottom"/>
          </w:tcPr>
          <w:p w14:paraId="43BAD4FA" w14:textId="77777777" w:rsidR="00244DC0" w:rsidRDefault="00244DC0" w:rsidP="00C70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244DC0" w14:paraId="1C0705F9" w14:textId="77777777" w:rsidTr="00C70530">
        <w:trPr>
          <w:trHeight w:val="316"/>
        </w:trPr>
        <w:tc>
          <w:tcPr>
            <w:tcW w:w="9975" w:type="dxa"/>
            <w:gridSpan w:val="5"/>
          </w:tcPr>
          <w:p w14:paraId="3D31012E" w14:textId="77777777" w:rsidR="00244DC0" w:rsidRDefault="00244DC0" w:rsidP="00C70530"/>
        </w:tc>
      </w:tr>
      <w:tr w:rsidR="00244DC0" w14:paraId="0B33B2F6" w14:textId="77777777" w:rsidTr="00C70530">
        <w:trPr>
          <w:trHeight w:val="489"/>
        </w:trPr>
        <w:tc>
          <w:tcPr>
            <w:tcW w:w="2320" w:type="dxa"/>
          </w:tcPr>
          <w:p w14:paraId="547CE724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655" w:type="dxa"/>
            <w:gridSpan w:val="4"/>
          </w:tcPr>
          <w:p w14:paraId="56BC2712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244DC0" w14:paraId="63D01C88" w14:textId="77777777" w:rsidTr="00C70530">
        <w:trPr>
          <w:trHeight w:val="357"/>
        </w:trPr>
        <w:tc>
          <w:tcPr>
            <w:tcW w:w="2320" w:type="dxa"/>
          </w:tcPr>
          <w:p w14:paraId="59653D8A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655" w:type="dxa"/>
            <w:gridSpan w:val="4"/>
          </w:tcPr>
          <w:p w14:paraId="1BF6BD7D" w14:textId="7BFBF39D" w:rsidR="00244DC0" w:rsidRDefault="00244DC0" w:rsidP="00CA0DE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382/69, Město, 746 </w:t>
            </w:r>
            <w:r w:rsidR="00CA0DE5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244DC0" w14:paraId="7C7B779A" w14:textId="77777777" w:rsidTr="00C70530">
        <w:trPr>
          <w:trHeight w:val="357"/>
        </w:trPr>
        <w:tc>
          <w:tcPr>
            <w:tcW w:w="2320" w:type="dxa"/>
          </w:tcPr>
          <w:p w14:paraId="41E3691E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655" w:type="dxa"/>
            <w:gridSpan w:val="4"/>
          </w:tcPr>
          <w:p w14:paraId="4C448A53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244DC0" w14:paraId="1A8636DD" w14:textId="77777777" w:rsidTr="00C70530">
        <w:trPr>
          <w:trHeight w:val="357"/>
        </w:trPr>
        <w:tc>
          <w:tcPr>
            <w:tcW w:w="2320" w:type="dxa"/>
          </w:tcPr>
          <w:p w14:paraId="27A84CE7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655" w:type="dxa"/>
            <w:gridSpan w:val="4"/>
          </w:tcPr>
          <w:p w14:paraId="7E9AFA6E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244DC0" w14:paraId="2AC6235D" w14:textId="77777777" w:rsidTr="00C70530">
        <w:trPr>
          <w:trHeight w:val="357"/>
        </w:trPr>
        <w:tc>
          <w:tcPr>
            <w:tcW w:w="2320" w:type="dxa"/>
          </w:tcPr>
          <w:p w14:paraId="29F37B27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655" w:type="dxa"/>
            <w:gridSpan w:val="4"/>
          </w:tcPr>
          <w:p w14:paraId="7CC849DA" w14:textId="0BBDBCEF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44DC0" w14:paraId="5E55C433" w14:textId="77777777" w:rsidTr="00C70530">
        <w:trPr>
          <w:trHeight w:val="357"/>
        </w:trPr>
        <w:tc>
          <w:tcPr>
            <w:tcW w:w="2320" w:type="dxa"/>
          </w:tcPr>
          <w:p w14:paraId="0E47614F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655" w:type="dxa"/>
            <w:gridSpan w:val="4"/>
          </w:tcPr>
          <w:p w14:paraId="636CC1DA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244DC0" w14:paraId="76E6C0BF" w14:textId="77777777" w:rsidTr="00C70530">
        <w:trPr>
          <w:trHeight w:val="847"/>
        </w:trPr>
        <w:tc>
          <w:tcPr>
            <w:tcW w:w="2320" w:type="dxa"/>
          </w:tcPr>
          <w:p w14:paraId="1B54C9F9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655" w:type="dxa"/>
            <w:gridSpan w:val="4"/>
          </w:tcPr>
          <w:p w14:paraId="1ED50916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 </w:t>
            </w:r>
          </w:p>
          <w:p w14:paraId="6DCA4A3C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Slezská 4/11, Malé Hoštice, 747 05 Opava </w:t>
            </w:r>
          </w:p>
          <w:p w14:paraId="048ED750" w14:textId="0905C9B6" w:rsidR="00244DC0" w:rsidRPr="007E0CCB" w:rsidRDefault="00244DC0" w:rsidP="00106E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zastoupenou, starostkou městské části </w:t>
            </w:r>
          </w:p>
        </w:tc>
      </w:tr>
      <w:tr w:rsidR="00244DC0" w14:paraId="5789A7D6" w14:textId="77777777" w:rsidTr="00C70530">
        <w:trPr>
          <w:trHeight w:val="357"/>
        </w:trPr>
        <w:tc>
          <w:tcPr>
            <w:tcW w:w="2320" w:type="dxa"/>
          </w:tcPr>
          <w:p w14:paraId="0D7D516E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655" w:type="dxa"/>
            <w:gridSpan w:val="4"/>
          </w:tcPr>
          <w:p w14:paraId="1BA9AE1F" w14:textId="3741E343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44DC0" w14:paraId="5604A138" w14:textId="77777777" w:rsidTr="00C70530">
        <w:trPr>
          <w:trHeight w:hRule="exact" w:val="220"/>
        </w:trPr>
        <w:tc>
          <w:tcPr>
            <w:tcW w:w="2320" w:type="dxa"/>
          </w:tcPr>
          <w:p w14:paraId="56F8AF02" w14:textId="77777777" w:rsidR="00244DC0" w:rsidRDefault="00244DC0" w:rsidP="00C70530"/>
        </w:tc>
        <w:tc>
          <w:tcPr>
            <w:tcW w:w="7655" w:type="dxa"/>
            <w:gridSpan w:val="4"/>
          </w:tcPr>
          <w:p w14:paraId="1D5EB9A5" w14:textId="77777777" w:rsidR="00244DC0" w:rsidRPr="007E0CCB" w:rsidRDefault="00244DC0" w:rsidP="00C7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DC0" w14:paraId="2BCF73A3" w14:textId="77777777" w:rsidTr="00C70530">
        <w:trPr>
          <w:trHeight w:val="357"/>
        </w:trPr>
        <w:tc>
          <w:tcPr>
            <w:tcW w:w="9975" w:type="dxa"/>
            <w:gridSpan w:val="5"/>
          </w:tcPr>
          <w:p w14:paraId="0AA9B69E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244DC0" w14:paraId="7042B78F" w14:textId="77777777" w:rsidTr="00C70530">
        <w:trPr>
          <w:trHeight w:val="357"/>
        </w:trPr>
        <w:tc>
          <w:tcPr>
            <w:tcW w:w="2320" w:type="dxa"/>
          </w:tcPr>
          <w:p w14:paraId="5093FC72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gridSpan w:val="4"/>
          </w:tcPr>
          <w:p w14:paraId="58487F26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44DC0" w14:paraId="3D33CD35" w14:textId="77777777" w:rsidTr="00C70530">
        <w:trPr>
          <w:trHeight w:val="357"/>
        </w:trPr>
        <w:tc>
          <w:tcPr>
            <w:tcW w:w="2320" w:type="dxa"/>
          </w:tcPr>
          <w:p w14:paraId="4A88D239" w14:textId="77777777" w:rsidR="00244DC0" w:rsidRPr="006F0294" w:rsidRDefault="00244DC0" w:rsidP="00C705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                              </w:t>
            </w:r>
          </w:p>
        </w:tc>
        <w:tc>
          <w:tcPr>
            <w:tcW w:w="7655" w:type="dxa"/>
            <w:gridSpan w:val="4"/>
          </w:tcPr>
          <w:p w14:paraId="7DF5B67C" w14:textId="77777777" w:rsidR="00244DC0" w:rsidRDefault="00244DC0" w:rsidP="00C70530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Základní škola Velké Hoštice, okres Opava, příspěvková organizace</w:t>
            </w:r>
          </w:p>
          <w:p w14:paraId="5666B4D2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44DC0" w14:paraId="0F7D10B3" w14:textId="77777777" w:rsidTr="00C70530">
        <w:trPr>
          <w:trHeight w:val="357"/>
        </w:trPr>
        <w:tc>
          <w:tcPr>
            <w:tcW w:w="2320" w:type="dxa"/>
          </w:tcPr>
          <w:p w14:paraId="075439D5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655" w:type="dxa"/>
            <w:gridSpan w:val="4"/>
          </w:tcPr>
          <w:p w14:paraId="453B501C" w14:textId="77777777" w:rsidR="00244DC0" w:rsidRPr="007D7157" w:rsidRDefault="00244DC0" w:rsidP="00C70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Zámecká 207, 747 31 Velké Hoštice</w:t>
            </w:r>
          </w:p>
        </w:tc>
      </w:tr>
      <w:tr w:rsidR="00244DC0" w14:paraId="29F6D10B" w14:textId="77777777" w:rsidTr="00C70530">
        <w:trPr>
          <w:trHeight w:val="357"/>
        </w:trPr>
        <w:tc>
          <w:tcPr>
            <w:tcW w:w="2320" w:type="dxa"/>
          </w:tcPr>
          <w:p w14:paraId="4BF6644A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655" w:type="dxa"/>
            <w:gridSpan w:val="4"/>
          </w:tcPr>
          <w:p w14:paraId="46724CBD" w14:textId="77777777" w:rsidR="00244DC0" w:rsidRPr="007D7157" w:rsidRDefault="00244DC0" w:rsidP="00C70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70959528</w:t>
            </w:r>
          </w:p>
        </w:tc>
      </w:tr>
      <w:tr w:rsidR="00244DC0" w14:paraId="2E1EDD4B" w14:textId="77777777" w:rsidTr="00C70530">
        <w:trPr>
          <w:trHeight w:val="357"/>
        </w:trPr>
        <w:tc>
          <w:tcPr>
            <w:tcW w:w="2320" w:type="dxa"/>
          </w:tcPr>
          <w:p w14:paraId="7CBE596D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655" w:type="dxa"/>
            <w:gridSpan w:val="4"/>
          </w:tcPr>
          <w:p w14:paraId="2D79A0E9" w14:textId="75B85016" w:rsidR="00244DC0" w:rsidRPr="007B0338" w:rsidRDefault="00244DC0" w:rsidP="00C70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DC0" w14:paraId="44DE7EA2" w14:textId="77777777" w:rsidTr="00C70530">
        <w:trPr>
          <w:trHeight w:val="357"/>
        </w:trPr>
        <w:tc>
          <w:tcPr>
            <w:tcW w:w="2320" w:type="dxa"/>
          </w:tcPr>
          <w:p w14:paraId="711C4722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655" w:type="dxa"/>
            <w:gridSpan w:val="4"/>
          </w:tcPr>
          <w:p w14:paraId="64E1C8BA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Komerční banka, a.s., pobočka Opava</w:t>
            </w:r>
          </w:p>
        </w:tc>
      </w:tr>
      <w:tr w:rsidR="00244DC0" w14:paraId="266C59BB" w14:textId="77777777" w:rsidTr="00C70530">
        <w:trPr>
          <w:trHeight w:val="357"/>
        </w:trPr>
        <w:tc>
          <w:tcPr>
            <w:tcW w:w="2320" w:type="dxa"/>
          </w:tcPr>
          <w:p w14:paraId="26ACD862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655" w:type="dxa"/>
            <w:gridSpan w:val="4"/>
          </w:tcPr>
          <w:p w14:paraId="4FF5DEAC" w14:textId="3AE55886" w:rsidR="00244DC0" w:rsidRPr="007D7157" w:rsidRDefault="00244DC0" w:rsidP="00C70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ředitelkou</w:t>
            </w:r>
          </w:p>
        </w:tc>
      </w:tr>
      <w:tr w:rsidR="00244DC0" w14:paraId="5DD997BC" w14:textId="77777777" w:rsidTr="00C70530">
        <w:trPr>
          <w:trHeight w:val="357"/>
        </w:trPr>
        <w:tc>
          <w:tcPr>
            <w:tcW w:w="2320" w:type="dxa"/>
          </w:tcPr>
          <w:p w14:paraId="25BB2E55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655" w:type="dxa"/>
            <w:gridSpan w:val="4"/>
          </w:tcPr>
          <w:p w14:paraId="18ED2CBA" w14:textId="10D4553C" w:rsidR="00244DC0" w:rsidRPr="007D7157" w:rsidRDefault="00244DC0" w:rsidP="0010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DC0" w14:paraId="18A6BE6F" w14:textId="77777777" w:rsidTr="00C70530">
        <w:trPr>
          <w:trHeight w:hRule="exact" w:val="220"/>
        </w:trPr>
        <w:tc>
          <w:tcPr>
            <w:tcW w:w="2320" w:type="dxa"/>
          </w:tcPr>
          <w:p w14:paraId="7F9F0207" w14:textId="77777777" w:rsidR="00244DC0" w:rsidRDefault="00244DC0" w:rsidP="00C70530"/>
        </w:tc>
        <w:tc>
          <w:tcPr>
            <w:tcW w:w="7655" w:type="dxa"/>
            <w:gridSpan w:val="4"/>
          </w:tcPr>
          <w:p w14:paraId="121DB49E" w14:textId="77777777" w:rsidR="00244DC0" w:rsidRDefault="00244DC0" w:rsidP="00C70530"/>
        </w:tc>
      </w:tr>
      <w:tr w:rsidR="00244DC0" w14:paraId="0796EE28" w14:textId="77777777" w:rsidTr="00C70530">
        <w:trPr>
          <w:trHeight w:val="357"/>
        </w:trPr>
        <w:tc>
          <w:tcPr>
            <w:tcW w:w="9975" w:type="dxa"/>
            <w:gridSpan w:val="5"/>
          </w:tcPr>
          <w:p w14:paraId="4FE4622B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443B228A" w14:textId="77777777" w:rsidR="00244DC0" w:rsidRDefault="00244DC0" w:rsidP="00244DC0"/>
    <w:p w14:paraId="2BA8CFD7" w14:textId="77777777" w:rsidR="00244DC0" w:rsidRDefault="00244DC0" w:rsidP="00244DC0"/>
    <w:p w14:paraId="063A3E6E" w14:textId="77777777" w:rsidR="00244DC0" w:rsidRDefault="00244DC0" w:rsidP="00244DC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0379B4D7" w14:textId="77777777" w:rsidR="00244DC0" w:rsidRDefault="00244DC0" w:rsidP="00244DC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6F1B5C64" w14:textId="77777777" w:rsidR="00244DC0" w:rsidRPr="00E779A8" w:rsidRDefault="00244DC0" w:rsidP="00244D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07B462B1" w14:textId="77777777" w:rsidR="00244DC0" w:rsidRDefault="00244DC0" w:rsidP="00244D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ve smyslu zákona </w:t>
      </w:r>
      <w:r>
        <w:rPr>
          <w:rFonts w:ascii="Arial" w:hAnsi="Arial" w:cs="Arial"/>
          <w:sz w:val="20"/>
          <w:szCs w:val="20"/>
        </w:rPr>
        <w:br/>
        <w:t xml:space="preserve">č. 320/2001 Sb., o finanční kontrole ve veřejné správě a o změně některých zákonů (zákon </w:t>
      </w:r>
      <w:r>
        <w:rPr>
          <w:rFonts w:ascii="Arial" w:hAnsi="Arial" w:cs="Arial"/>
          <w:sz w:val="20"/>
          <w:szCs w:val="20"/>
        </w:rPr>
        <w:br/>
        <w:t>o finanční kontrole), se všemi právními důsledky s tím spojenými.</w:t>
      </w:r>
    </w:p>
    <w:p w14:paraId="2E3AC53E" w14:textId="77777777" w:rsidR="00244DC0" w:rsidRDefault="00244DC0" w:rsidP="00244D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je porušením rozpočtové kázně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22 zákona č. 250/2000 Sb., o rozpočtových pravidlech územních rozpočtů, se všemi právními důsledky s tím spojenými.</w:t>
      </w:r>
    </w:p>
    <w:p w14:paraId="1FADA40E" w14:textId="77777777" w:rsidR="00244DC0" w:rsidRDefault="00244DC0" w:rsidP="00244DC0">
      <w:pPr>
        <w:ind w:left="170"/>
        <w:jc w:val="both"/>
        <w:rPr>
          <w:rFonts w:ascii="Arial" w:hAnsi="Arial" w:cs="Arial"/>
          <w:sz w:val="20"/>
          <w:szCs w:val="20"/>
        </w:rPr>
      </w:pPr>
    </w:p>
    <w:p w14:paraId="637B8054" w14:textId="77777777" w:rsidR="00244DC0" w:rsidRDefault="00244DC0" w:rsidP="00244DC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13F70F27" w14:textId="77777777" w:rsidR="00244DC0" w:rsidRDefault="00244DC0" w:rsidP="00244DC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80D0F95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neinvestiční účelově určenou dotaci z rozpočtu městské části Malé Hoštice statutárního města Opavy a příjemce se zavazuje dotaci přijmout, užít ji v souladu s jejím účelovým určením a splnit další povinnosti stanovené touto smlouvou. </w:t>
      </w:r>
    </w:p>
    <w:p w14:paraId="781B7462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504CC8B7" w14:textId="77777777" w:rsidR="00244DC0" w:rsidRDefault="00244DC0" w:rsidP="00244D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2CBCEAB9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668597AB" w14:textId="77777777" w:rsidR="00244DC0" w:rsidRPr="001B0434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CB6372" w:rsidRPr="00CB6372">
        <w:rPr>
          <w:rFonts w:ascii="Arial" w:hAnsi="Arial" w:cs="Arial"/>
          <w:b/>
          <w:bCs/>
          <w:sz w:val="20"/>
          <w:szCs w:val="20"/>
        </w:rPr>
        <w:t>14</w:t>
      </w:r>
      <w:r w:rsidRPr="00CB6372">
        <w:rPr>
          <w:rFonts w:ascii="Arial" w:hAnsi="Arial" w:cs="Arial"/>
          <w:b/>
          <w:bCs/>
          <w:sz w:val="20"/>
          <w:szCs w:val="20"/>
        </w:rPr>
        <w:t> 0</w:t>
      </w:r>
      <w:r w:rsidRPr="00CD74BF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,- Kč</w:t>
      </w:r>
      <w:r w:rsidRPr="001B0434">
        <w:rPr>
          <w:rFonts w:ascii="Arial" w:hAnsi="Arial" w:cs="Arial"/>
          <w:b/>
          <w:sz w:val="20"/>
          <w:szCs w:val="20"/>
        </w:rPr>
        <w:t xml:space="preserve"> (slovy:</w:t>
      </w:r>
      <w:r w:rsidR="00CB6372">
        <w:rPr>
          <w:rFonts w:ascii="Arial" w:hAnsi="Arial" w:cs="Arial"/>
          <w:b/>
          <w:sz w:val="20"/>
          <w:szCs w:val="20"/>
        </w:rPr>
        <w:t xml:space="preserve"> čtrnáct</w:t>
      </w:r>
      <w:r>
        <w:rPr>
          <w:rFonts w:ascii="Arial" w:hAnsi="Arial" w:cs="Arial"/>
          <w:b/>
          <w:sz w:val="20"/>
          <w:szCs w:val="20"/>
        </w:rPr>
        <w:t xml:space="preserve"> tisíc korun českých</w:t>
      </w:r>
      <w:r w:rsidRPr="001B043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E185A82" w14:textId="77777777" w:rsidR="00244DC0" w:rsidRPr="001B0434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7754E977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0F8D7BEF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1D8437C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 w:rsidRPr="00352128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Pr="00391A1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na </w:t>
      </w:r>
      <w:r w:rsidRPr="00391A1A">
        <w:rPr>
          <w:rFonts w:ascii="Arial" w:hAnsi="Arial" w:cs="Arial"/>
          <w:sz w:val="20"/>
          <w:szCs w:val="20"/>
        </w:rPr>
        <w:t>úhrad</w:t>
      </w:r>
      <w:r>
        <w:rPr>
          <w:rFonts w:ascii="Arial" w:hAnsi="Arial" w:cs="Arial"/>
          <w:sz w:val="20"/>
          <w:szCs w:val="20"/>
        </w:rPr>
        <w:t>u</w:t>
      </w:r>
      <w:r w:rsidRPr="00391A1A">
        <w:rPr>
          <w:rFonts w:ascii="Arial" w:hAnsi="Arial" w:cs="Arial"/>
          <w:sz w:val="20"/>
          <w:szCs w:val="20"/>
        </w:rPr>
        <w:t xml:space="preserve"> nákladů spojených s </w:t>
      </w:r>
      <w:r w:rsidR="00CB6372">
        <w:rPr>
          <w:rFonts w:ascii="Arial" w:hAnsi="Arial" w:cs="Arial"/>
          <w:sz w:val="20"/>
          <w:szCs w:val="20"/>
        </w:rPr>
        <w:t>účastí 7</w:t>
      </w:r>
      <w:r>
        <w:rPr>
          <w:rFonts w:ascii="Arial" w:hAnsi="Arial" w:cs="Arial"/>
          <w:sz w:val="20"/>
          <w:szCs w:val="20"/>
        </w:rPr>
        <w:t xml:space="preserve"> žáků na </w:t>
      </w:r>
      <w:r w:rsidRPr="00391A1A">
        <w:rPr>
          <w:rFonts w:ascii="Arial" w:hAnsi="Arial" w:cs="Arial"/>
          <w:sz w:val="20"/>
          <w:szCs w:val="20"/>
        </w:rPr>
        <w:t>lyžařské</w:t>
      </w:r>
      <w:r>
        <w:rPr>
          <w:rFonts w:ascii="Arial" w:hAnsi="Arial" w:cs="Arial"/>
          <w:sz w:val="20"/>
          <w:szCs w:val="20"/>
        </w:rPr>
        <w:t>m</w:t>
      </w:r>
      <w:r w:rsidRPr="00391A1A">
        <w:rPr>
          <w:rFonts w:ascii="Arial" w:hAnsi="Arial" w:cs="Arial"/>
          <w:sz w:val="20"/>
          <w:szCs w:val="20"/>
        </w:rPr>
        <w:t xml:space="preserve"> výcviku </w:t>
      </w:r>
      <w:r>
        <w:rPr>
          <w:rFonts w:ascii="Arial" w:hAnsi="Arial" w:cs="Arial"/>
          <w:sz w:val="20"/>
          <w:szCs w:val="20"/>
        </w:rPr>
        <w:t>organizovaném příjemcem, přičemž nák</w:t>
      </w:r>
      <w:r w:rsidR="004648A6">
        <w:rPr>
          <w:rFonts w:ascii="Arial" w:hAnsi="Arial" w:cs="Arial"/>
          <w:sz w:val="20"/>
          <w:szCs w:val="20"/>
        </w:rPr>
        <w:t>lady na jednoho žáka činí 2 000 </w:t>
      </w:r>
      <w:r>
        <w:rPr>
          <w:rFonts w:ascii="Arial" w:hAnsi="Arial" w:cs="Arial"/>
          <w:sz w:val="20"/>
          <w:szCs w:val="20"/>
        </w:rPr>
        <w:t>Kč.</w:t>
      </w:r>
    </w:p>
    <w:p w14:paraId="20A1C6B6" w14:textId="77777777" w:rsidR="00244DC0" w:rsidRPr="00391A1A" w:rsidRDefault="00CB6372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</w:t>
      </w:r>
      <w:r w:rsidR="00244DC0">
        <w:rPr>
          <w:rFonts w:ascii="Arial" w:hAnsi="Arial" w:cs="Arial"/>
          <w:sz w:val="20"/>
          <w:szCs w:val="20"/>
        </w:rPr>
        <w:t xml:space="preserve"> </w:t>
      </w:r>
      <w:r w:rsidR="004648A6">
        <w:rPr>
          <w:rFonts w:ascii="Arial" w:hAnsi="Arial" w:cs="Arial"/>
          <w:sz w:val="20"/>
          <w:szCs w:val="20"/>
        </w:rPr>
        <w:t xml:space="preserve">tyto </w:t>
      </w:r>
      <w:r w:rsidR="00244DC0">
        <w:rPr>
          <w:rFonts w:ascii="Arial" w:hAnsi="Arial" w:cs="Arial"/>
          <w:sz w:val="20"/>
          <w:szCs w:val="20"/>
        </w:rPr>
        <w:t xml:space="preserve">žáky 7. třídy: </w:t>
      </w:r>
    </w:p>
    <w:p w14:paraId="795105B6" w14:textId="77777777" w:rsidR="00244DC0" w:rsidRPr="00D57AFD" w:rsidRDefault="00244DC0" w:rsidP="00244DC0">
      <w:pPr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 xml:space="preserve">          </w:t>
      </w:r>
      <w:r>
        <w:rPr>
          <w:rFonts w:ascii="Arial" w:hAnsi="Arial" w:cs="Arial"/>
          <w:sz w:val="20"/>
          <w:szCs w:val="20"/>
        </w:rPr>
        <w:tab/>
      </w:r>
    </w:p>
    <w:p w14:paraId="34550FE7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t>         </w:t>
      </w:r>
    </w:p>
    <w:p w14:paraId="3E4FE344" w14:textId="77777777" w:rsidR="00244DC0" w:rsidRPr="00352128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19CE7315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14:paraId="2021BC21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493B0D1D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 období od 01.01.</w:t>
      </w:r>
      <w:r w:rsidRPr="00500EEB">
        <w:rPr>
          <w:rFonts w:ascii="Arial" w:hAnsi="Arial" w:cs="Arial"/>
          <w:sz w:val="20"/>
          <w:szCs w:val="20"/>
        </w:rPr>
        <w:t>20</w:t>
      </w:r>
      <w:r w:rsidR="00CB637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do 31.</w:t>
      </w:r>
      <w:r w:rsidR="00CB6372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.20</w:t>
      </w:r>
      <w:r w:rsidR="00CB6372">
        <w:rPr>
          <w:rFonts w:ascii="Arial" w:hAnsi="Arial" w:cs="Arial"/>
          <w:sz w:val="20"/>
          <w:szCs w:val="20"/>
        </w:rPr>
        <w:t>20</w:t>
      </w:r>
      <w:r w:rsidRPr="00500EEB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pouze na úhradu nákladů vzniklých v tomto období. </w:t>
      </w:r>
    </w:p>
    <w:p w14:paraId="7972E42E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47A89FF6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2B0D85E6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40D680C0" w14:textId="77777777" w:rsidR="00244DC0" w:rsidRPr="001C1142" w:rsidRDefault="00244DC0" w:rsidP="00244DC0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</w:t>
      </w:r>
      <w:r>
        <w:rPr>
          <w:rFonts w:ascii="Arial" w:hAnsi="Arial" w:cs="Arial"/>
          <w:sz w:val="20"/>
          <w:szCs w:val="20"/>
        </w:rPr>
        <w:br/>
      </w:r>
      <w:r w:rsidRPr="00042E4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042E47">
        <w:rPr>
          <w:rFonts w:ascii="Arial" w:hAnsi="Arial" w:cs="Arial"/>
          <w:sz w:val="20"/>
          <w:szCs w:val="20"/>
        </w:rPr>
        <w:t xml:space="preserve">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1C1142">
        <w:rPr>
          <w:rFonts w:ascii="Arial" w:hAnsi="Arial" w:cs="Arial"/>
          <w:sz w:val="20"/>
          <w:szCs w:val="20"/>
        </w:rPr>
        <w:t>od</w:t>
      </w:r>
      <w:r w:rsidR="004648A6">
        <w:rPr>
          <w:rFonts w:ascii="Arial" w:hAnsi="Arial" w:cs="Arial"/>
          <w:sz w:val="20"/>
          <w:szCs w:val="20"/>
        </w:rPr>
        <w:t>e dne</w:t>
      </w:r>
      <w:r w:rsidRPr="001C1142">
        <w:rPr>
          <w:rFonts w:ascii="Arial" w:hAnsi="Arial" w:cs="Arial"/>
          <w:sz w:val="20"/>
          <w:szCs w:val="20"/>
        </w:rPr>
        <w:t xml:space="preserve"> uveřejnění této smlouvy v registru smluv. </w:t>
      </w:r>
    </w:p>
    <w:p w14:paraId="0016286F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6D19E644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15A3A489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41EBD730" w14:textId="77777777" w:rsidR="00244DC0" w:rsidRPr="006A1631" w:rsidRDefault="00244DC0" w:rsidP="00244D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>mlouvu písemně vypovědět v případě, že existují důvodné pochybnosti o tom, že příjemce použije dotaci řádně ke</w:t>
      </w:r>
      <w:r>
        <w:rPr>
          <w:rFonts w:ascii="Arial" w:hAnsi="Arial" w:cs="Arial"/>
          <w:sz w:val="20"/>
          <w:szCs w:val="20"/>
        </w:rPr>
        <w:t xml:space="preserve"> </w:t>
      </w:r>
      <w:r w:rsidRPr="006A1631">
        <w:rPr>
          <w:rFonts w:ascii="Arial" w:hAnsi="Arial" w:cs="Arial"/>
          <w:sz w:val="20"/>
          <w:szCs w:val="20"/>
        </w:rPr>
        <w:t xml:space="preserve">stanovenému účelu. Příjemce je v takovém případě povinen již poskytnutou dotaci v plné výši vrátit poskytovateli 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</w:t>
      </w:r>
      <w:r w:rsidRPr="006A1631">
        <w:rPr>
          <w:rFonts w:ascii="Arial" w:hAnsi="Arial" w:cs="Arial"/>
          <w:sz w:val="20"/>
          <w:szCs w:val="20"/>
        </w:rPr>
        <w:t>níž musí být uvedeny důvody výpovědi. Výpovědní doba činí 3 dny a počíná běžet dnem</w:t>
      </w:r>
      <w:r>
        <w:rPr>
          <w:rFonts w:ascii="Arial" w:hAnsi="Arial" w:cs="Arial"/>
          <w:sz w:val="20"/>
          <w:szCs w:val="20"/>
        </w:rPr>
        <w:t xml:space="preserve"> </w:t>
      </w:r>
      <w:r w:rsidRPr="006A1631">
        <w:rPr>
          <w:rFonts w:ascii="Arial" w:hAnsi="Arial" w:cs="Arial"/>
          <w:sz w:val="20"/>
          <w:szCs w:val="20"/>
        </w:rPr>
        <w:t>následujícím po dni doručení výpovědi příjemci. Během výpovědní doby poskytovatel není v</w:t>
      </w:r>
      <w:r>
        <w:rPr>
          <w:rFonts w:ascii="Arial" w:hAnsi="Arial" w:cs="Arial"/>
          <w:sz w:val="20"/>
          <w:szCs w:val="20"/>
        </w:rPr>
        <w:t> </w:t>
      </w:r>
      <w:r w:rsidRPr="006A1631">
        <w:rPr>
          <w:rFonts w:ascii="Arial" w:hAnsi="Arial" w:cs="Arial"/>
          <w:sz w:val="20"/>
          <w:szCs w:val="20"/>
        </w:rPr>
        <w:t xml:space="preserve">prodlení s poskytnutím dotace. </w:t>
      </w:r>
    </w:p>
    <w:p w14:paraId="0FAB27DA" w14:textId="77777777" w:rsidR="00244DC0" w:rsidRDefault="00244DC0" w:rsidP="00244D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24A0C0" w14:textId="77777777" w:rsidR="00244DC0" w:rsidRDefault="00244DC0" w:rsidP="00244D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37B552" w14:textId="77777777" w:rsidR="00244DC0" w:rsidRDefault="00244DC0" w:rsidP="00244D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00340740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 nesouvisející s účelovým určením dotace dle čl. V., </w:t>
      </w:r>
    </w:p>
    <w:p w14:paraId="6706CA7C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14:paraId="0A92E5A5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4080B0B3" w14:textId="77777777" w:rsidR="00244DC0" w:rsidRPr="00121043" w:rsidRDefault="00244DC0" w:rsidP="00244DC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2407A0FD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53B7DB35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4F615D2A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 58,</w:t>
      </w:r>
    </w:p>
    <w:p w14:paraId="653FF716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61F6F73C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daně a poplatky – účtová skupina č. 53 – daň silniční, </w:t>
      </w:r>
      <w:r w:rsidR="004648A6">
        <w:rPr>
          <w:rFonts w:ascii="Arial" w:hAnsi="Arial" w:cs="Arial"/>
          <w:sz w:val="20"/>
          <w:szCs w:val="20"/>
        </w:rPr>
        <w:t>daň z nemovitostí,  jiné daně a </w:t>
      </w:r>
      <w:r>
        <w:rPr>
          <w:rFonts w:ascii="Arial" w:hAnsi="Arial" w:cs="Arial"/>
          <w:sz w:val="20"/>
          <w:szCs w:val="20"/>
        </w:rPr>
        <w:t xml:space="preserve">poplatky (tj. </w:t>
      </w:r>
      <w:r w:rsidR="004648A6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 rozhlas apod.),</w:t>
      </w:r>
    </w:p>
    <w:p w14:paraId="5A779662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38D1026C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4.11. smluvní pokuty, úroky z prodlení, ostatní pokuty a penále, odpisy nedobytných pohledávek, úroky, kurzové ztráty, dary, manka a škody, bankovní poplatky, náklady za právní služby a zastoupení, </w:t>
      </w:r>
    </w:p>
    <w:p w14:paraId="4556B463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14:paraId="2A531AEC" w14:textId="77777777" w:rsidR="00244DC0" w:rsidRDefault="00244DC0" w:rsidP="00244DC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513CAB39" w14:textId="77777777" w:rsidR="00244DC0" w:rsidRPr="007212C3" w:rsidRDefault="00244DC0" w:rsidP="00244DC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1F817B3B" w14:textId="77777777" w:rsidR="00244DC0" w:rsidRPr="00133465" w:rsidRDefault="00244DC0" w:rsidP="00244DC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>střednictvím médií, na internetu, v interních nebo výročních zprávách, během konferencí 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56151E3" w14:textId="77777777" w:rsidR="00244DC0" w:rsidRDefault="00244DC0" w:rsidP="00244DC0">
      <w:pPr>
        <w:jc w:val="both"/>
        <w:rPr>
          <w:rFonts w:ascii="Arial" w:hAnsi="Arial" w:cs="Arial"/>
          <w:iCs/>
          <w:sz w:val="20"/>
          <w:szCs w:val="20"/>
        </w:rPr>
      </w:pPr>
    </w:p>
    <w:p w14:paraId="418F47EF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30C766D4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6CC0A609" w14:textId="77777777" w:rsidR="00244DC0" w:rsidRDefault="00244DC0" w:rsidP="00244DC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1C1142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>0</w:t>
      </w:r>
      <w:r w:rsidR="00CB6372">
        <w:rPr>
          <w:rFonts w:ascii="Arial" w:hAnsi="Arial" w:cs="Arial"/>
          <w:sz w:val="20"/>
          <w:szCs w:val="20"/>
        </w:rPr>
        <w:t>4.2020</w:t>
      </w:r>
      <w:r w:rsidRPr="001C114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5AE8B00" w14:textId="77777777" w:rsidR="00244DC0" w:rsidRDefault="00244DC0" w:rsidP="00244DC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</w:t>
      </w:r>
      <w:r w:rsidRPr="00802096">
        <w:rPr>
          <w:rFonts w:ascii="Arial" w:hAnsi="Arial" w:cs="Arial"/>
          <w:sz w:val="20"/>
          <w:szCs w:val="20"/>
        </w:rPr>
        <w:t xml:space="preserve"> dokladů s označením </w:t>
      </w:r>
      <w:r>
        <w:rPr>
          <w:rFonts w:ascii="Arial" w:hAnsi="Arial" w:cs="Arial"/>
          <w:sz w:val="20"/>
          <w:szCs w:val="20"/>
        </w:rPr>
        <w:t xml:space="preserve">položek </w:t>
      </w:r>
      <w:r w:rsidRPr="00802096">
        <w:rPr>
          <w:rFonts w:ascii="Arial" w:hAnsi="Arial" w:cs="Arial"/>
          <w:sz w:val="20"/>
          <w:szCs w:val="20"/>
        </w:rPr>
        <w:t>hrazených z</w:t>
      </w:r>
      <w:r>
        <w:rPr>
          <w:rFonts w:ascii="Arial" w:hAnsi="Arial" w:cs="Arial"/>
          <w:sz w:val="20"/>
          <w:szCs w:val="20"/>
        </w:rPr>
        <w:t> </w:t>
      </w:r>
      <w:r w:rsidRPr="00802096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sz w:val="20"/>
          <w:szCs w:val="20"/>
        </w:rPr>
        <w:t xml:space="preserve">, fotografie či nahrávky dokládající </w:t>
      </w:r>
      <w:r w:rsidRPr="00802096">
        <w:rPr>
          <w:rFonts w:ascii="Arial" w:hAnsi="Arial" w:cs="Arial"/>
          <w:sz w:val="20"/>
          <w:szCs w:val="20"/>
        </w:rPr>
        <w:t>prezentac</w:t>
      </w:r>
      <w:r>
        <w:rPr>
          <w:rFonts w:ascii="Arial" w:hAnsi="Arial" w:cs="Arial"/>
          <w:sz w:val="20"/>
          <w:szCs w:val="20"/>
        </w:rPr>
        <w:t>i</w:t>
      </w:r>
      <w:r w:rsidRPr="00802096">
        <w:rPr>
          <w:rFonts w:ascii="Arial" w:hAnsi="Arial" w:cs="Arial"/>
          <w:sz w:val="20"/>
          <w:szCs w:val="20"/>
        </w:rPr>
        <w:t xml:space="preserve"> finanční spoluúčasti </w:t>
      </w:r>
      <w:r>
        <w:rPr>
          <w:rFonts w:ascii="Arial" w:hAnsi="Arial" w:cs="Arial"/>
          <w:sz w:val="20"/>
          <w:szCs w:val="20"/>
        </w:rPr>
        <w:t>poskytovatele apod.) a čestné prohlášení příjemce o pravdivosti, správnosti a úplnosti vyúčtování dotace.</w:t>
      </w:r>
    </w:p>
    <w:p w14:paraId="04174FDA" w14:textId="77777777" w:rsidR="00244DC0" w:rsidRDefault="00244DC0" w:rsidP="00244DC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>Na výzvu poskytovatele je příjemce povinen v určené lhůtě poskytnout poskytovateli další vysvětlení a dokumenty, které si poskytovatel v souvislosti s ověřením řádného použití dotace vyžádá.</w:t>
      </w:r>
    </w:p>
    <w:p w14:paraId="0D5F114D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132765CE" w14:textId="77777777" w:rsidR="004648A6" w:rsidRDefault="004648A6" w:rsidP="00244DC0">
      <w:pPr>
        <w:jc w:val="center"/>
        <w:rPr>
          <w:rFonts w:ascii="Arial" w:hAnsi="Arial" w:cs="Arial"/>
          <w:sz w:val="20"/>
          <w:szCs w:val="20"/>
        </w:rPr>
      </w:pPr>
    </w:p>
    <w:p w14:paraId="69795777" w14:textId="77777777" w:rsidR="004648A6" w:rsidRDefault="004648A6" w:rsidP="00244DC0">
      <w:pPr>
        <w:jc w:val="center"/>
        <w:rPr>
          <w:rFonts w:ascii="Arial" w:hAnsi="Arial" w:cs="Arial"/>
          <w:sz w:val="20"/>
          <w:szCs w:val="20"/>
        </w:rPr>
      </w:pPr>
    </w:p>
    <w:p w14:paraId="6F1D62F1" w14:textId="77777777" w:rsidR="00244DC0" w:rsidRDefault="00244DC0" w:rsidP="00244D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X.</w:t>
      </w:r>
    </w:p>
    <w:p w14:paraId="5569BB46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544252DB" w14:textId="77777777" w:rsidR="00244DC0" w:rsidRDefault="00244DC0" w:rsidP="00244DC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0F718104" w14:textId="77777777" w:rsidR="00244DC0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 použije-li příjemce byť i jen část peněžních prostředků tvořících dotaci k jinému než stanovenému účelu, </w:t>
      </w:r>
    </w:p>
    <w:p w14:paraId="106F27AF" w14:textId="77777777" w:rsidR="00244DC0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13522504" w14:textId="77777777" w:rsidR="00244DC0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</w:t>
      </w:r>
      <w:r>
        <w:rPr>
          <w:rFonts w:ascii="Arial" w:hAnsi="Arial" w:cs="Arial"/>
          <w:sz w:val="20"/>
          <w:szCs w:val="20"/>
        </w:rPr>
        <w:t> </w:t>
      </w:r>
      <w:r w:rsidRPr="00FB1655">
        <w:rPr>
          <w:rFonts w:ascii="Arial" w:hAnsi="Arial" w:cs="Arial"/>
          <w:sz w:val="20"/>
          <w:szCs w:val="20"/>
        </w:rPr>
        <w:t>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162C605" w14:textId="77777777" w:rsidR="00244DC0" w:rsidRPr="00FB1655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5553972A" w14:textId="77777777" w:rsidR="00244DC0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02DB0EF0" w14:textId="77777777" w:rsidR="00244DC0" w:rsidRDefault="00244DC0" w:rsidP="00244DC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28D8B726" w14:textId="77777777" w:rsidR="00244DC0" w:rsidRDefault="00244DC0" w:rsidP="00244DC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výši neoprávněně použitých nebo zadržených peněžních prostředků,</w:t>
      </w:r>
    </w:p>
    <w:p w14:paraId="1CF6FBDC" w14:textId="77777777" w:rsidR="00244DC0" w:rsidRPr="00066995" w:rsidRDefault="00244DC0" w:rsidP="00244DC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4A28E33D" w14:textId="77777777" w:rsidR="00244DC0" w:rsidRDefault="00244DC0" w:rsidP="00244DC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výši:</w:t>
      </w:r>
    </w:p>
    <w:p w14:paraId="1DA27D78" w14:textId="77777777" w:rsidR="00244DC0" w:rsidRDefault="00244DC0" w:rsidP="00244DC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>z celkové výše poskytnuté dotace, dostane-li se příjemce do prodlení s</w:t>
      </w:r>
      <w:r>
        <w:rPr>
          <w:rFonts w:ascii="Arial" w:hAnsi="Arial" w:cs="Arial"/>
          <w:sz w:val="20"/>
          <w:szCs w:val="20"/>
        </w:rPr>
        <w:t> </w:t>
      </w:r>
      <w:r w:rsidRPr="00066995">
        <w:rPr>
          <w:rFonts w:ascii="Arial" w:hAnsi="Arial" w:cs="Arial"/>
          <w:sz w:val="20"/>
          <w:szCs w:val="20"/>
        </w:rPr>
        <w:t xml:space="preserve">předložením řádného vyúčtování dotace trvajícího 1 den až 7 dnů, </w:t>
      </w:r>
    </w:p>
    <w:p w14:paraId="7DB4240E" w14:textId="77777777" w:rsidR="00244DC0" w:rsidRDefault="00244DC0" w:rsidP="00244DC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02D82786" w14:textId="77777777" w:rsidR="00244DC0" w:rsidRPr="00066995" w:rsidRDefault="00244DC0" w:rsidP="00244DC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3970EBAA" w14:textId="77777777" w:rsidR="00244DC0" w:rsidRDefault="00244DC0" w:rsidP="00244DC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3C0DA423" w14:textId="77777777" w:rsidR="00244DC0" w:rsidRDefault="00244DC0" w:rsidP="00244DC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25EB937" w14:textId="77777777" w:rsidR="00244DC0" w:rsidRPr="00066995" w:rsidRDefault="00244DC0" w:rsidP="00244DC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14:paraId="36F45F67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57FCC5F6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17435C84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0E40E7E2" w14:textId="77777777" w:rsidR="00244DC0" w:rsidRDefault="00244DC0" w:rsidP="00244DC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</w:t>
      </w:r>
      <w:r>
        <w:rPr>
          <w:rFonts w:ascii="Arial" w:hAnsi="Arial" w:cs="Arial"/>
          <w:sz w:val="20"/>
          <w:szCs w:val="20"/>
        </w:rPr>
        <w:t> </w:t>
      </w:r>
      <w:r w:rsidRPr="00B86711">
        <w:rPr>
          <w:rFonts w:ascii="Arial" w:hAnsi="Arial" w:cs="Arial"/>
          <w:sz w:val="20"/>
          <w:szCs w:val="20"/>
        </w:rPr>
        <w:t>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B0C77DB" w14:textId="77777777" w:rsidR="00244DC0" w:rsidRDefault="00244DC0" w:rsidP="00244DC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585EF395" w14:textId="77777777" w:rsidR="00244DC0" w:rsidRPr="00B86711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4DB3920A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7CF66D95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14D6F92C" w14:textId="77777777" w:rsidR="00244DC0" w:rsidRDefault="00244DC0" w:rsidP="00244D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1621D332" w14:textId="77777777" w:rsidR="00244DC0" w:rsidRDefault="00244DC0" w:rsidP="00244D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2AAFE036" w14:textId="77777777" w:rsidR="00244DC0" w:rsidRPr="004648A6" w:rsidRDefault="00244DC0" w:rsidP="004648A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4648A6">
        <w:rPr>
          <w:rFonts w:ascii="Arial" w:hAnsi="Arial" w:cs="Arial"/>
          <w:sz w:val="20"/>
          <w:szCs w:val="20"/>
        </w:rPr>
        <w:t xml:space="preserve">, a </w:t>
      </w:r>
      <w:r w:rsidRPr="004648A6">
        <w:rPr>
          <w:rFonts w:ascii="Arial" w:hAnsi="Arial" w:cs="Arial"/>
          <w:sz w:val="20"/>
          <w:szCs w:val="20"/>
        </w:rPr>
        <w:t>nabývá účinnosti dnem jejího uveřejnění v registru smluv</w:t>
      </w:r>
      <w:r w:rsidR="004648A6">
        <w:rPr>
          <w:rFonts w:ascii="Arial" w:hAnsi="Arial" w:cs="Arial"/>
          <w:sz w:val="20"/>
          <w:szCs w:val="20"/>
        </w:rPr>
        <w:t>.</w:t>
      </w:r>
    </w:p>
    <w:p w14:paraId="38393030" w14:textId="77777777" w:rsidR="00244DC0" w:rsidRPr="00023C04" w:rsidRDefault="00244DC0" w:rsidP="00244D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04FA809A" w14:textId="77777777" w:rsidR="00244DC0" w:rsidRPr="00D57AFD" w:rsidRDefault="00244DC0" w:rsidP="00244DC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lastRenderedPageBreak/>
        <w:t xml:space="preserve">Smluvní strany se dohodly, že tato smlouva – ať už je povinně uveřejňovanou smlouvou dle zákona o registru smluv, či nikoli – bude natrvalo uveřejněna v registru smluv, a to v celém rozsahu včetně příslušných </w:t>
      </w:r>
      <w:proofErr w:type="spellStart"/>
      <w:r w:rsidRPr="00D57AFD">
        <w:rPr>
          <w:rFonts w:ascii="Arial" w:hAnsi="Arial" w:cs="Arial"/>
          <w:sz w:val="20"/>
          <w:szCs w:val="20"/>
        </w:rPr>
        <w:t>metadat</w:t>
      </w:r>
      <w:proofErr w:type="spellEnd"/>
      <w:r w:rsidRPr="00D57AFD">
        <w:rPr>
          <w:rFonts w:ascii="Arial" w:hAnsi="Arial" w:cs="Arial"/>
          <w:sz w:val="20"/>
          <w:szCs w:val="20"/>
        </w:rPr>
        <w:t>, s výjimkou údajů o fyzických osobách, které nejsou smluvními stranami, a kontaktních či doplňujících údajů (číslo účtu, telefonní číslo, e-mailová adresa apod.). Uveřejnění této smlouvy v registru smluv zajistí bez zbytečného odkladu po jejím uzavření statutární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14:paraId="6DA61632" w14:textId="77777777" w:rsidR="00814948" w:rsidRDefault="00814948" w:rsidP="0081494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Tato smlouva byla schválena Zastupitelstvem městské části Malé Hoštice statutárního města Opavy dne 23. 1. 2020     usnesením č.. 4/11/ZMC/20.</w:t>
      </w:r>
    </w:p>
    <w:bookmarkEnd w:id="0"/>
    <w:p w14:paraId="1E0320DC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79105A61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03683FDE" w14:textId="77777777" w:rsidR="00244DC0" w:rsidRDefault="00632BA2" w:rsidP="00244DC0">
      <w:pPr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44DC0">
        <w:rPr>
          <w:rFonts w:ascii="Arial" w:hAnsi="Arial" w:cs="Arial"/>
          <w:sz w:val="20"/>
          <w:szCs w:val="20"/>
        </w:rPr>
        <w:t xml:space="preserve"> Malých Hošticích dne                             </w:t>
      </w:r>
      <w:r w:rsidR="00244DC0">
        <w:rPr>
          <w:rFonts w:ascii="Arial" w:hAnsi="Arial" w:cs="Arial"/>
          <w:sz w:val="20"/>
          <w:szCs w:val="20"/>
        </w:rPr>
        <w:tab/>
      </w:r>
      <w:r w:rsidR="00244DC0">
        <w:rPr>
          <w:rFonts w:ascii="Arial" w:hAnsi="Arial" w:cs="Arial"/>
          <w:sz w:val="20"/>
          <w:szCs w:val="20"/>
        </w:rPr>
        <w:tab/>
        <w:t>V Malých Hošticích dne</w:t>
      </w:r>
    </w:p>
    <w:p w14:paraId="5166C83E" w14:textId="77777777" w:rsidR="00244DC0" w:rsidRDefault="00244DC0" w:rsidP="00244DC0">
      <w:pPr>
        <w:ind w:left="426"/>
        <w:rPr>
          <w:rFonts w:ascii="Arial" w:hAnsi="Arial" w:cs="Arial"/>
          <w:sz w:val="20"/>
          <w:szCs w:val="20"/>
        </w:rPr>
      </w:pPr>
    </w:p>
    <w:p w14:paraId="6F1CCCE2" w14:textId="77777777" w:rsidR="00244DC0" w:rsidRDefault="00244DC0" w:rsidP="00244DC0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                                       </w:t>
      </w:r>
      <w:r>
        <w:rPr>
          <w:rFonts w:ascii="Arial" w:hAnsi="Arial" w:cs="Arial"/>
          <w:sz w:val="20"/>
          <w:szCs w:val="20"/>
        </w:rPr>
        <w:tab/>
        <w:t>Za příjemce dotace:</w:t>
      </w:r>
    </w:p>
    <w:p w14:paraId="3EECFC8D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24A19034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</w:p>
    <w:p w14:paraId="6525F2B4" w14:textId="77777777" w:rsidR="00632BA2" w:rsidRDefault="00632BA2" w:rsidP="00244DC0">
      <w:pPr>
        <w:rPr>
          <w:rFonts w:ascii="Arial" w:hAnsi="Arial" w:cs="Arial"/>
          <w:sz w:val="20"/>
          <w:szCs w:val="20"/>
        </w:rPr>
      </w:pPr>
    </w:p>
    <w:p w14:paraId="7BDCDF18" w14:textId="77777777" w:rsidR="00632BA2" w:rsidRDefault="00632BA2" w:rsidP="00244DC0">
      <w:pPr>
        <w:rPr>
          <w:rFonts w:ascii="Arial" w:hAnsi="Arial" w:cs="Arial"/>
          <w:sz w:val="20"/>
          <w:szCs w:val="20"/>
        </w:rPr>
      </w:pPr>
    </w:p>
    <w:p w14:paraId="636797A6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</w:p>
    <w:p w14:paraId="1831A5EE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43B76125" w14:textId="18FEA490" w:rsidR="00244DC0" w:rsidRDefault="00244DC0" w:rsidP="00244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6D169F6E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starostka městské části Malé Hoštice                                                    ředitelka</w:t>
      </w:r>
    </w:p>
    <w:p w14:paraId="17EF3ABF" w14:textId="77777777" w:rsidR="00244DC0" w:rsidRDefault="00244DC0" w:rsidP="00244DC0"/>
    <w:p w14:paraId="4FAD678F" w14:textId="77777777" w:rsidR="00080643" w:rsidRDefault="00080643"/>
    <w:sectPr w:rsidR="00080643" w:rsidSect="0005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717764" w15:done="0"/>
  <w15:commentEx w15:paraId="46FDF7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C0"/>
    <w:rsid w:val="00080643"/>
    <w:rsid w:val="00106E42"/>
    <w:rsid w:val="00244DC0"/>
    <w:rsid w:val="004648A6"/>
    <w:rsid w:val="0049066A"/>
    <w:rsid w:val="00632BA2"/>
    <w:rsid w:val="00814948"/>
    <w:rsid w:val="008276C3"/>
    <w:rsid w:val="00CA0DE5"/>
    <w:rsid w:val="00CB6372"/>
    <w:rsid w:val="00D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F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4DC0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DC0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Odstavecseseznamem">
    <w:name w:val="List Paragraph"/>
    <w:basedOn w:val="Normln"/>
    <w:uiPriority w:val="34"/>
    <w:qFormat/>
    <w:rsid w:val="00244D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D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DC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8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8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8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4DC0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DC0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Odstavecseseznamem">
    <w:name w:val="List Paragraph"/>
    <w:basedOn w:val="Normln"/>
    <w:uiPriority w:val="34"/>
    <w:qFormat/>
    <w:rsid w:val="00244D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D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DC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8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8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8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1944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cp:lastPrinted>2019-02-22T06:34:00Z</cp:lastPrinted>
  <dcterms:created xsi:type="dcterms:W3CDTF">2020-02-18T12:31:00Z</dcterms:created>
  <dcterms:modified xsi:type="dcterms:W3CDTF">2020-02-18T13:11:00Z</dcterms:modified>
</cp:coreProperties>
</file>